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20"/>
          <w:tab w:val="center" w:pos="5385" w:leader="none"/>
        </w:tabs>
        <w:bidi w:val="0"/>
        <w:jc w:val="start"/>
        <w:rPr>
          <w:rFonts w:ascii="Arial" w:hAnsi="Arial"/>
          <w:b/>
          <w:sz w:val="16"/>
          <w:u w:val="none"/>
        </w:rPr>
      </w:pPr>
      <w:r>
        <w:rPr>
          <w:rFonts w:ascii="Arial" w:hAnsi="Arial"/>
          <w:b/>
          <w:sz w:val="16"/>
          <w:u w:val="none"/>
        </w:rPr>
        <w:tab/>
        <w:t>6ª Câmara de Direito Privado</w:t>
      </w:r>
    </w:p>
    <w:p>
      <w:pPr>
        <w:pStyle w:val="Normal"/>
        <w:tabs>
          <w:tab w:val="clear" w:pos="720"/>
          <w:tab w:val="center" w:pos="5385" w:leader="none"/>
        </w:tabs>
        <w:bidi w:val="0"/>
        <w:jc w:val="start"/>
        <w:rPr>
          <w:rFonts w:ascii="Arial" w:hAnsi="Arial"/>
          <w:b/>
          <w:sz w:val="16"/>
          <w:u w:val="none"/>
        </w:rPr>
      </w:pPr>
      <w:r>
        <w:rPr>
          <w:rFonts w:ascii="Arial" w:hAnsi="Arial"/>
          <w:b/>
          <w:sz w:val="16"/>
          <w:u w:val="none"/>
        </w:rPr>
        <w:tab/>
        <w:t>PAUTA DE JULGAMENTO</w:t>
      </w:r>
    </w:p>
    <w:p>
      <w:pPr>
        <w:pStyle w:val="Normal"/>
        <w:tabs>
          <w:tab w:val="clear" w:pos="720"/>
          <w:tab w:val="center" w:pos="5385" w:leader="none"/>
        </w:tabs>
        <w:bidi w:val="0"/>
        <w:jc w:val="start"/>
        <w:rPr>
          <w:rFonts w:ascii="Arial" w:hAnsi="Arial"/>
          <w:b/>
          <w:sz w:val="16"/>
          <w:u w:val="none"/>
        </w:rPr>
      </w:pPr>
      <w:r>
        <w:rPr>
          <w:rFonts w:ascii="Arial" w:hAnsi="Arial"/>
          <w:b/>
          <w:sz w:val="16"/>
          <w:u w:val="none"/>
        </w:rPr>
      </w:r>
    </w:p>
    <w:p>
      <w:pPr>
        <w:pStyle w:val="Normal"/>
        <w:tabs>
          <w:tab w:val="clear" w:pos="720"/>
          <w:tab w:val="left" w:pos="72" w:leader="none"/>
        </w:tabs>
        <w:bidi w:val="0"/>
        <w:ind w:end="-2"/>
        <w:jc w:val="both"/>
        <w:rPr>
          <w:rFonts w:ascii="Arial" w:hAnsi="Arial"/>
          <w:sz w:val="16"/>
          <w:u w:val="none"/>
        </w:rPr>
      </w:pPr>
      <w:r>
        <w:rPr>
          <w:rFonts w:ascii="Arial" w:hAnsi="Arial"/>
          <w:sz w:val="16"/>
          <w:u w:val="none"/>
        </w:rPr>
        <w:t>Número da Pauta: 20</w:t>
      </w:r>
    </w:p>
    <w:p>
      <w:pPr>
        <w:pStyle w:val="Normal"/>
        <w:tabs>
          <w:tab w:val="clear" w:pos="720"/>
          <w:tab w:val="left" w:pos="72" w:leader="none"/>
        </w:tabs>
        <w:bidi w:val="0"/>
        <w:ind w:end="-2"/>
        <w:jc w:val="both"/>
        <w:rPr>
          <w:rFonts w:ascii="Arial" w:hAnsi="Arial"/>
          <w:sz w:val="16"/>
          <w:u w:val="none"/>
        </w:rPr>
      </w:pPr>
      <w:r>
        <w:rPr>
          <w:rFonts w:ascii="Arial" w:hAnsi="Arial"/>
          <w:sz w:val="16"/>
          <w:u w:val="none"/>
        </w:rPr>
      </w:r>
    </w:p>
    <w:p>
      <w:pPr>
        <w:pStyle w:val="Normal"/>
        <w:tabs>
          <w:tab w:val="clear" w:pos="720"/>
          <w:tab w:val="left" w:pos="72" w:leader="none"/>
        </w:tabs>
        <w:bidi w:val="0"/>
        <w:ind w:end="-2"/>
        <w:jc w:val="both"/>
        <w:rPr>
          <w:rFonts w:ascii="Arial" w:hAnsi="Arial"/>
          <w:sz w:val="16"/>
          <w:u w:val="none"/>
        </w:rPr>
      </w:pPr>
      <w:r>
        <w:rPr>
          <w:rFonts w:ascii="Arial" w:hAnsi="Arial"/>
          <w:sz w:val="16"/>
          <w:u w:val="none"/>
        </w:rPr>
      </w:r>
    </w:p>
    <w:p>
      <w:pPr>
        <w:pStyle w:val="Normal"/>
        <w:tabs>
          <w:tab w:val="clear" w:pos="720"/>
          <w:tab w:val="left" w:pos="72" w:leader="none"/>
        </w:tabs>
        <w:bidi w:val="0"/>
        <w:ind w:end="-2"/>
        <w:jc w:val="both"/>
        <w:rPr>
          <w:rFonts w:ascii="Arial" w:hAnsi="Arial"/>
          <w:sz w:val="16"/>
          <w:u w:val="none"/>
        </w:rPr>
      </w:pPr>
      <w:r>
        <w:rPr>
          <w:rFonts w:ascii="Arial" w:hAnsi="Arial"/>
          <w:sz w:val="16"/>
          <w:u w:val="none"/>
        </w:rPr>
        <w:t>SERÃO JULGADOS, NA PRIMEIRA SESSÃO ORDINÁRIA DESIMPEDIDA, OS SEGUINTES PROCESSOS:</w:t>
      </w:r>
    </w:p>
    <w:p>
      <w:pPr>
        <w:pStyle w:val="Normal"/>
        <w:tabs>
          <w:tab w:val="clear" w:pos="720"/>
          <w:tab w:val="left" w:pos="72" w:leader="none"/>
        </w:tabs>
        <w:bidi w:val="0"/>
        <w:ind w:end="-2"/>
        <w:jc w:val="both"/>
        <w:rPr>
          <w:rFonts w:ascii="Arial" w:hAnsi="Arial"/>
          <w:sz w:val="16"/>
          <w:u w:val="none"/>
        </w:rPr>
      </w:pPr>
      <w:r>
        <w:rPr>
          <w:rFonts w:ascii="Arial" w:hAnsi="Arial"/>
          <w:sz w:val="16"/>
          <w:u w:val="none"/>
        </w:rPr>
      </w:r>
    </w:p>
    <w:p>
      <w:pPr>
        <w:pStyle w:val="Normal"/>
        <w:tabs>
          <w:tab w:val="clear" w:pos="720"/>
          <w:tab w:val="left" w:pos="72" w:leader="none"/>
        </w:tabs>
        <w:bidi w:val="0"/>
        <w:ind w:end="-2"/>
        <w:jc w:val="both"/>
        <w:rPr>
          <w:rFonts w:ascii="Arial" w:hAnsi="Arial"/>
          <w:b w:val="false"/>
          <w:sz w:val="16"/>
          <w:u w:val="none"/>
        </w:rPr>
      </w:pPr>
      <w:r>
        <w:rPr>
          <w:rFonts w:ascii="Arial" w:hAnsi="Arial"/>
          <w:sz w:val="16"/>
          <w:u w:val="none"/>
        </w:rPr>
        <w:t xml:space="preserve">1 - </w:t>
      </w:r>
      <w:r>
        <w:rPr>
          <w:rFonts w:ascii="Arial" w:hAnsi="Arial"/>
          <w:b/>
          <w:sz w:val="16"/>
          <w:u w:val="none"/>
        </w:rPr>
        <w:t>0276112-44.2024.8.06.0001</w:t>
      </w:r>
      <w:r>
        <w:rPr>
          <w:rFonts w:ascii="Arial" w:hAnsi="Arial"/>
          <w:b w:val="false"/>
          <w:sz w:val="16"/>
          <w:u w:val="none"/>
        </w:rPr>
        <w:t xml:space="preserve"> - </w:t>
      </w:r>
      <w:r>
        <w:rPr>
          <w:rFonts w:ascii="Arial" w:hAnsi="Arial"/>
          <w:b/>
          <w:sz w:val="16"/>
          <w:u w:val="none"/>
        </w:rPr>
        <w:t>Apelação Cível</w:t>
      </w:r>
      <w:r>
        <w:rPr>
          <w:rFonts w:ascii="Arial" w:hAnsi="Arial"/>
          <w:b w:val="false"/>
          <w:sz w:val="16"/>
          <w:u w:val="none"/>
        </w:rPr>
        <w:t xml:space="preserve"> - Fortaleza/1ª Vara da Infância e Juventude. Apelante: J. P. M.. Def. Público: Defensoria Pública do Estado do Ceará. Apelado: M. P. do E. do C.. Ministério Públ: Ministério Público Estadual. Relator(a): JOSÉ TARCÍLIO SOUZA DA SILVA</w:t>
      </w:r>
    </w:p>
    <w:p>
      <w:pPr>
        <w:pStyle w:val="Normal"/>
        <w:tabs>
          <w:tab w:val="clear" w:pos="720"/>
          <w:tab w:val="left" w:pos="72" w:leader="none"/>
        </w:tabs>
        <w:bidi w:val="0"/>
        <w:ind w:end="-2"/>
        <w:jc w:val="both"/>
        <w:rPr>
          <w:rFonts w:ascii="Arial" w:hAnsi="Arial"/>
          <w:sz w:val="16"/>
          <w:u w:val="none"/>
        </w:rPr>
      </w:pPr>
      <w:r>
        <w:rPr>
          <w:rFonts w:ascii="Arial" w:hAnsi="Arial"/>
          <w:sz w:val="16"/>
          <w:u w:val="none"/>
        </w:rPr>
      </w:r>
    </w:p>
    <w:p>
      <w:pPr>
        <w:pStyle w:val="Normal"/>
        <w:tabs>
          <w:tab w:val="clear" w:pos="720"/>
          <w:tab w:val="left" w:pos="72" w:leader="none"/>
        </w:tabs>
        <w:bidi w:val="0"/>
        <w:ind w:end="-2"/>
        <w:jc w:val="both"/>
        <w:rPr>
          <w:rFonts w:ascii="Arial" w:hAnsi="Arial"/>
          <w:sz w:val="16"/>
          <w:u w:val="none"/>
        </w:rPr>
      </w:pPr>
      <w:r>
        <w:rPr>
          <w:rFonts w:ascii="Arial" w:hAnsi="Arial"/>
          <w:sz w:val="16"/>
          <w:u w:val="none"/>
        </w:rPr>
        <w:t>Total de processos a julgar: 1</w:t>
      </w:r>
    </w:p>
    <w:p>
      <w:pPr>
        <w:pStyle w:val="Normal"/>
        <w:tabs>
          <w:tab w:val="clear" w:pos="720"/>
          <w:tab w:val="left" w:pos="72" w:leader="none"/>
        </w:tabs>
        <w:bidi w:val="0"/>
        <w:ind w:end="-2"/>
        <w:jc w:val="both"/>
        <w:rPr>
          <w:rFonts w:ascii="Arial" w:hAnsi="Arial"/>
          <w:sz w:val="16"/>
          <w:u w:val="none"/>
        </w:rPr>
      </w:pPr>
      <w:r>
        <w:rPr>
          <w:rFonts w:ascii="Arial" w:hAnsi="Arial"/>
          <w:sz w:val="16"/>
          <w:u w:val="none"/>
        </w:rPr>
      </w:r>
    </w:p>
    <w:p>
      <w:pPr>
        <w:pStyle w:val="Normal"/>
        <w:tabs>
          <w:tab w:val="clear" w:pos="720"/>
          <w:tab w:val="left" w:pos="72" w:leader="none"/>
        </w:tabs>
        <w:bidi w:val="0"/>
        <w:ind w:end="-2"/>
        <w:jc w:val="both"/>
        <w:rPr>
          <w:rFonts w:ascii="Arial" w:hAnsi="Arial"/>
          <w:sz w:val="16"/>
          <w:u w:val="none"/>
        </w:rPr>
      </w:pPr>
      <w:r>
        <w:rPr>
          <w:rFonts w:ascii="Arial" w:hAnsi="Arial"/>
          <w:sz w:val="16"/>
          <w:u w:val="none"/>
        </w:rPr>
        <w:t>Fortaleza, 24 de junho de 2026.</w:t>
      </w:r>
    </w:p>
    <w:p>
      <w:pPr>
        <w:pStyle w:val="Normal"/>
        <w:tabs>
          <w:tab w:val="clear" w:pos="720"/>
          <w:tab w:val="left" w:pos="72" w:leader="none"/>
        </w:tabs>
        <w:bidi w:val="0"/>
        <w:ind w:end="-2"/>
        <w:jc w:val="both"/>
        <w:rPr>
          <w:rFonts w:ascii="Arial" w:hAnsi="Arial"/>
          <w:sz w:val="16"/>
          <w:u w:val="none"/>
        </w:rPr>
      </w:pPr>
      <w:r>
        <w:rPr>
          <w:rFonts w:ascii="Arial" w:hAnsi="Arial"/>
          <w:sz w:val="16"/>
          <w:u w:val="none"/>
        </w:rPr>
      </w:r>
    </w:p>
    <w:p>
      <w:pPr>
        <w:pStyle w:val="Normal"/>
        <w:tabs>
          <w:tab w:val="clear" w:pos="720"/>
          <w:tab w:val="left" w:pos="72" w:leader="none"/>
        </w:tabs>
        <w:bidi w:val="0"/>
        <w:ind w:end="-2"/>
        <w:jc w:val="both"/>
        <w:rPr>
          <w:rFonts w:ascii="Arial" w:hAnsi="Arial"/>
          <w:sz w:val="16"/>
          <w:u w:val="none"/>
        </w:rPr>
      </w:pPr>
      <w:r>
        <w:rPr>
          <w:rFonts w:ascii="Arial" w:hAnsi="Arial"/>
          <w:sz w:val="16"/>
          <w:u w:val="none"/>
        </w:rPr>
        <w:t>MADELINE BEZERRA DA SILVA</w:t>
      </w:r>
    </w:p>
    <w:p>
      <w:pPr>
        <w:pStyle w:val="Normal"/>
        <w:tabs>
          <w:tab w:val="clear" w:pos="720"/>
          <w:tab w:val="left" w:pos="72" w:leader="none"/>
        </w:tabs>
        <w:bidi w:val="0"/>
        <w:ind w:end="-2"/>
        <w:jc w:val="both"/>
        <w:rPr>
          <w:rFonts w:ascii="Arial" w:hAnsi="Arial"/>
          <w:sz w:val="16"/>
          <w:u w:val="none"/>
        </w:rPr>
      </w:pPr>
      <w:r>
        <w:rPr>
          <w:rFonts w:ascii="Arial" w:hAnsi="Arial"/>
          <w:sz w:val="16"/>
          <w:u w:val="none"/>
        </w:rPr>
      </w:r>
    </w:p>
    <w:p>
      <w:pPr>
        <w:pStyle w:val="Normal"/>
        <w:tabs>
          <w:tab w:val="clear" w:pos="720"/>
          <w:tab w:val="left" w:pos="72" w:leader="none"/>
        </w:tabs>
        <w:bidi w:val="0"/>
        <w:ind w:end="-2"/>
        <w:jc w:val="both"/>
        <w:rPr>
          <w:rFonts w:ascii="Arial" w:hAnsi="Arial"/>
          <w:sz w:val="16"/>
          <w:u w:val="none"/>
        </w:rPr>
      </w:pPr>
      <w:r>
        <w:rPr>
          <w:rFonts w:ascii="Arial" w:hAnsi="Arial"/>
          <w:sz w:val="16"/>
          <w:u w:val="none"/>
        </w:rPr>
        <w:t>Os processos que não forem julgados, por qualquer motivo, na data acima mencionada, terão seu julgamento adiado para a sessão subsequente, independentemente de nova intimação.</w:t>
      </w:r>
    </w:p>
    <w:sectPr>
      <w:type w:val="nextPage"/>
      <w:pgSz w:w="11906" w:h="16838"/>
      <w:pgMar w:left="567" w:right="2409" w:gutter="0" w:header="0" w:top="567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Arial">
    <w:charset w:val="00" w:characterSet="windows-1252"/>
    <w:family w:val="auto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pt-BR" w:eastAsia="zh-CN" w:bidi="hi-IN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LibreOffice/24.8.2.1$Windows_X86_64 LibreOffice_project/0f794b6e29741098670a3b95d60478a65d05ef13</Application>
  <AppVersion>15.0000</AppVersion>
  <Pages>1</Pages>
  <Words>106</Words>
  <Characters>590</Characters>
  <CharactersWithSpaces>689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or">
    <vt:lpwstr>SAJ/SG (GE)</vt:lpwstr>
  </property>
  <property fmtid="{D5CDD505-2E9C-101B-9397-08002B2CF9AE}" pid="3" name="deslocamentodepaginas">
    <vt:lpwstr>0</vt:lpwstr>
  </property>
</Properties>
</file>