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12" w:lineRule="auto" w:before="157"/>
        <w:ind w:left="3112" w:right="1899"/>
        <w:jc w:val="center"/>
      </w:pPr>
      <w:r>
        <w:rPr/>
        <w:drawing>
          <wp:anchor distT="0" distB="0" distL="0" distR="0" allowOverlap="1" layoutInCell="1" locked="0" behindDoc="0" simplePos="0" relativeHeight="15729152">
            <wp:simplePos x="0" y="0"/>
            <wp:positionH relativeFrom="page">
              <wp:posOffset>406400</wp:posOffset>
            </wp:positionH>
            <wp:positionV relativeFrom="paragraph">
              <wp:posOffset>-230</wp:posOffset>
            </wp:positionV>
            <wp:extent cx="718312" cy="78193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718312" cy="781939"/>
                    </a:xfrm>
                    <a:prstGeom prst="rect">
                      <a:avLst/>
                    </a:prstGeom>
                  </pic:spPr>
                </pic:pic>
              </a:graphicData>
            </a:graphic>
          </wp:anchor>
        </w:drawing>
      </w:r>
      <w:r>
        <w:rPr/>
        <w:t>Tribunal de Justiça do Estado do Ceará - 2º Grau Processo Judicial Eletrônico</w:t>
      </w:r>
    </w:p>
    <w:p>
      <w:pPr>
        <w:pStyle w:val="Title"/>
      </w:pPr>
      <w:r>
        <w:rPr/>
        <w:t>Processos em pauta de julgamento</w:t>
      </w:r>
    </w:p>
    <w:p>
      <w:pPr>
        <w:pStyle w:val="BodyText"/>
        <w:spacing w:before="98"/>
        <w:ind w:left="3110" w:right="1899"/>
        <w:jc w:val="center"/>
      </w:pPr>
      <w:r>
        <w:rPr/>
        <w:t>Sessão de 04/11/2025 às 09:00:00</w:t>
      </w:r>
    </w:p>
    <w:p>
      <w:pPr>
        <w:spacing w:before="229"/>
        <w:ind w:left="0" w:right="157" w:firstLine="0"/>
        <w:jc w:val="right"/>
        <w:rPr>
          <w:sz w:val="14"/>
        </w:rPr>
      </w:pPr>
      <w:r>
        <w:rPr>
          <w:sz w:val="14"/>
        </w:rPr>
        <w:t>Emitido em 06/11/2025 15:11</w:t>
      </w:r>
    </w:p>
    <w:p>
      <w:pPr>
        <w:pStyle w:val="BodyText"/>
        <w:spacing w:before="11"/>
        <w:rPr>
          <w:sz w:val="13"/>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0243429-22.2022.8.06.0001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Serviços Hospitalares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EDNA PERDIGAO CARVALHO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MARCILIO BARBOSA MOREIRA - (CE24339-A)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GEAP AUTOGESTAO EM SAUDE</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022"/>
              <w:rPr>
                <w:sz w:val="20"/>
              </w:rPr>
            </w:pPr>
            <w:r>
              <w:rPr>
                <w:sz w:val="20"/>
              </w:rPr>
              <w:t>UIARA RODRIGUES SANTANA - (DF34209-A) GABRIEL ALBANESE DINIZ DE ARAUJO -</w:t>
            </w:r>
            <w:r>
              <w:rPr>
                <w:spacing w:val="-17"/>
                <w:sz w:val="20"/>
              </w:rPr>
              <w:t> </w:t>
            </w:r>
            <w:r>
              <w:rPr>
                <w:sz w:val="20"/>
              </w:rPr>
              <w:t>(DF20334-A)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3011387-45.2025.8.06.0000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Suspensão da Cobrança - Devedor Beneficiário de Assistência Judiciária Gratuita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LEDA HOLANDA BATISTA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LUCAS DUAVY PONTES - (CE38128-A)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0239579-86.2024.8.06.0001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LEUCIA DE PAULA PESSOA SA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IGOR REBOUCAS PAULA - (CE33060-A)</w:t>
            </w:r>
          </w:p>
          <w:p>
            <w:pPr>
              <w:pStyle w:val="TableParagraph"/>
              <w:spacing w:line="208" w:lineRule="auto" w:before="9"/>
              <w:ind w:right="2516"/>
              <w:rPr>
                <w:sz w:val="20"/>
              </w:rPr>
            </w:pPr>
            <w:r>
              <w:rPr>
                <w:sz w:val="20"/>
              </w:rPr>
              <w:t>IGOR IAN DOS SANTOS GARRETT DA SILVA - (CE38693-A) VICTOR LUIZ DE SOUZA GONZAGA - (CE44862-A)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4"/>
        <w:rPr>
          <w:sz w:val="11"/>
        </w:rPr>
      </w:pPr>
      <w:r>
        <w:rPr/>
        <w:pict>
          <v:shape style="position:absolute;margin-left:30pt;margin-top:9.003906pt;width:545pt;height:.1pt;mso-position-horizontal-relative:page;mso-position-vertical-relative:paragraph;z-index:-15728640;mso-wrap-distance-left:0;mso-wrap-distance-right:0" coordorigin="600,180" coordsize="10900,0" path="m600,180l11500,180e" filled="false" stroked="true" strokeweight="1pt" strokecolor="#bfbfbf">
            <v:path arrowok="t"/>
            <v:stroke dashstyle="solid"/>
            <w10:wrap type="topAndBottom"/>
          </v:shape>
        </w:pict>
      </w:r>
    </w:p>
    <w:p>
      <w:pPr>
        <w:spacing w:after="0"/>
        <w:rPr>
          <w:sz w:val="11"/>
        </w:rPr>
        <w:sectPr>
          <w:footerReference w:type="default" r:id="rId5"/>
          <w:type w:val="continuous"/>
          <w:pgSz w:w="11900" w:h="16840"/>
          <w:pgMar w:footer="537" w:top="80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0235591-57.2024.8.06.0001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MANUEL MICIAS RIBEIRO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DIONNATHAN DUARTE DA SILVA - (CE43029-A)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ASSOCIACAO BRASILEIRA DOS APOSENTADOS E PENSIONISTAS DA NACAO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ANDERSON DE ALMEIDA FREITAS - (DF22748-A)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0200828-47.2024.8.06.0157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RODRIGUES ARAGAO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916"/>
              <w:rPr>
                <w:sz w:val="20"/>
              </w:rPr>
            </w:pPr>
            <w:r>
              <w:rPr>
                <w:sz w:val="20"/>
              </w:rPr>
              <w:t>LARISSA GOMES LOURENCO - (CE49496-A) BRUNA MESQUITA ROCHA - (CE30550-A)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FACTA FINANCEIRA S.A. CREDITO, FINANCIAMENTO E INVESTIMENTO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3000430-57.2025.8.06.0170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LIDUINA RODRIGUES DE SOUSA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GUSTAVO MUNIZ DE MESQUITA - (CE31449-A)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ROBERTO DOREA PESSOA - (BA12407-A)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0051458-58.2020.8.06.0084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MERCANTIL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ANTONIO EDIMAR PEREIRA</w:t>
            </w:r>
          </w:p>
        </w:tc>
      </w:tr>
    </w:tbl>
    <w:p>
      <w:pPr>
        <w:spacing w:after="0"/>
        <w:rPr>
          <w:sz w:val="20"/>
        </w:rPr>
        <w:sectPr>
          <w:footerReference w:type="default" r:id="rId7"/>
          <w:pgSz w:w="11900" w:h="16840"/>
          <w:pgMar w:footer="537" w:header="0" w:top="780" w:bottom="720" w:left="480" w:right="280"/>
          <w:pgNumType w:start="2"/>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0051458-58.2020.8.06.0084</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WANDICK ALMEIDA DE ANDRADE - (CE40988-A)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0201712-46.2024.8.06.0070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ZITA ARAUJO COSTA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882"/>
              <w:rPr>
                <w:sz w:val="20"/>
              </w:rPr>
            </w:pPr>
            <w:r>
              <w:rPr>
                <w:sz w:val="20"/>
              </w:rPr>
              <w:t>JESSICA ESTEVAM BARBOSA - (CE47125-A) FLAVIO BARBOZA MATOS - (CE28410-A) SUELLEN GUEDES PEREIRA - (CE49428-A)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3001404-78.2025.8.06.0143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ANTONIA MACEDO MOREIRA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EMANUEL RODRIGUES DA CRUZ - (CE30411-A)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0200025-02.2023.8.06.0092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LOURDES SOUTO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ANNA RONNERIA LACERDA SOUZA - (DF62386-B)</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8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5527"/>
              <w:rPr>
                <w:sz w:val="20"/>
              </w:rPr>
            </w:pPr>
            <w:r>
              <w:rPr>
                <w:sz w:val="20"/>
              </w:rPr>
              <w:t>BANCO BRADESCO S/A WILSON SALES BELCHIOR WILSON SALES BELCHIOR</w:t>
            </w:r>
          </w:p>
          <w:p>
            <w:pPr>
              <w:pStyle w:val="TableParagraph"/>
              <w:spacing w:line="20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0201988-62.2023.8.06.0151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0201988-62.2023.8.06.0151</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HONDA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294"/>
              <w:rPr>
                <w:sz w:val="20"/>
              </w:rPr>
            </w:pPr>
            <w:r>
              <w:rPr>
                <w:sz w:val="20"/>
              </w:rPr>
              <w:t>HIRAN LEAO DUARTE - (CE10422-A) ELIETE SANTANA MATOS - (CE10423-A)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LUCIANO FELIX BRAGA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0200423-10.2024.8.06.0028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Cláusulas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LOURDES CHAVES VASCONCELOS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EVERSON BOTELHO SOUSA - (CE33468-A)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738"/>
              <w:rPr>
                <w:sz w:val="20"/>
              </w:rPr>
            </w:pPr>
            <w:r>
              <w:rPr>
                <w:sz w:val="20"/>
              </w:rPr>
              <w:t>CONAFER CONFEDERACAO NACIONAL DOS AGRICULTORES FAMILIARES E EMPREEND.FAMI.RURAIS DO BRASIL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0621370-12.2021.8.06.0000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SANTA LUZIA EMPREENDIMENTOS IMOBILIARIOS S. A. - EM LIQUIDACAO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00"/>
              <w:rPr>
                <w:sz w:val="20"/>
              </w:rPr>
            </w:pPr>
            <w:r>
              <w:rPr>
                <w:sz w:val="20"/>
              </w:rPr>
              <w:t>LUCIANO BATISTA MARANHAO - (PE28887) JOAO OTAVIO MARTINS PIMENTEL -</w:t>
            </w:r>
            <w:r>
              <w:rPr>
                <w:spacing w:val="-16"/>
                <w:sz w:val="20"/>
              </w:rPr>
              <w:t> </w:t>
            </w:r>
            <w:r>
              <w:rPr>
                <w:sz w:val="20"/>
              </w:rPr>
              <w:t>(CE49003-A)</w:t>
            </w:r>
          </w:p>
        </w:tc>
      </w:tr>
      <w:tr>
        <w:trPr>
          <w:trHeight w:val="10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905"/>
              <w:rPr>
                <w:sz w:val="20"/>
              </w:rPr>
            </w:pPr>
            <w:r>
              <w:rPr>
                <w:sz w:val="20"/>
              </w:rPr>
              <w:t>ENOE SANFORD CARNEIRO RAIMUNDO ALBERTO CARNEIRO ANTONIO MAZINI LIMA</w:t>
            </w:r>
          </w:p>
          <w:p>
            <w:pPr>
              <w:pStyle w:val="TableParagraph"/>
              <w:spacing w:line="190" w:lineRule="exact" w:before="0"/>
              <w:rPr>
                <w:sz w:val="20"/>
              </w:rPr>
            </w:pPr>
            <w:r>
              <w:rPr>
                <w:sz w:val="20"/>
              </w:rPr>
              <w:t>EGO - Empresa Geral de Obras S/A</w:t>
            </w:r>
          </w:p>
          <w:p>
            <w:pPr>
              <w:pStyle w:val="TableParagraph"/>
              <w:spacing w:line="215" w:lineRule="exact" w:before="0"/>
              <w:rPr>
                <w:sz w:val="20"/>
              </w:rPr>
            </w:pPr>
            <w:r>
              <w:rPr>
                <w:sz w:val="20"/>
              </w:rPr>
              <w:t>JOSE POMPEU DE VASCONCELOS FILHO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VALTER SERGIO DUARTE FURTADO - (CE2779-A)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0125216-67.2016.8.06.0001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Pagamento em Consignação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ZELINDA GURGEL DO AMARAL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0125216-67.2016.8.06.0001</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ALUISIO GURGEL DO AMARAL NETO - (CE23848-A)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PAULA RIBEIRO DE MENEZES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ZANDER DOS REIS FONTENELE - (CE25888-A)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3000281-86.2025.8.06.0000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Tutela de Urgência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CELIANE GUILHERME SAMPAIO FORTE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RAPHAEL GUILHERME SAMPAIO FORTE - (CE37376-A)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UNIMED DE FORTALEZA COOPERATIVA DE TRABALHO MEDICO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3000796-28.2025.8.06.0031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HONORATA DE SANTANA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0201457-38.2023.8.06.0001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Pecúlios (Art. 81/5)</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ANA ALICE MACEDO DE CARVALHO</w:t>
            </w:r>
          </w:p>
          <w:p>
            <w:pPr>
              <w:pStyle w:val="TableParagraph"/>
              <w:spacing w:line="215" w:lineRule="exact" w:before="0"/>
              <w:rPr>
                <w:sz w:val="20"/>
              </w:rPr>
            </w:pPr>
            <w:r>
              <w:rPr>
                <w:sz w:val="20"/>
              </w:rPr>
              <w:t>FUNDACAO PETROBRAS DE SEGURIDADE SOCIAL PETROS</w:t>
            </w:r>
          </w:p>
        </w:tc>
      </w:tr>
      <w:tr>
        <w:trPr>
          <w:trHeight w:val="1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71"/>
              <w:rPr>
                <w:sz w:val="20"/>
              </w:rPr>
            </w:pPr>
            <w:r>
              <w:rPr>
                <w:sz w:val="20"/>
              </w:rPr>
              <w:t>RUI BARROS LEAL FARIAS - (CE16411-A) RODRIGO MACEDO DE CARVALHO - (CE15470-A) MATHEUS DE AZEVEDO MENDES - (CE40100-A) RUI BARROS LEAL FARIAS - (CE16411-A) RODRIGO MACEDO DE CARVALHO - (CE15470-A) MATHEUS DE AZEVEDO MENDES - (CE40100-A)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2305"/>
              <w:rPr>
                <w:sz w:val="20"/>
              </w:rPr>
            </w:pPr>
            <w:r>
              <w:rPr>
                <w:sz w:val="20"/>
              </w:rPr>
              <w:t>FUNDACAO PETROBRAS DE SEGURIDADE SOCIAL PETROS ANA ALICE MACEDO DE CARVALHO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483"/>
              <w:rPr>
                <w:sz w:val="20"/>
              </w:rPr>
            </w:pPr>
            <w:r>
              <w:rPr>
                <w:sz w:val="20"/>
              </w:rPr>
              <w:t>MIZZI GOMES GEDEON - (MA14371-A) MIZZI GOMES GEDEON - (MA14371-A)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0201457-38.2023.8.06.0001</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3043568-33.2024.8.06.0001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Atualização de Conta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CLEIDE CARVALHO LOPES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MONICA ROCHA BORGES COSTA - (CE9903-A)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3041537-40.2024.8.06.0001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CELIA AMERICO RIBEIRO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MATEUS MORENO FABRICIO - (CE31399-A)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3000576-98.2025.8.06.0170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Descontos dos benefícios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GOMES ALVES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882"/>
              <w:rPr>
                <w:sz w:val="20"/>
              </w:rPr>
            </w:pPr>
            <w:r>
              <w:rPr>
                <w:sz w:val="20"/>
              </w:rPr>
              <w:t>FLAVIO BARBOZA MATOS - (CE28410-A) JESSICA ESTEVAM BARBOSA - (CE47125-A)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ITAU UNIBANCO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3000709-21.2024.8.06.0124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RAIMUNDO MINERGILDO SOBRINHO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3000709-21.2024.8.06.0124</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DEBORA BELEM DE MENDONCA - (CE34734-A)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15"/>
              <w:rPr>
                <w:sz w:val="20"/>
              </w:rPr>
            </w:pPr>
            <w:r>
              <w:rPr>
                <w:sz w:val="20"/>
              </w:rPr>
              <w:t>UNIVERSO ASSOCIACAO DOS APOSENTADOS E PENSIONISTAS DOS REGIMES GERAL DA PREVIDENCIA SOCIAL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0266295-87.2023.8.06.0001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BERNARDO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ITAU UNIBANCO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0000173-02.2012.8.06.0215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Direitos e Títulos de Crédito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894"/>
              <w:rPr>
                <w:sz w:val="20"/>
              </w:rPr>
            </w:pPr>
            <w:r>
              <w:rPr>
                <w:sz w:val="20"/>
              </w:rPr>
              <w:t>JOSE INACIO ROSA BARREIRA - (CE8151-A) DAVID SOMBRA PEIXOTO - (CE16477-A)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2405"/>
              <w:rPr>
                <w:sz w:val="20"/>
              </w:rPr>
            </w:pPr>
            <w:r>
              <w:rPr>
                <w:sz w:val="20"/>
              </w:rPr>
              <w:t>ASSOCIACAO DOS MORADORES DE RIACHO DAS PEDRAS LUIS TEIXEIRA BARBOSA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3000811-79.2025.8.06.0133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ALVES DE SOUSA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MARCIO EMANUEL FERNANDES DE OLIVEIRA - (CE53206-A)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3000241-33.2025.8.06.0056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3000241-33.2025.8.06.0056</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ANTONIA BENTO PEREIRA ANDRADE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LIVIO MARTINS ALVES - (CE15942-A)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SANTANDER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SUELLEN PONCELL DO NASCIMENTO DUARTE - (PE28490-A)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3000464-32.2025.8.06.0170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ALFREDO BARBOSA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GUSTAVO MUNIZ DE MESQUITA - (CE31449-A)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0200046-30.2023.8.06.0107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LIDIA ROCHA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TIAGO ALVES SALDANHA - (CE38507-A)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0208656-14.2023.8.06.0001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SILVIO BARBOSA DE SOUSA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615"/>
              <w:rPr>
                <w:sz w:val="20"/>
              </w:rPr>
            </w:pPr>
            <w:r>
              <w:rPr>
                <w:sz w:val="20"/>
              </w:rPr>
              <w:t>RAISSA MARA DE ANDRADE MEDEIROS E ALMEIDA CARVALHO - (CE32600-A) JULIANA SILVA MOREIRA - (CE43643-A)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PETROBRAS DISTRIBUIDORA S 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LEONARDO MENDES CRUZ - (SP401518-A)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0208656-14.2023.8.06.0001</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0201356-09.2023.8.06.0160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Inventário e 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ELENA AZEVEDO DE BARROS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FRANCISCA JANAINA MAGALHAES TIMBO - (CE33056-A)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0200799-56.2023.8.06.0181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COMPANHIA ENERGETICA DO CEARA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RAIMUNDO CALDAS VIEIRA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VINICIUS DE LIMA ALCANTARA - (CE45130-A)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0050018-11.2021.8.06.0175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Perdas e Danos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LAZIRENE CRISTINO SANTOS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ROCHA DE PAULA JUNIOR - (CE40086-A)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0112154-57.2016.8.06.0001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Direito de Vizinhança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CHARLES SIDNEY ALVES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ELADARIO RAMPAL DA COSTA - (CE23182-A)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0112154-57.2016.8.06.0001</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ANTONIO FLAVIO BARBOSA</w:t>
            </w:r>
          </w:p>
          <w:p>
            <w:pPr>
              <w:pStyle w:val="TableParagraph"/>
              <w:spacing w:line="215" w:lineRule="exact" w:before="0"/>
              <w:rPr>
                <w:sz w:val="20"/>
              </w:rPr>
            </w:pPr>
            <w:r>
              <w:rPr>
                <w:sz w:val="20"/>
              </w:rPr>
              <w:t>MARIA APARECIDA DE ALMEIDA BARBOSA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0192518-79.2017.8.06.0001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Mútuo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360"/>
              <w:rPr>
                <w:sz w:val="20"/>
              </w:rPr>
            </w:pPr>
            <w:r>
              <w:rPr>
                <w:sz w:val="20"/>
              </w:rPr>
              <w:t>JOSE TAVARES MOREIRA - (CE8481-A) ALEXSANDRA DE LIMA - (CE21347-A)</w:t>
            </w:r>
          </w:p>
          <w:p>
            <w:pPr>
              <w:pStyle w:val="TableParagraph"/>
              <w:spacing w:line="205" w:lineRule="exact" w:before="0"/>
              <w:rPr>
                <w:sz w:val="20"/>
              </w:rPr>
            </w:pPr>
            <w:r>
              <w:rPr>
                <w:sz w:val="20"/>
              </w:rPr>
              <w:t>JOSE INACIO ROSA BARREIRA - (CE8151-A)</w:t>
            </w:r>
          </w:p>
        </w:tc>
      </w:tr>
      <w:tr>
        <w:trPr>
          <w:trHeight w:val="8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649"/>
              <w:rPr>
                <w:sz w:val="20"/>
              </w:rPr>
            </w:pPr>
            <w:r>
              <w:rPr>
                <w:sz w:val="20"/>
              </w:rPr>
              <w:t>ANTONIO CARLOS BORGES DA SILVA IMPACTO LOCACOES E CONSTRUCOES LTDA FRANCISCO HELIO RODRIGUES PELUCIO</w:t>
            </w:r>
          </w:p>
          <w:p>
            <w:pPr>
              <w:pStyle w:val="TableParagraph"/>
              <w:spacing w:line="205" w:lineRule="exact" w:before="0"/>
              <w:rPr>
                <w:sz w:val="20"/>
              </w:rPr>
            </w:pPr>
            <w:r>
              <w:rPr>
                <w:sz w:val="20"/>
              </w:rPr>
              <w:t>Sandra Helena de Holanda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0202350-20.2023.8.06.0101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Propriedade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MAYARA TEIXEIRA XAVIER DO AMARAL</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ANTONIA VITORINA DE LIMA SILVA - (CE18523-A)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RECEITA FEDERAL PARA USO DO SISTEMA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0179111-69.2018.8.06.0001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Inventário e 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NELSON SOBREIRA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ALBERTO JORGE CAFE DE ARAUJO - (CE9699)</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CLEIDE FERREIRA DE MENEZES</w:t>
            </w:r>
          </w:p>
          <w:p>
            <w:pPr>
              <w:pStyle w:val="TableParagraph"/>
              <w:spacing w:line="215" w:lineRule="exact" w:before="0"/>
              <w:rPr>
                <w:sz w:val="20"/>
              </w:rPr>
            </w:pPr>
            <w:r>
              <w:rPr>
                <w:sz w:val="20"/>
              </w:rPr>
              <w:t>MARIA JOSE MENEZES DE OLIVEIRA GIFFONI</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60"/>
              <w:rPr>
                <w:sz w:val="20"/>
              </w:rPr>
            </w:pPr>
            <w:r>
              <w:rPr>
                <w:sz w:val="20"/>
              </w:rPr>
              <w:t>ARQUIMEDES FAUSTINO LEITE - (CE36578-A) EDUARDO OLIVEIRA DIOGENES - (CE38706-A)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3001050-64.2025.8.06.0107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BENEDITA PEREIRA NUNES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260"/>
              <w:rPr>
                <w:sz w:val="20"/>
              </w:rPr>
            </w:pPr>
            <w:r>
              <w:rPr>
                <w:sz w:val="20"/>
              </w:rPr>
              <w:t>FRANCISCO EDUARDO DE AQUINO - (RN19203-A) FRANCISCO LEONARDO SOBRINHO - (RN12856-A)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3043012-31.2024.8.06.0001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SANTANDER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DIEGO MONTEIRO BAPTISTA - (RJ153999-A)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DE FATIMA DE SOUSA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WAIRES TALMON COSTA JUNIOR - (MG228858-A)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0201798-54.2024.8.06.0090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RAIMUNDA BEZERRA PATRICIO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116"/>
              <w:rPr>
                <w:sz w:val="20"/>
              </w:rPr>
            </w:pPr>
            <w:r>
              <w:rPr>
                <w:sz w:val="20"/>
              </w:rPr>
              <w:t>JOSE NEWTON FERREIRA DE MEDEIROS FILHO - (CE24754-A) LAZARO VICTOR DE SOUSA - (CE40334-A)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0200202-10.2024.8.06.0066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de Consumo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FRANCILMA DOS SANTOS CRISPIM</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RODRIGO SAMPSON VILAROUCA DE FREITAS LEITE - (CE39524-A)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SANTANDER (BRASIL)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0200202-10.2024.8.06.0066</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LOURENCO GOMES GADELHA DE MOURA - (PE21233-A)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0201168-16.2023.8.06.0160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VALDERY RODRIGUES DO NASCIMENTO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293"/>
              <w:rPr>
                <w:sz w:val="20"/>
              </w:rPr>
            </w:pPr>
            <w:r>
              <w:rPr>
                <w:sz w:val="20"/>
              </w:rPr>
              <w:t>FRANCISCO GUSTAVO MUNIZ DE MESQUITA - (CE31449-A) ANTONIO FABRICIO MARTINS SAMPAIO SILVA - (CE43412-A)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SANTANDER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DENIO MOREIRA DE CARVALHO JUNIOR - (MG41796-A)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MARTA FONSECA NOGUEIRA</w:t>
            </w:r>
          </w:p>
          <w:p>
            <w:pPr>
              <w:pStyle w:val="TableParagraph"/>
              <w:spacing w:line="21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0265295-86.2022.8.06.0001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JAYMISON DA SILVA PEREIRA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115"/>
              <w:rPr>
                <w:sz w:val="20"/>
              </w:rPr>
            </w:pPr>
            <w:r>
              <w:rPr>
                <w:sz w:val="20"/>
              </w:rPr>
              <w:t>ARNON CARVALHO VIANA - (CE46660-A) ROSANGELA MARIA CARVALHO VIANA - (CE5509-A)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AGUA VIVA ASSESSORIA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083"/>
              <w:rPr>
                <w:sz w:val="20"/>
              </w:rPr>
            </w:pPr>
            <w:r>
              <w:rPr>
                <w:sz w:val="20"/>
              </w:rPr>
              <w:t>LUCAS FROTA RODRIGUES - (CE29383-A) CAIO FROTA RODRIGUES - (CE21933-A)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0238312-79.2024.8.06.0001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Prestação de Serviços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JAIR CELIO MOREIRA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871"/>
              <w:rPr>
                <w:sz w:val="20"/>
              </w:rPr>
            </w:pPr>
            <w:r>
              <w:rPr>
                <w:sz w:val="20"/>
              </w:rPr>
              <w:t>PATRICIA DE MELO ACIOLY - (CE37818-A) JAIR CELIO MOREIRA JUNIOR - (CE21215-A)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0228099-14.2024.8.06.0001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0228099-14.2024.8.06.0001</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ROMULO DE PADUA PIRES FREIRE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BRUNO BOYADJIAN SOBREIRA - (CE38828-A)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SANTANDER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LOURENCO GOMES GADELHA DE MOURA - (PE21233-A)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3000327-69.2025.8.06.0099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DO LIVRAMENTO ALVES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WALDEGLES GELCK LEAL DE CASTRO - (PR95206-A)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571"/>
              <w:rPr>
                <w:sz w:val="20"/>
              </w:rPr>
            </w:pPr>
            <w:r>
              <w:rPr>
                <w:sz w:val="20"/>
              </w:rPr>
              <w:t>ANTONIO DE MORAES DOURADO NETO - (PE23255-A) JULIANA MARA LIMA DE OLIVEIRA SOARES - (CE32851-A)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0200206-11.2025.8.06.0099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Fixação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Johnathan Henrique Soares Batista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 Z. G. B.</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0050716-93.2021.8.06.0182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JACILDA MARIA VERAS FONTENELE</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LORENA SOUSA FONTENELE - (CE32838-A)</w:t>
            </w:r>
          </w:p>
          <w:p>
            <w:pPr>
              <w:pStyle w:val="TableParagraph"/>
              <w:spacing w:line="208" w:lineRule="auto" w:before="9"/>
              <w:ind w:right="2549"/>
              <w:rPr>
                <w:sz w:val="20"/>
              </w:rPr>
            </w:pPr>
            <w:r>
              <w:rPr>
                <w:sz w:val="20"/>
              </w:rPr>
              <w:t>ITALO GARCEZ MOREIRA DA ROCHA - (CE32006-A) FRANCISCO JOSE RAMOS DE LIMA JUNIOR - (CE28344-A)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0050716-93.2021.8.06.0182</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0254295-21.2024.8.06.0001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Liminar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UNIMED DO CE FED DAS COOP DE TRAB MED DO EST DO CE LTDA</w:t>
            </w:r>
          </w:p>
        </w:tc>
      </w:tr>
      <w:tr>
        <w:trPr>
          <w:trHeight w:val="1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016"/>
              <w:rPr>
                <w:sz w:val="20"/>
              </w:rPr>
            </w:pPr>
            <w:r>
              <w:rPr>
                <w:sz w:val="20"/>
              </w:rPr>
              <w:t>JOSE MENESCAL DE ANDRADE JUNIOR - (CE6018-A) VICTOR DE CARVALHO RODRIGUES - (CE33232-A) JUDITH MARTINS LEMOS NETA - (CE43146-A) DANIELLA ALMEIDA DA SILVA - (CE47415-A)</w:t>
            </w:r>
          </w:p>
          <w:p>
            <w:pPr>
              <w:pStyle w:val="TableParagraph"/>
              <w:spacing w:line="208" w:lineRule="auto" w:before="0"/>
              <w:ind w:right="2815"/>
              <w:rPr>
                <w:sz w:val="20"/>
              </w:rPr>
            </w:pPr>
            <w:r>
              <w:rPr>
                <w:sz w:val="20"/>
              </w:rPr>
              <w:t>HEVILA SILVA FERNANDES DE OLIVEIRA - (CE36270-A) JOAQUIM ROCHA DE LUCENA NETO - (CE16042-A) ACHERNAR SENA DE SOUZA - (CE29351-A)</w:t>
            </w:r>
          </w:p>
          <w:p>
            <w:pPr>
              <w:pStyle w:val="TableParagraph"/>
              <w:spacing w:line="208" w:lineRule="auto" w:before="0"/>
              <w:ind w:right="2615"/>
              <w:rPr>
                <w:sz w:val="20"/>
              </w:rPr>
            </w:pPr>
            <w:r>
              <w:rPr>
                <w:sz w:val="20"/>
              </w:rPr>
              <w:t>YAGO PINHEIRO DE VASCONCELOS - (CE43102-A) GIOVANNI PAULO DE VASCONCELOS SILVA - (CE8579-A)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JAMMS MAGALHAES LIMA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MAGELA MARIA TOME PRADO BEZERRA - (CE50294-A)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0202805-57.2024.8.06.0001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ROSANA DA SILVA DIOGO COLARES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CIBELE SOMBRA DE ALENCAR ARARIPE - (CE29757-A)</w:t>
            </w:r>
          </w:p>
          <w:p>
            <w:pPr>
              <w:pStyle w:val="TableParagraph"/>
              <w:spacing w:line="215" w:lineRule="exact" w:before="0"/>
              <w:rPr>
                <w:sz w:val="20"/>
              </w:rPr>
            </w:pPr>
            <w:r>
              <w:rPr>
                <w:sz w:val="20"/>
              </w:rPr>
              <w:t>LUANA MARIA PINHEIRO DE BARROS SANGUINETTI - (CE42719-A)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HENRY TEIXEIRA DA SILVA</w:t>
            </w:r>
          </w:p>
          <w:p>
            <w:pPr>
              <w:pStyle w:val="TableParagraph"/>
              <w:spacing w:line="215" w:lineRule="exact" w:before="0"/>
              <w:rPr>
                <w:sz w:val="20"/>
              </w:rPr>
            </w:pPr>
            <w:r>
              <w:rPr>
                <w:sz w:val="20"/>
              </w:rPr>
              <w:t>LAILA PRISCILA AUTRAN DA CUNHA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CHARLES GOIANA DE ANDRADE - (CE20160-A)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3003516-93.2025.8.06.0151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49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JOSE DA SILVA FILHO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ITAU UNIBANCO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0270747-48.2020.8.06.0001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Compra e Venda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Digitel S.a. Industria Eletronica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CAROLINA MAYER LINCK FERRUGEM - (RS106715)</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Telefonica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GRACIELE PINHEIRO LINS LIMA - (CE40220-A)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3044450-92.2024.8.06.0001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Atualização de Conta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FERNANDES PEREIRA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027"/>
              <w:rPr>
                <w:sz w:val="20"/>
              </w:rPr>
            </w:pPr>
            <w:r>
              <w:rPr>
                <w:sz w:val="20"/>
              </w:rPr>
              <w:t>ANTONIO DE HOLANDA CAVALCANTE SEGUNDO - (CE21999-A) LEANDRO DUARTE VASQUES - (CE10698-A)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0275020-02.2022.8.06.0001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Oferta e Publicidade</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MARCOS VINICIUS MORAIS LINHARES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Corpvs Seguranca Eletronica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27"/>
              <w:rPr>
                <w:sz w:val="20"/>
              </w:rPr>
            </w:pPr>
            <w:r>
              <w:rPr>
                <w:sz w:val="20"/>
              </w:rPr>
              <w:t>RENO PORTO CESAR BERTOSI - (CE18902-A) FILIPPE VASQUES SAMPAIO - (CE25390-A)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3058570-09.2025.8.06.0001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LAN PRODUCOES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RODRIGO PHAGNER DE MENDONCA CALHEIROS - (AL15100-A)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NORDESTE DO BRASIL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3058570-09.2025.8.06.0001</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TARCISIO REBOUCAS PORTO JUNIOR - (CE7216-A)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0241480-60.2022.8.06.0001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649"/>
              <w:rPr>
                <w:sz w:val="20"/>
              </w:rPr>
            </w:pPr>
            <w:r>
              <w:rPr>
                <w:sz w:val="20"/>
              </w:rPr>
              <w:t>UNIMED DO CEARÁ LTDA - FEDERAÇÃO DAS COOPERATIVAS DE TRABALHO MÉDICO DO ESTADO DO CEARÁ LTDA.</w:t>
            </w:r>
          </w:p>
        </w:tc>
      </w:tr>
      <w:tr>
        <w:trPr>
          <w:trHeight w:val="10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016"/>
              <w:rPr>
                <w:sz w:val="20"/>
              </w:rPr>
            </w:pPr>
            <w:r>
              <w:rPr>
                <w:sz w:val="20"/>
              </w:rPr>
              <w:t>VICTOR DE CARVALHO RODRIGUES - (CE33232-A) JOSE MENESCAL DE ANDRADE JUNIOR - (CE6018-A)</w:t>
            </w:r>
          </w:p>
          <w:p>
            <w:pPr>
              <w:pStyle w:val="TableParagraph"/>
              <w:spacing w:line="208" w:lineRule="auto" w:before="0"/>
              <w:ind w:right="2615"/>
              <w:rPr>
                <w:sz w:val="20"/>
              </w:rPr>
            </w:pPr>
            <w:r>
              <w:rPr>
                <w:sz w:val="20"/>
              </w:rPr>
              <w:t>GIOVANNI PAULO DE VASCONCELOS SILVA - (CE8579-A) ACHERNAR SENA DE SOUZA - (CE29351-A)</w:t>
            </w:r>
          </w:p>
          <w:p>
            <w:pPr>
              <w:pStyle w:val="TableParagraph"/>
              <w:spacing w:line="205" w:lineRule="exact" w:before="0"/>
              <w:rPr>
                <w:sz w:val="20"/>
              </w:rPr>
            </w:pPr>
            <w:r>
              <w:rPr>
                <w:sz w:val="20"/>
              </w:rPr>
              <w:t>JOAQUIM ROCHA DE LUCENA NETO - (CE16042-A)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 C. A. P. C.</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CARNEIRO PACHECO NETO - (CE42072-A)</w:t>
            </w:r>
          </w:p>
        </w:tc>
      </w:tr>
      <w:tr>
        <w:trPr>
          <w:trHeight w:val="6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4760"/>
              <w:rPr>
                <w:sz w:val="20"/>
              </w:rPr>
            </w:pPr>
            <w:r>
              <w:rPr>
                <w:sz w:val="20"/>
              </w:rPr>
              <w:t>JOAO PAULO CHAVES REBOUCAS JANALINE DE ALMEIDA PACHECO</w:t>
            </w:r>
          </w:p>
          <w:p>
            <w:pPr>
              <w:pStyle w:val="TableParagraph"/>
              <w:spacing w:line="20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0228310-50.2024.8.06.0001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TEREZINHA DA COSTA CAMPOS DE LIMA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JENIFER TAIS OVIEDO GIACOMINI - (MG224534-A)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BETACRUX SECURITIZADORA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GUILHERME GOMES DE CARVALHO MACEDO - (SP415538-A)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0541501-12.2012.8.06.0001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Cédula de Crédito Bancário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 J Freire Neto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DE QUEIROZ CHAVES - (CE15780-A)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0201618-61.2023.8.06.0029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VANDSON LEONARDO DE ARAUJO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RUAN CARLOS DA SILVA SOARES - (CE43870-A)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COMPANHIA ENERGETICA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3011820-49.2025.8.06.0000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LEMOS TOME JUNIOR</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HAROLDO GUERRA LOBO - (CE15166-A)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C6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CRISTIANE BELINATI GARCIA LOPES - (CE23649-A)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0201700-24.2023.8.06.0084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59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CELIA BEZERRA DE SOUSA ARAUJO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RODRIGUES DE SOUZA - (CE39497-A)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0011798-50.2013.8.06.0101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Doação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ASSOCIACAO DA COMUNIDADE OBREIROS DA TARDINHA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CARLOS NASCIMENTO DE SOUSA - (CE9641-A)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CIRCULO DE TRABALHADORES CRISTAOS DE ITAPIPOCA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EURIAN TEIXEIRA ASSUNCAO - (CE6252-A)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0011798-50.2013.8.06.0101</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0022582-33.2016.8.06.0117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Direito de Imagem</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YAGO PEREIRA FARIAS SARAIVA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16"/>
              <w:rPr>
                <w:sz w:val="20"/>
              </w:rPr>
            </w:pPr>
            <w:r>
              <w:rPr>
                <w:sz w:val="20"/>
              </w:rPr>
              <w:t>GUSTAVO CASTRO MELO - (CE30816-A) CRISTINE CASTRO MELO SOARES - (CE26178-A) JOSE DE ALMEIDA MELO JUNIOR - (CE7518-A)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MARACANAU SHOPPING CENTER</w:t>
            </w:r>
          </w:p>
          <w:p>
            <w:pPr>
              <w:pStyle w:val="TableParagraph"/>
              <w:spacing w:line="215" w:lineRule="exact" w:before="0"/>
              <w:rPr>
                <w:sz w:val="20"/>
              </w:rPr>
            </w:pPr>
            <w:r>
              <w:rPr>
                <w:sz w:val="20"/>
              </w:rPr>
              <w:t>ANCAR IVANHOE ADMINISTRADORA DE SHOPPING CENTERS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CAIO ITALO DA SILVA ALVES - (CE44547-A)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0203288-79.2023.8.06.0112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Cartão de Crédito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ARMANDO FRANCA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GEORGE HIDASI FILHO - (GO39612-A)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RONALDO NOGUEIRA SIMOES - (CE17801-A)</w:t>
            </w:r>
          </w:p>
          <w:p>
            <w:pPr>
              <w:pStyle w:val="TableParagraph"/>
              <w:spacing w:line="215" w:lineRule="exact" w:before="0"/>
              <w:rPr>
                <w:sz w:val="20"/>
              </w:rPr>
            </w:pPr>
            <w:r>
              <w:rPr>
                <w:sz w:val="20"/>
              </w:rPr>
              <w:t>JOAO VITOR CHAVES MARQUES DIAS - (CE30348-A)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0273533-60.2023.8.06.0001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LUIZ CARLOS PIMENTA COMITANTE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BMG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ANTONIO DE MORAES DOURADO NETO - (PE23255-A)</w:t>
            </w:r>
          </w:p>
          <w:p>
            <w:pPr>
              <w:pStyle w:val="TableParagraph"/>
              <w:spacing w:line="215" w:lineRule="exact" w:before="0"/>
              <w:rPr>
                <w:sz w:val="20"/>
              </w:rPr>
            </w:pPr>
            <w:r>
              <w:rPr>
                <w:sz w:val="20"/>
              </w:rPr>
              <w:t>LUIZ AUGUSTO ABRANTES PEQUENO JUNIOR - (CE23178-A)</w:t>
            </w:r>
          </w:p>
        </w:tc>
      </w:tr>
      <w:tr>
        <w:trPr>
          <w:trHeight w:val="6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4256"/>
              <w:rPr>
                <w:sz w:val="20"/>
              </w:rPr>
            </w:pPr>
            <w:r>
              <w:rPr>
                <w:sz w:val="20"/>
              </w:rPr>
              <w:t>JOÃO CARLOS JUNIOR SIDOU EVILÁSIO PEREIRA DOS SANTOS</w:t>
            </w:r>
            <w:r>
              <w:rPr>
                <w:spacing w:val="2"/>
                <w:sz w:val="20"/>
              </w:rPr>
              <w:t> </w:t>
            </w:r>
            <w:r>
              <w:rPr>
                <w:spacing w:val="-4"/>
                <w:sz w:val="20"/>
              </w:rPr>
              <w:t>FILHO</w:t>
            </w:r>
          </w:p>
          <w:p>
            <w:pPr>
              <w:pStyle w:val="TableParagraph"/>
              <w:spacing w:line="20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0200776-12.2023.8.06.0052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0200776-12.2023.8.06.0052</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Levantamento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R. S. S.</w:t>
            </w:r>
          </w:p>
          <w:p>
            <w:pPr>
              <w:pStyle w:val="TableParagraph"/>
              <w:spacing w:line="208" w:lineRule="auto" w:before="9"/>
              <w:ind w:right="5116"/>
              <w:rPr>
                <w:sz w:val="20"/>
              </w:rPr>
            </w:pPr>
            <w:r>
              <w:rPr>
                <w:sz w:val="20"/>
              </w:rPr>
              <w:t>RAMON SILVA SOUSA FRANCISCA JANOCA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REGILA FURTADO DA SILVA - (CE45857-A)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jurisdicao voluntaria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0001404-41.2018.8.06.0090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ORINEIDE DE SOUZA FERNANDES PEREIRA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KERGINALDO CANDIDO PEREIRA - (CE18629-A)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672"/>
              <w:rPr>
                <w:sz w:val="20"/>
              </w:rPr>
            </w:pPr>
            <w:r>
              <w:rPr>
                <w:sz w:val="20"/>
              </w:rPr>
              <w:t>BANCO MERCANTIL DO BRASIL SA BANCO MERCANTIL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FERNANDO MOREIRA DRUMMOND TEIXEIRA - (MG108112-A)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0200164-07.2024.8.06.0160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PEREIRA DE SOUSA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12"/>
              <w:rPr>
                <w:sz w:val="20"/>
              </w:rPr>
            </w:pPr>
            <w:r>
              <w:rPr>
                <w:sz w:val="20"/>
              </w:rPr>
              <w:t>DANIEL FARIAS TAVARES - (CE24902-A) JOAO AFONSO PARENTE NETO -</w:t>
            </w:r>
            <w:r>
              <w:rPr>
                <w:spacing w:val="-17"/>
                <w:sz w:val="20"/>
              </w:rPr>
              <w:t> </w:t>
            </w:r>
            <w:r>
              <w:rPr>
                <w:sz w:val="20"/>
              </w:rPr>
              <w:t>(CE29387-A)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105"/>
              <w:rPr>
                <w:sz w:val="20"/>
              </w:rPr>
            </w:pPr>
            <w:r>
              <w:rPr>
                <w:sz w:val="20"/>
              </w:rPr>
              <w:t>SEBRASEG CLUBE DE BENEFICIOS LTDA BANCO BRADESCO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893"/>
              <w:rPr>
                <w:sz w:val="20"/>
              </w:rPr>
            </w:pPr>
            <w:r>
              <w:rPr>
                <w:sz w:val="20"/>
              </w:rPr>
              <w:t>JOANA GONCALVES VARGAS - (RS75798-A) VIVIANI FRANCO PEREIRA - (SP410071-A)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3004502-33.2024.8.06.0167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CRISTIANE BELINATI GARCIA LOPES - (CE23649-A)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3004502-33.2024.8.06.0167</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IGO SOUSA GONCALVES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3030262-94.2024.8.06.0001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OMEGA EDITORA COMERCIO E SERVICOS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ABRAAO LINCOLN SOUSA PONTE - (CE30395-A)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VOLKSWAGEN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249"/>
              <w:rPr>
                <w:sz w:val="20"/>
              </w:rPr>
            </w:pPr>
            <w:r>
              <w:rPr>
                <w:sz w:val="20"/>
              </w:rPr>
              <w:t>FLAVIO NEVES COSTA - (SP153447-A) RICARDO NEVES COSTA - (SP120394-A)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0190176-95.2017.8.06.0001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69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TERESA NEGREIROS - (CE9555-A)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ASSOCIACAO COMUNITARIA DO CORREGO DAS PEDRAS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PEDRO ALBERNAN CRESCENCIO DANTAS - (CE9274-A)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0155933-28.2017.8.06.0001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Franquia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INDUSTRIA CEARENSE DE COLCHOES E ESPUMAS LTDA</w:t>
            </w:r>
          </w:p>
        </w:tc>
      </w:tr>
      <w:tr>
        <w:trPr>
          <w:trHeight w:val="10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771"/>
              <w:rPr>
                <w:sz w:val="20"/>
              </w:rPr>
            </w:pPr>
            <w:r>
              <w:rPr>
                <w:sz w:val="20"/>
              </w:rPr>
              <w:t>GUILHERME MATOS CARDOSO - (SP249787-A) DENYSON SALES DO NASCIMENTO RIOS - (CE19995-A) FELIPE SILVEIRA GURGEL DO AMARAL - (CE18476-A) GUSTAVO LORENZI DE CASTRO - (SP129134-A)</w:t>
            </w:r>
          </w:p>
          <w:p>
            <w:pPr>
              <w:pStyle w:val="TableParagraph"/>
              <w:spacing w:line="205" w:lineRule="exact" w:before="0"/>
              <w:rPr>
                <w:sz w:val="20"/>
              </w:rPr>
            </w:pPr>
            <w:r>
              <w:rPr>
                <w:sz w:val="20"/>
              </w:rPr>
              <w:t>FABIO ZECH SYLVESTRE - (CE19215-A)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SONHO BOM TIROL COMERCIO DE COLCHOES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NATALIA MARQUES REIS - (CE28316-A)</w:t>
            </w:r>
          </w:p>
          <w:p>
            <w:pPr>
              <w:pStyle w:val="TableParagraph"/>
              <w:spacing w:line="215" w:lineRule="exact" w:before="0"/>
              <w:rPr>
                <w:sz w:val="20"/>
              </w:rPr>
            </w:pPr>
            <w:r>
              <w:rPr>
                <w:sz w:val="20"/>
              </w:rPr>
              <w:t>PAULO NAPOLEAO GONCALVES QUEZADO - (CE3183-A)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3067014-31.2025.8.06.0001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ROSIANE SOUSA DA GUIA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LEANDRO DE ARAUJO SAMPAIO - (CE32509-A)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VOLKSWAGEN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DE ASSIS LELIS DE MOURA JUNIOR - (PE23289-A)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0106205-47.2019.8.06.0001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Seguro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727"/>
              <w:rPr>
                <w:sz w:val="20"/>
              </w:rPr>
            </w:pPr>
            <w:r>
              <w:rPr>
                <w:sz w:val="20"/>
              </w:rPr>
              <w:t>BANCO BRADESCO FINANCIAMENTOS S.A. CARDIF DO BRASIL VIDA E PREVIDENCIA S/A BRADESCO VIDA E PREVIDENCIA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WILSON PESSOA DO NASCIMENTO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938"/>
              <w:rPr>
                <w:sz w:val="20"/>
              </w:rPr>
            </w:pPr>
            <w:r>
              <w:rPr>
                <w:sz w:val="20"/>
              </w:rPr>
              <w:t>GUSTAVO ALBANO AMORIM SOBREIRA - (CE13552-A) JORGE LEITE CHIANCA FILHO - (CE31177-A)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0203489-97.2023.8.06.0071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GALDINO NETO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LUCAS FREITAS VIANA DINIZ - (CE27345-A)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SAMPAIO DE MENEZES JUNIOR - (CE9075-A)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3661"/>
              <w:rPr>
                <w:sz w:val="20"/>
              </w:rPr>
            </w:pPr>
            <w:r>
              <w:rPr>
                <w:sz w:val="20"/>
              </w:rPr>
              <w:t>JUSSARA HENRIQUE DE LIMA CAMPOS 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0201029-71.2024.8.06.0114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LOURDES BISPO BESERRA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0201029-71.2024.8.06.0114</w:t>
            </w:r>
          </w:p>
        </w:tc>
      </w:tr>
      <w:tr>
        <w:trPr>
          <w:trHeight w:val="10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VANESSA LIMA DE OLIVEIRA - (CE41177-A)</w:t>
            </w:r>
          </w:p>
          <w:p>
            <w:pPr>
              <w:pStyle w:val="TableParagraph"/>
              <w:spacing w:line="208" w:lineRule="auto" w:before="9"/>
              <w:ind w:right="1715"/>
              <w:rPr>
                <w:sz w:val="20"/>
              </w:rPr>
            </w:pPr>
            <w:r>
              <w:rPr>
                <w:sz w:val="20"/>
              </w:rPr>
              <w:t>MARIA EUGENIA FILGUEIRAS MILFONT DE ALMEIDA - (CE52483-A) RENATO ALVES DE MELO - (CE29801-A)</w:t>
            </w:r>
          </w:p>
          <w:p>
            <w:pPr>
              <w:pStyle w:val="TableParagraph"/>
              <w:spacing w:line="208" w:lineRule="auto" w:before="0"/>
              <w:ind w:right="2859"/>
              <w:rPr>
                <w:sz w:val="20"/>
              </w:rPr>
            </w:pPr>
            <w:r>
              <w:rPr>
                <w:sz w:val="20"/>
              </w:rPr>
              <w:t>JHYULLY CAVALCANTE BESERRA LEITE - (CE42362-A) JULIANA RIBEIRO PROCOPIO - (CE52620-A)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ASSOCIACAO BRASILEIRA DOS APOSENTADOS E PENSIONISTAS DA NACAO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CASSIO ROBERTO ALMEIDA DE BARROS - (DF26296-A)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0200487-66.2023.8.06.0121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Registro Civil das Pessoas Naturais</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316"/>
              <w:rPr>
                <w:sz w:val="20"/>
              </w:rPr>
            </w:pPr>
            <w:r>
              <w:rPr>
                <w:sz w:val="20"/>
              </w:rPr>
              <w:t>ANDRESSA DOS SANTOS DE OLIVEIRA JEAN BRAZ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RANULFO MAGALHAES RODRIGUES JUNIOR - (CE21594-A)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0050071-52.2021.8.06.0058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Acidente de Trânsito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EXPEDITA DA SILVA RODRIGUES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RENAN MARTINS ALBUQUERQUE - (CE28534-A)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SEGURADORA LIDER DOS CONSORCIOS DO SEGURO DPVAT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ALVARO LUIZ DA COSTA FERNANDES - (CE32405-A)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0209859-74.2024.8.06.0001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ALZIRA MACIEL PASSOS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0024359-66.2023.8.06.0001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Direito de Preferência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MARISA LOJAS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38"/>
              <w:rPr>
                <w:sz w:val="20"/>
              </w:rPr>
            </w:pPr>
            <w:r>
              <w:rPr>
                <w:sz w:val="20"/>
              </w:rPr>
              <w:t>MARCELO DOMINGUES PEREIRA - (SP174336-A) CAMILA BARRETO AFONSO - (SP385345-A)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CONSORCIO SHOPPING PARANGABA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AMANDA ARRAES DE ALENCAR PONTES - (CE32111-A)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3006010-32.2024.8.06.0064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79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Retificação de Nome</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547"/>
              <w:rPr>
                <w:sz w:val="20"/>
              </w:rPr>
            </w:pPr>
            <w:r>
              <w:rPr>
                <w:sz w:val="20"/>
              </w:rPr>
              <w:t>MARIA PEREIRA DA SILVA VERONICA MOURA DA SILVA NUNES</w:t>
            </w:r>
          </w:p>
          <w:p>
            <w:pPr>
              <w:pStyle w:val="TableParagraph"/>
              <w:spacing w:line="205" w:lineRule="exact" w:before="0"/>
              <w:rPr>
                <w:sz w:val="20"/>
              </w:rPr>
            </w:pPr>
            <w:r>
              <w:rPr>
                <w:sz w:val="20"/>
              </w:rPr>
              <w:t>MARIA DO ROSARIO DA SILVA MAGALHAES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Desconhecido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0272090-40.2024.8.06.0001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LUIZA DE MARILAC SOARES DOS SANTOS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NATHALIA GUILHERME BENEVIDES BORGES - (CE28463-A)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0278230-90.2024.8.06.0001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DE ASSIS FERREIRA DIOGENES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JULIANA MATTOS MAGALHAES ROLIM - (CE12800-A)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0278230-90.2024.8.06.0001</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0277685-20.2024.8.06.0001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RAIMUNDO HEIDE PINHEIRO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JULIANA MATTOS MAGALHAES ROLIM - (CE12800-A)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3001204-47.2025.8.06.0151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ALVES DE SOUSA FILHO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04"/>
              <w:rPr>
                <w:sz w:val="20"/>
              </w:rPr>
            </w:pPr>
            <w:r>
              <w:rPr>
                <w:sz w:val="20"/>
              </w:rPr>
              <w:t>MARLA ISEUDA DA SILVA BARROS - (CE34912-A) 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PARANA BANCO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CAMILLA DO VALE JIMENE - (SP222815-A)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3000194-37.2025.8.06.0031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FATIMA PEREIRA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3000804-26.2024.8.06.0100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3000804-26.2024.8.06.0100</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Abatimento proporcional do preço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LUISA DE OLIVEIRA PINTO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ADRIANO RODRIGUES FONSECA - (CE31130-A)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AGIPLAN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EUGENIO COSTA FERREIRA DE MELO - (MG103082-A)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3003054-17.2025.8.06.0029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DUARTE SOARES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AUGUSTO OLIVEIRA PAES DE ANDRADE - (CE38088-A)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PLACIDO DE SALES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EDUARDO CHAVES DE ALENCAR - (CE30525-A)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OLE BONSUCESSO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THOMAZ PRAZERES GONDIM - (ES18694-A)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&lt;strong&gt;PROCESSO&lt;/strong&gt;:&amp;#160;3001178-60.2025.8.06.0115 -&amp;#160;APELAÇÃO</w:t>
            </w:r>
          </w:p>
          <w:p>
            <w:pPr>
              <w:pStyle w:val="TableParagraph"/>
              <w:tabs>
                <w:tab w:pos="1216" w:val="left" w:leader="none"/>
                <w:tab w:pos="6557" w:val="left" w:leader="none"/>
                <w:tab w:pos="7300" w:val="left" w:leader="none"/>
                <w:tab w:pos="7369" w:val="left" w:leader="none"/>
              </w:tabs>
              <w:spacing w:line="208" w:lineRule="auto" w:before="8"/>
              <w:ind w:right="233"/>
              <w:rPr>
                <w:sz w:val="20"/>
              </w:rPr>
            </w:pPr>
            <w:r>
              <w:rPr>
                <w:sz w:val="20"/>
              </w:rPr>
              <w:t>CÍVEL (198)&lt;/span&gt;  &lt;/span&gt;&lt;/p&gt;&lt;p&gt;  &lt;span style="font-size: small;"&gt;</w:t>
              <w:tab/>
              <w:t>&lt;span style="font-family: &amp;quot;times new roman&amp;quot;, times;"&gt;APELANTE: FRANCISCO PLACIDO DE SALES&lt;/span&gt;  &lt;/span&gt;&lt;/p&gt;&lt;p&gt;  &lt;span style="font-size: small;"&gt;</w:t>
              <w:tab/>
              <w:tab/>
            </w:r>
            <w:r>
              <w:rPr>
                <w:spacing w:val="-4"/>
                <w:sz w:val="20"/>
              </w:rPr>
              <w:t>&lt;span </w:t>
            </w:r>
            <w:r>
              <w:rPr>
                <w:sz w:val="20"/>
              </w:rPr>
              <w:t>style="font-family: &amp;quot;times new roman&amp;quot;, times;"&gt;APELADO: BANCO OLE BONSUCESSO CONSIGNADO S.A.&lt;/span&gt; &lt;/span&gt;&lt;/p&gt;&lt;p&gt; &lt;span style="font-size: medium;"&gt;</w:t>
              <w:tab/>
              <w:t>&lt;span style="font-family: &amp;quot;times new roman&amp;quot;, times;"&gt;</w:t>
              <w:tab/>
              <w:t>&lt;br /&gt;</w:t>
            </w:r>
          </w:p>
          <w:p>
            <w:pPr>
              <w:pStyle w:val="TableParagraph"/>
              <w:spacing w:line="208" w:lineRule="auto" w:before="0"/>
              <w:ind w:right="99"/>
              <w:rPr>
                <w:sz w:val="20"/>
              </w:rPr>
            </w:pPr>
            <w:r>
              <w:rPr>
                <w:sz w:val="20"/>
              </w:rPr>
              <w:t>&lt;/span&gt; &lt;/span&gt;&lt;/p&gt;&lt;p style="line-height: 1.7999999999999998; text-align: justify; margin-top: 6pt; margin-bottom: 6pt;" dir="ltr"&gt; &lt;span style="font-size: 12pt; font-family: 'Times New Roman',serif; color: #000000; background-color: transparent; font-weight: 700;</w:t>
            </w:r>
          </w:p>
          <w:p>
            <w:pPr>
              <w:pStyle w:val="TableParagraph"/>
              <w:spacing w:line="208" w:lineRule="auto" w:before="0"/>
              <w:ind w:right="2"/>
              <w:rPr>
                <w:sz w:val="20"/>
              </w:rPr>
            </w:pPr>
            <w:r>
              <w:rPr>
                <w:sz w:val="20"/>
              </w:rPr>
              <w:t>font-style: normal; font-variant: normal; text-decoration: none; vertical-align: baseline; white- space: pre-wrap;"&gt;APELAÇÃO CÍVEL. EXTINÇÃO DO FEITO SEM RESOLUÇÃO DE MÉRITO. DECISÃO SURPRESA. AFRONTA AOS ARTS. 9º E 10 DO CPC. ERROR IN PROCEDENDO CONFIGURADO. NULIDADE RECONHECIDA DE OFÍCIO. RETORNO DOS AUTOS À ORIGEM. RECURSO CONHECIDO. SENTENÇA</w:t>
            </w:r>
          </w:p>
          <w:p>
            <w:pPr>
              <w:pStyle w:val="TableParagraph"/>
              <w:spacing w:line="208" w:lineRule="auto" w:before="0"/>
              <w:ind w:right="20"/>
              <w:rPr>
                <w:sz w:val="20"/>
              </w:rPr>
            </w:pPr>
            <w:r>
              <w:rPr>
                <w:sz w:val="20"/>
              </w:rPr>
              <w:t>CASSADA.&lt;/span&gt;&lt;/p&gt;&lt;p style="line-height: 1.7999999999999998; text-align: justify; margin-top: 6pt; margin-bottom: 6pt;"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pre-wrap;"&gt;Caso em exame:&lt;/span&gt;&lt;/p&gt;&lt;p style="line-height: 1.7999999999999998; text-align: justify; margin-top: 6pt; margin-bottom: 6pt;" dir="ltr"&gt;</w:t>
            </w:r>
          </w:p>
          <w:p>
            <w:pPr>
              <w:pStyle w:val="TableParagraph"/>
              <w:spacing w:line="208" w:lineRule="auto" w:before="0"/>
              <w:ind w:right="76"/>
              <w:rPr>
                <w:sz w:val="20"/>
              </w:rPr>
            </w:pPr>
            <w:r>
              <w:rPr>
                <w:sz w:val="20"/>
              </w:rPr>
              <w:t>&lt;span style="font-size: 12pt; font-family: 'Times New Roman',serif; color: #000000; background-color: transparent; font-weight: 400; font-style: normal; font-variant: normal; text-decoration: none; vertical-align: baseline; white-space: pre-wrap;"&gt;1. Trata-se de recurso da espécie Apelação Cível interposto em face de sentença proferida pelo Juízo da 2ª Vara Cível da Comarca de Limoeiro do Norte/CE, que extinguiu o feito sem resolução de mérito, com fundamento no art. 485, IV, do Código de Processo Civil, sob o argumento de fracionamento indevido da demanda e ausência de documentos essenciais à propositura da ação.&lt;/span&gt;&lt;/p&gt;&lt;p style="line-height: 1.7999999999999998; text-align: justify; margin-top: 6pt; margin-bottom: 6pt;" dir="ltr"&gt; &lt;span style="font-size: 12pt; font- family: 'Times New Roman',serif; color: #000000; background-color: transparent; font- weight: 700; font-style: normal; font-variant: normal; text-decoration: none; vertical-align: baseline; white-space: pre-wrap;"&gt;Questão em discussão:&lt;/span&gt;&lt;/p&gt;&lt;p style="line- height: 1.7999999999999998; text-align: justify; margin-top: 12pt; margin-bottom: 12pt;" dir="ltr"&gt; &lt;span style="font-size: 12pt; font-family: 'Times New Roman',serif; color: #000000; background-color: transparent; font-weight: 400; font-style: normal; font-variant: normal; text-decoration: none; vertical-align: baseline; white-space: pre-wrap;"&gt;2. </w:t>
            </w:r>
            <w:r>
              <w:rPr>
                <w:spacing w:val="-3"/>
                <w:sz w:val="20"/>
              </w:rPr>
              <w:t>Cinge-se </w:t>
            </w:r>
            <w:r>
              <w:rPr>
                <w:sz w:val="20"/>
              </w:rPr>
              <w:t>a controvérsia recursal em averiguar a correção da decisão que extinguiu o feito sem resolução de mérito antes de oportunizar à parte autora manifestar acerca dos fundamentos adotados para tanto, extinguindo o feito sem resolução de mérito diante do fracionamento indevido, litigância abusiva e ausência de documentos necessários para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0"/>
              <w:rPr>
                <w:sz w:val="20"/>
              </w:rPr>
            </w:pPr>
            <w:r>
              <w:rPr>
                <w:sz w:val="20"/>
              </w:rPr>
              <w:t>propositura da ação.&lt;/span&gt;&lt;/p&gt;&lt;p style="line-height: 1.7999999999999998; text-align: justify; margin-top: 6pt; margin-bottom: 6pt;" dir="ltr"&gt; &lt;span style="font-size: 12pt; font- family: 'Times New Roman',serif; color: #000000; background-color: transparent; font- weight: 400; font-style: normal; font-variant: normal; text-decoration: none; vertical-align: baseline; white-space: pre-wrap;"&gt;3. A tese recursal sustenta que os contratos discutidos em ações diversas são distintos e que não houve litigância predatória, alegando ainda ofensa ao princípio da inafastabilidade da jurisdição.&lt;/span&gt;&lt;/p&gt;&lt;p style="line-height: 1.7999999999999998; text-align: justify; margin-top: 6pt; margin-bottom: 6pt;" dir="ltr"&gt;</w:t>
            </w:r>
          </w:p>
          <w:p>
            <w:pPr>
              <w:pStyle w:val="TableParagraph"/>
              <w:spacing w:line="208" w:lineRule="auto" w:before="0"/>
              <w:ind w:right="143"/>
              <w:rPr>
                <w:sz w:val="20"/>
              </w:rPr>
            </w:pPr>
            <w:r>
              <w:rPr>
                <w:sz w:val="20"/>
              </w:rPr>
              <w:t>&lt;span style="font-size: 12pt; font-family: 'Times New Roman',serif; color: #000000; background-color: transparent; font-weight: 700; font-style: normal; font-variant: normal; text-decoration: none; vertical-align: baseline; white-space: pre-wrap;"&gt;Razões de decidir:&lt;/span&gt;&lt;/p&gt;&lt;p style="line-height: 1.7999999999999998; text-align: justify; margin- top: 6pt; margin-bottom: 6pt;" dir="ltr"&gt; &lt;span style="font-size: 12pt; font-family: 'Times New Roman',serif; color: #000000; background-color: transparent; font-weight: 400; font- style: normal; font-variant: normal; text-decoration: none; vertical-align: baseline; white- space: pre-wrap;"&gt;4. Verifica-se que o juízo de origem extinguiu de plano o processo </w:t>
            </w:r>
            <w:r>
              <w:rPr>
                <w:spacing w:val="-6"/>
                <w:sz w:val="20"/>
              </w:rPr>
              <w:t>sem </w:t>
            </w:r>
            <w:r>
              <w:rPr>
                <w:sz w:val="20"/>
              </w:rPr>
              <w:t>resolução do mérito, sem conceder à parte a possibilidade de se manifestar sobre as razões que ensejaram a extinção do processo.&lt;/span&gt;&lt;/p&gt;&lt;p style="line-height: 1.7999999999999998; text-align: justify; margin-top: 6pt; margin-bottom: 6pt;"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pre-wrap;"&gt;5. Nos termos dos arts. 9º e 10 do CPC, é vedado ao magistrado proferir decisão contra uma das partes sem que esta seja previamente ouvida, ainda que se trate de matéria de ordem pública.&lt;/span&gt;&lt;/p&gt;&lt;p style="line-height: 1.7999999999999998; text-align: justify; margin- top: 6pt; margin-bottom: 6pt;" dir="ltr"&gt;&lt;span style="font-size: 12pt; font-family: 'Times New Roman',serif; color: #000000; background-color: transparent; font-weight: 400; font-style: normal; font-variant: normal; text-decoration: none; vertical-align: baseline; white-space: pre-wrap;"&gt;6. Tal proceder caracteriza&lt;/span&gt; &lt;span style="font-size: 12pt; font-family: 'Times New Roman',serif; color: #000000; background-color: transparent; font-weight: 400; font-style: italic; font-variant: normal; text-decoration: none; vertical-align: baseline; white- space: pre-wrap;"&gt;error in procedendo&lt;/span&gt;&lt;span style="font-size: 12pt; font-family: 'Times New Roman',serif; color: #000000; background-color: transparent; font-weight: 400; font-style: normal; font-variant: normal; text-decoration: none; vertical-align: baseline; white- space: pre-wrap;"&gt;, impondo o reconhecimento, de ofício, da nulidade da sentença, conforme vasta jurisprudência desta Corte em situações análogas.&lt;/span&gt;&lt;/p&gt;&lt;p style="line-height: 1.7999999999999998; text-align: justify; margin-top: 6pt; margin-bottom: 6pt;" dir="ltr"&gt; &lt;span style="font-size: 12pt; font-family: 'Times New Roman',serif; color: #000000; background-color: transparent; font-weight: 700; font-style: normal; font-variant: normal; text-decoration: none; vertical-align: baseline; white-space: pre- wrap;"&gt;Dispositivo:&lt;/span&gt;&lt;/p&gt;&lt;p style="line-height: 1.7999999999999998; text-align: justify; margin-top: 6pt; margin-bottom: 6pt;" dir="ltr"&gt;&lt;span style="font-size: 12pt; font- family: 'Times New Roman',serif; color: #000000; background-color: transparent; font- weight: 400; font-style: normal; font-variant: normal; text-decoration: none; vertical-align: baseline; white-space: pre-wrap;"&gt;7. Apelo conhecido e provido. Sentença cassada por&lt;/span&gt; &lt;span style="font-size: 12pt; font-family: 'Times New Roman',serif; color: #000000; background-color: transparent; font-weight: 400; font-style: italic; font-variant: normal; text-decoration: none; vertical-align: baseline; white-space: pre-wrap;"&gt;error in procedendo&lt;/span&gt;&lt;span style="font-size: 12pt; font-family: 'Times New Roman',serif; color: #000000; background-color: transparent; font-weight: 400; font-style: normal; font- variant: normal; text-decoration: none; vertical-align: baseline; white-space: pre-wrap;"&gt;, com determinação de retorno dos autos à origem para regular processamento do feito.&lt;/span&gt;&lt;/p&gt;&lt;p style="line-height: 1.7999999999999998; text-align: center; margin- top: 12pt; margin-bottom: 12pt;" dir="ltr"&gt; &lt;span style="font-size: 12pt; font-family: 'Times New Roman',serif; color: #000000; background-color: transparent; font-weight: 700; font- style: normal; font-variant: normal; text-decoration: none; vertical-align: baseline; white- space: pre-wrap;"&gt;&amp;#160;&lt;/span&gt;&lt;/p&gt;&lt;p style="line-height: 2.4; text-align: center; margin- top: 12pt; margin-bottom: 12pt;" dir="ltr"&gt; &lt;span style="font-size: 13.999999999999998pt; font-family: 'Times New Roman',serif; color: #000000; background-color: transparent; font- weight: 700; font-style: normal; font-variant: normal; text-decoration: none; vertical-align: baseline; white-space: pre-wrap;"&gt;ACÓRDÃO&lt;/span&gt; &lt;span style="background-color: transparent; font-family: &amp;quot;Times New Roman&amp;quot;, serif; font-size: 14pt; font-weight: 700; white-space-collapse: preserve;"&gt;&amp;#160;&lt;/span&gt;&lt;/p&gt;&lt;p style="line-height: 1.7999999999999998; text-indent: 71pt; text-align: justify; margin-top: 6pt; margin-bottom: 12pt;" dir="ltr"&gt;&lt;span style="font-size: 12pt; font-family: 'Times New Roman',serif; color: #000000; background-color: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 &lt;span style="font-size: 12pt; font-family: 'Times New Roman',serif; color: #000000; background-color: transparent;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weight: 700; font-style: normal; font-variant: normal; text-decoration: none; vertical-align: baseline; white-space: pre-wrap;"&gt;CONHECER&lt;/span&gt; &lt;span style="font-size: 12pt; font- family: 'Times New Roman',serif; color: #000000; background-color: transparent; font- weight: 400; font-style: normal; font-variant: normal; text-decoration: none; vertical-align: baseline; white-space: pre-wrap;"&gt;a presente Apelação Cível e&lt;/span&gt; &lt;span style="font- size: 12pt; font-family: 'Times New Roman',serif; color: #000000; background-color: transparent; font-weight: 700; font-style: normal; font-variant: normal; text-decoration: none; vertical-align: baseline; white-space: pre-wrap;"&gt;CASSAR A SENTENÇA&lt;/span&gt; &lt;span style="font-size: 12pt; font-family: 'Times New Roman',serif; color: #000000; background- color: transparent; font-weight: 400; font-style: normal; font-variant: normal; text-decoration: none; vertical-align: baseline; white-space: pre-wrap;"&gt;em razão de&lt;/span&gt; &lt;span style="font-size: 12pt; font-family: 'Times New Roman',serif; color: #000000; background- color: transparent; font-weight: 400; font-style: italic; font-variant: normal; text-decoration: none; vertical-align: baseline; white-space: pre-wrap;"&gt;error in procedendo&lt;/span&gt;&lt;span style="font-size: 12pt; font-family: 'Times New Roman',serif; color: #000000; background- color: transparent; font-weight: 400; font-style: normal; font-variant: normal; text-decoration: none; vertical-align: baseline; white-space: pre-wrap;"&gt;, em conformidade com o voto do Relator.&lt;/span&gt;&lt;/p&gt;&lt;p style="line-height: 1.7999999999999998; text-indent: 71pt; text- align: justify; margin-top: 6pt; margin-bottom: 12pt;" dir="ltr"&gt; &lt;span style="font-size: 12pt; font-family: 'Times New Roman',serif; color: #000000; background-color: transparent; font- weight: 400; font-style: normal; font-variant: normal; text-decoration: none; vertical-align: baseline; white-space: pre-wrap;"&gt;Fortaleza, data registrada no sistema.&lt;/span&gt;&lt;/p&gt;&lt;p style="line-height: 1.7999999999999998; text-align: center; margin-top: 12pt; margin- bottom: 12pt;" dir="ltr"&gt; &lt;span style="font-size: 12pt; font-family: 'Times New Roman',serif; color: #000000; background-color: transparent; font-weight: 700; font-style: normal; font- 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white- space: pre-wrap;"&gt;MARIA REGINA OLIVEIRA CÂMARA&lt;/span&gt;&lt;/p&gt;&lt;p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pre-wrap;"&gt;Presidente do Órgão Julgador&lt;/span&gt;&lt;/p&gt;&lt;p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pre-wrap;"&gt;FRANCISCO LUCÍDIO DE QUEIROZ JÚNIOR&lt;/span&gt;&lt;/p&gt;&lt;p style="line-height: 1.7999999999999998; text-align: center;</w:t>
            </w:r>
          </w:p>
          <w:p>
            <w:pPr>
              <w:pStyle w:val="TableParagraph"/>
              <w:spacing w:line="208" w:lineRule="auto" w:before="0"/>
              <w:ind w:right="20"/>
              <w:rPr>
                <w:sz w:val="20"/>
              </w:rPr>
            </w:pPr>
            <w:r>
              <w:rPr>
                <w:sz w:val="20"/>
              </w:rPr>
              <w:t>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pre-wrap;"&gt;&amp;#160;Desembargador Relator&lt;/span&gt;&lt;/p&gt;&lt;p style="line-height: 1.7999999999999998; text-align: justify;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pre-wrap;"&gt;&amp;#160;&lt;/span&gt;&lt;/p&gt;&lt;p style="line-height: 1.7999999999999998; text-align: center; margin-top: 12pt; margin-bottom: 12pt;" dir="ltr"&gt;</w:t>
            </w:r>
          </w:p>
          <w:p>
            <w:pPr>
              <w:pStyle w:val="TableParagraph"/>
              <w:spacing w:line="208" w:lineRule="auto" w:before="0"/>
              <w:ind w:right="42"/>
              <w:rPr>
                <w:sz w:val="20"/>
              </w:rPr>
            </w:pPr>
            <w:r>
              <w:rPr>
                <w:sz w:val="20"/>
              </w:rPr>
              <w:t>&lt;span style="font-size: 12pt; font-family: 'Times New Roman',serif; color: #000000; background-color: transparent; font-weight: 700; font-style: normal; font-variant: normal; text-decoration: none; vertical-align: baseline; white-space: pre- wrap;"&gt;RELATÓRIO&lt;/span&gt;&lt;/p&gt;&lt;p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text-decoration: none; vertical-align: baseline; white-space: pre-wrap;"&gt;Trata-se de&lt;/span&gt;</w:t>
            </w:r>
          </w:p>
          <w:p>
            <w:pPr>
              <w:pStyle w:val="TableParagraph"/>
              <w:spacing w:line="208" w:lineRule="auto" w:before="9"/>
              <w:ind w:right="42"/>
              <w:rPr>
                <w:sz w:val="20"/>
              </w:rPr>
            </w:pPr>
            <w:r>
              <w:rPr>
                <w:sz w:val="20"/>
              </w:rPr>
              <w:t>&lt;span style="font-size: 12pt; font-family: 'Times New Roman',serif; color: #000000; background-color: transparent; font-weight: 700; font-style: normal; font-variant: normal; text-decoration: none; vertical-align: baseline; white-space: pre-wrap;"&gt;Apelação Cível&lt;/span&gt; &lt;span style="font-size: 12pt; font-family: 'Times New Roman',serif; color: #000000; background-color: transparent; font-weight: 400; font-style: normal; font-variant: normal; text-decoration: none; vertical-align: baseline; white-space: pre-wrap;"&gt;interposta por&lt;/span&gt; &lt;span style="font-size: 12pt; font-family: 'Times New Roman',serif; color: #000000; background-color: transparent; font-weight: 700; font-style: normal; font-variant: normal; text-decoration: none; vertical-align: baseline; white-space: pre- wrap;"&gt;FRANCISCO PLÁCIDO DE SALES&lt;/span&gt; &lt;span style="font-size: 12pt; font- family: 'Times New Roman',serif; color: #000000; background-color: transparent; font- weight: 400; font-style: normal; font-variant: normal; text-decoration: none; vertical-align: baseline; white-space: pre-wrap;"&gt;em face da Sentença prolatada pelo juízo da 2ª Vara Cível da Comarca de Limoeiro do Norte/CE que extinguiu o feito sem resolução de mérito.&lt;/span&gt;&lt;/p&gt;&lt;p style="line-height: 1.7999999999999998; text-indent: 56.692913385826756pt;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pre-wrap;"&gt;O juízo&lt;/span&gt;</w:t>
            </w:r>
          </w:p>
          <w:p>
            <w:pPr>
              <w:pStyle w:val="TableParagraph"/>
              <w:spacing w:line="208" w:lineRule="auto" w:before="0"/>
              <w:ind w:right="46"/>
              <w:rPr>
                <w:sz w:val="20"/>
              </w:rPr>
            </w:pPr>
            <w:r>
              <w:rPr>
                <w:sz w:val="20"/>
              </w:rPr>
              <w:t>&lt;span style="font-size: 12pt; font-family: 'Times New Roman',serif; color: #000000; background-color: transparent; font-weight: 400; font-style: italic; font-variant: normal; text- decoration: none; vertical-align: baseline; white-space: pre-wrap;"&gt;a quo&lt;/span&gt; &lt;span style="font-size: 12pt; font-family: 'Times New Roman',serif; color: #000000; background- color: transparent; font-weight: 400; font-style: normal; font-variant: normal; text-decoration: none; vertical-align: baseline; white-space: pre-wrap;"&gt;verificando a multiplicidade de demandas relacionadas, concluiu pelo fracionamento indevido e a ausência de documentação indispensável para propositura da ação:&lt;/span&gt;&lt;/p&gt;&lt;p style="line-height: 1.3800000000000001; margin-left: 113pt; text-align: justify; margin-top: 12pt; margin- bottom: 12pt;" dir="ltr"&gt; &lt;span style="font-size: 12pt; font-family: 'Times New Roman',serif; color: #000000; background-color: transparent; font-weight: 400; font-style: italic; font- variant: normal; text-decoration: none; vertical-align: baseline; white-space: pre- wrap;"&gt;Este Juízo tem ciência do ajuizamento de centenas de lides semelhantes nesta unidade, em que se nega ou se questiona, sem maior detalhamento, débitos de empréstimo consignado, sem qualquer insurgência anterior extrajudicial, sem juntada de contrato e de extratos bancários do consumidor, com simples anexação de extrato de consignados no INSS.&amp;#160;&lt;/span&gt;&lt;/p&gt;&lt;p style="line-height: 1.3800000000000001; margin-left: 113pt; text-align: justify; margin-top: 12pt; margin-bottom: 12pt;" </w:t>
            </w:r>
            <w:r>
              <w:rPr>
                <w:spacing w:val="-2"/>
                <w:sz w:val="20"/>
              </w:rPr>
              <w:t>dir="ltr"&gt;&lt;span </w:t>
            </w:r>
            <w:r>
              <w:rPr>
                <w:sz w:val="20"/>
              </w:rPr>
              <w:t>style="font-size: 12pt; font-family: 'Times New Roman',serif; color: #000000; background- color: transparent; font-weight: 400; font-style: italic; font-variant: normal; text-decoration: none; vertical-align: baseline; white-space: pre-wrap;"&gt;Compulsando atentamente a petição inicial,&lt;/span&gt; &lt;span style="font-size: 12pt; font-family: 'Times New Roman',serif; color: #000000; background-color: transparent; font-weight: 700; font-style: italic; font- variant: normal; text-decoration: none; vertical-align: baseline; white-space: pre- wrap;"&gt;constato que foram protocolados nesta Comarca 07 (sete) ações com a mesma parte ativa e o mesmo banco requerido (Banco Ole Bonsucesso Consignado S/A)&lt;/span&gt;&lt;span style="font-size: 12pt; font-family: 'Times New Roman',serif; color: #000000; background-color: transparent; font-weight: 400; font-style: italic; font-variant: normal; text-decoration: none; vertical-align: baseline; white-space: pre-wrap;"&gt;, conforme certidão retro/pesquisa no PJe, além de se tratar de processos da mesma natureza, em que foram alterados apenas os números dos contratos.&amp;#160;&lt;/span&gt;&lt;/p&gt;&lt;p style="line- height: 1.3800000000000001; margin-left: 113pt; text-align: justify; margin-top: 12pt; margin-bottom: 12pt;" dir="ltr"&gt; &lt;span style="font-size: 12pt; font-family: 'Times New Roman',serif; color: #000000; background-color: transparent; font-weight: 400; font-style: italic; font-variant: normal; text-decoration: none; vertical-align: baseline; white-space: pre- wrap;"&gt;(...)&lt;/span&gt;&lt;/p&gt;&lt;p style="line-height: 1.3800000000000001; margin-left: 113pt;</w:t>
            </w:r>
          </w:p>
          <w:p>
            <w:pPr>
              <w:pStyle w:val="TableParagraph"/>
              <w:spacing w:line="208" w:lineRule="auto" w:before="0"/>
              <w:ind w:right="99"/>
              <w:rPr>
                <w:sz w:val="20"/>
              </w:rPr>
            </w:pPr>
            <w:r>
              <w:rPr>
                <w:sz w:val="20"/>
              </w:rPr>
              <w:t>text-align: justify; margin-top: 12pt; margin-bottom: 12pt;" dir="ltr"&gt;&lt;span style="font-size: 12pt; font-family: 'Times New Roman',serif; color: #000000; background-color: </w:t>
            </w:r>
            <w:r>
              <w:rPr>
                <w:spacing w:val="-2"/>
                <w:sz w:val="20"/>
              </w:rPr>
              <w:t>transparent; </w:t>
            </w:r>
            <w:r>
              <w:rPr>
                <w:sz w:val="20"/>
              </w:rPr>
              <w:t>font-weight: 400; font-style: italic; font-variant: normal; text-decoration: none; vertical-align: baseline; white-space: pre-wrap;"&gt;Isso posto, com base na fundamentação supra,&lt;/span&gt;</w:t>
            </w:r>
          </w:p>
          <w:p>
            <w:pPr>
              <w:pStyle w:val="TableParagraph"/>
              <w:spacing w:line="208" w:lineRule="auto" w:before="0"/>
              <w:ind w:right="99"/>
              <w:rPr>
                <w:sz w:val="20"/>
              </w:rPr>
            </w:pPr>
            <w:r>
              <w:rPr>
                <w:sz w:val="20"/>
              </w:rPr>
              <w:t>&lt;span style="font-size: 12pt; font-family: 'Times New Roman',serif; color: #000000; background-color: transparent; font-weight: 700; font-style: italic; font-variant: normal; text- decoration: none; vertical-align: baseline; white-space: pre-wrap;"&gt;indefiro a inicial e extingo o feito sem a resolução do mérito&lt;/span&gt;&lt;span style="font-size: 12pt; font-family: 'Times New Roman',serif; color: #000000; background-color: transparent; font-weight: </w:t>
            </w:r>
            <w:r>
              <w:rPr>
                <w:spacing w:val="-5"/>
                <w:sz w:val="20"/>
              </w:rPr>
              <w:t>400; </w:t>
            </w:r>
            <w:r>
              <w:rPr>
                <w:sz w:val="20"/>
              </w:rPr>
              <w:t>font-style: italic; font-variant: normal; text-decoration: none; vertical-align: baseline; white- space: pre-wrap;"&gt;, o que faço com fulcro no artigo 485, inciso IV, do Código de Processo Civil.&amp;#160;&lt;/span&gt;&lt;/p&gt;&lt;p style="line-height: 1.3800000000000001; margin-left: 113pt; text-align: justify; margin-top: 12pt; margin-bottom: 12pt;" dir="ltr"&gt; &lt;span style="font-size: 12pt; font-family: 'Times New Roman',serif; color: #000000; background-color:</w:t>
            </w:r>
            <w:r>
              <w:rPr>
                <w:spacing w:val="6"/>
                <w:sz w:val="20"/>
              </w:rPr>
              <w:t> </w:t>
            </w:r>
            <w:r>
              <w:rPr>
                <w:spacing w:val="-2"/>
                <w:sz w:val="20"/>
              </w:rPr>
              <w:t>transparent;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3"/>
              <w:rPr>
                <w:sz w:val="20"/>
              </w:rPr>
            </w:pPr>
            <w:r>
              <w:rPr>
                <w:sz w:val="20"/>
              </w:rPr>
              <w:t>font-weight: 400; font-style: italic; font-variant: normal; text-decoration: none; vertical-align: baseline; white-space: pre-wrap;"&gt;Sem custas e sem honorários advocatícios.&amp;#160;&lt;/span&gt;&lt;/p&gt;&lt;p style="line-height: 1.7999999999999998; text-align: justify; margin-top: 12pt; margin-bottom: 12pt;" dir="ltr"&gt; &lt;span style="font-size: 12pt; </w:t>
            </w:r>
            <w:r>
              <w:rPr>
                <w:spacing w:val="-4"/>
                <w:sz w:val="20"/>
              </w:rPr>
              <w:t>font- </w:t>
            </w:r>
            <w:r>
              <w:rPr>
                <w:sz w:val="20"/>
              </w:rPr>
              <w:t>family: 'Times New Roman',serif; color: #000000; background-color: transparent; font- weight: 400; font-style: italic; font-variant: normal; text-decoration: none; vertical-align: baseline; white-space: pre-wrap;"&gt;&amp;#160;&lt;/span&gt;&lt;/p&gt;&lt;p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pre-wrap;"&gt;Irresignado o autor interpôs o presente recurso, aduzindo em suas&lt;/span&gt;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w:t>
            </w:r>
            <w:r>
              <w:rPr>
                <w:spacing w:val="-3"/>
                <w:sz w:val="20"/>
              </w:rPr>
              <w:t>normal; </w:t>
            </w:r>
            <w:r>
              <w:rPr>
                <w:sz w:val="20"/>
              </w:rPr>
              <w:t>text-decoration: none; vertical-align: baseline; white-space: pre-wrap;"&gt;razões&lt;/span&gt;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pre-wrap;"&gt;(id. 28223257) apontando que os contratos das múltiplas ações são diversos, a inexistência de litigância predatória e a violação ao princípio da inafastabilidade da jurisdição.&lt;/span&gt;&lt;/p&gt;&lt;p style="line-height: 1.7999999999999998; text-indent: 56.692913385826756pt; text-align: justify; margin-top: 12pt; margin-bottom: 12pt;" dir="ltr"&gt;&lt;span style="font-size: 12pt; font- family: 'Times New Roman',serif; color: #000000; background-color: transparent; font- weight: 400; font-style: normal; font-variant: normal; text-decoration: none; vertical-align: baseline; white-space: pre-wrap;"&gt;Em&lt;/span&gt;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pre-wrap;"&gt;contrarrazões&lt;/span&gt; &lt;span style="font-size: 12pt; font-family: 'Times New Roman',serif; color: #000000; background-color: transparent; font-weight: 400; font- style: normal; font-variant: normal; text-decoration: none; vertical-align: baseline; white- space: pre-wrap;"&gt;(id. 28223260), a apelada requer a manutenção da sentença, apontando violação do princípio da cooperação (art. 6º, do CPC) por parte do demandante, assim como a ausência de documentação indispensável para o processo.&lt;/span&gt;&lt;/p&gt;&lt;p style="line-height: 1.7999999999999998; text-indent: 56.692913385826756pt; text-align: justify; margin-top: 12pt; margin-bottom: 12pt;" dir="ltr"&gt;&lt;span style="font-size: 12pt; font- family: 'Times New Roman',serif; color: #000000; background-color: transparent; font- weight: 400; font-style: normal; font-variant: normal; text-decoration: none; vertical-align: baseline; white-space: pre-wrap;"&gt;A&lt;/span&gt;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pre-wrap;"&gt;Douta Procuradoria Geral de Justiça&lt;/span&gt; &lt;span style="font-size: 12pt; font-family: 'Times New Roman',serif; color: #000000; background-color: transparent; font-weight: 400; font-style: normal; font-variant: normal; text-decoration: none; vertical- align: baseline; white-space: pre-wrap;"&gt;pugnou pelo conhecimento e provimento do recurso, entendendo que a presente ação fora movida com base em contratos diversos.&lt;/span&gt;&lt;/p&gt;&lt;p style="line-height: 1.7999999999999998; text-indent: 56.692913385826756pt; text-align: justify; margin-top: 12pt; margin-bottom: 12pt;" dir="ltr"&gt;</w:t>
            </w:r>
          </w:p>
          <w:p>
            <w:pPr>
              <w:pStyle w:val="TableParagraph"/>
              <w:spacing w:line="208" w:lineRule="auto" w:before="0"/>
              <w:ind w:right="99"/>
              <w:rPr>
                <w:sz w:val="20"/>
              </w:rPr>
            </w:pPr>
            <w:r>
              <w:rPr>
                <w:sz w:val="20"/>
              </w:rPr>
              <w:t>&lt;span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text-align: center; margin-top: 12pt; margin-bottom: 12pt;" dir="ltr"&gt; &lt;span style="font-size: 12pt; font-family: 'Times New Roman',serif; color: #000000; background-color: transparent; font-weight:</w:t>
            </w:r>
            <w:r>
              <w:rPr>
                <w:spacing w:val="2"/>
                <w:sz w:val="20"/>
              </w:rPr>
              <w:t> </w:t>
            </w:r>
            <w:r>
              <w:rPr>
                <w:spacing w:val="-5"/>
                <w:sz w:val="20"/>
              </w:rPr>
              <w:t>700;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pre-wrap;"&gt;VOTO&lt;/span&gt;&lt;/p&gt;&lt;p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pre-wrap;"&gt;&amp;#160;&lt;/span&gt;&lt;/p&gt;&lt;p style="line-height: 1.7999999999999998; text-indent: 56.692913385826756pt; text-align: justify; margin-top: 6pt; margin-bottom: 6pt;" dir="ltr"&gt; &lt;span style="font-size: 12pt; font-family: 'Times New Roman',serif; color: #000000; background-color: transparent; font-weight: 700; font-style: normal; font-variant: normal; text-decoration: none; vertical-align: baseline; white-space: pre-wrap;"&gt;1. JUÍZO DE ADMISSIBILIDADE&lt;/span&gt;&lt;/p&gt;&lt;p style="line-height: 1.7999999999999998; text-indent: 56.692913385826756pt; text-align: justify; margin-top: 6pt; margin-bottom: 6pt;" dir="ltr"&gt;&lt;span style="font-size: 12pt; font-family: 'Times New Roman',serif; color: #000000; background-color: transparent; font-weight: 400; font-style: normal; font-variant: normal; text-decoration: none; vertical-align: baseline; white-space: pre-wrap;"&gt;Presentes os pressupostos recursais de admissibilidade intrínsecos (legitimidade, interesse, cabimento e inexistência de fato impeditivo ou extintivo)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extrínsecos (tempestividade, preparo e regularidade formal),&lt;/span&gt; &lt;span style="font- size: 12pt; font-family: 'Times New Roman',serif; color: #000000; background-color: transparent; font-weight: 700; font-style: normal; font-variant: normal; text-decoration: none; vertical-align: baseline; white-space: pre-wrap;"&gt;CONHEÇO&lt;/span&gt; &lt;span style="font- size: 12pt; font-family: 'Times New Roman',serif; color: #000000; background-color: transparent; font-weight: 400; font-style: normal; font-variant: normal; text-decoration: none; vertical-align: baseline; white-space: pre-wrap;"&gt;do recurso interposto e passo a apreciar o mérito deste.&lt;/span&gt;&lt;/p&gt;&lt;p style="line-height: 1.7999999999999998; text-indent: 56.692913385826756pt; text-align: justify; margin-top: 6pt;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normal; text-decoration: none; vertical-align: baseline; white-space: pre-wrap;"&gt;2.</w:t>
            </w:r>
          </w:p>
          <w:p>
            <w:pPr>
              <w:pStyle w:val="TableParagraph"/>
              <w:spacing w:line="208" w:lineRule="auto" w:before="0"/>
              <w:ind w:right="21"/>
              <w:rPr>
                <w:sz w:val="20"/>
              </w:rPr>
            </w:pPr>
            <w:r>
              <w:rPr>
                <w:sz w:val="20"/>
              </w:rPr>
              <w:t>MÉRITO&lt;/span&gt;&lt;/p&gt;&lt;p style="line-height: 1.7999999999999998; text-indent: 56.692913385826756pt; text-align: justify; margin-top: 12pt; margin-bottom: 12pt;" dir="ltr"&gt;</w:t>
            </w:r>
          </w:p>
          <w:p>
            <w:pPr>
              <w:pStyle w:val="TableParagraph"/>
              <w:spacing w:line="208" w:lineRule="auto" w:before="0"/>
              <w:ind w:right="76"/>
              <w:rPr>
                <w:sz w:val="20"/>
              </w:rPr>
            </w:pPr>
            <w:r>
              <w:rPr>
                <w:sz w:val="20"/>
              </w:rPr>
              <w:t>&lt;span style="font-size: 12pt; font-family: 'Times New Roman',serif; color: #000000; background-color: transparent; font-weight: 400; font-style: normal; font-variant: normal; text-decoration: none; vertical-align: baseline; white-space: pre-wrap;"&gt;Cinge-se a controvérsia recursal em averiguar a correção da decisão que extinguiu o feito sem resolução de mérito diante do fracionamento indevido, litigância abusiva e ausência de documentos necessários para propositura da ação.&lt;/span&gt;&lt;/p&gt;&lt;p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pre-wrap;"&gt;Compulsando o feito originário observa-se que o juízo sentenciante extinguiu o feito sem resolução de mérito antes mesmo de oportunizar que a parte se manifestasse acerca dos fundamentos que ensejaram a decisão.&lt;/span&gt;&lt;/p&gt;&lt;p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pre-wrap;"&gt;Não obstante, o regime processual do ordenamento jurídico brasileiro é erigido sobre diversos princípios fundamentais, dentre eles a vedação à decisão surpresa. Essa norma jurídica resta presente desde os primeiros dispositivos do&lt;/span&gt; &lt;span</w:t>
            </w:r>
          </w:p>
          <w:p>
            <w:pPr>
              <w:pStyle w:val="TableParagraph"/>
              <w:spacing w:line="208" w:lineRule="auto" w:before="0"/>
              <w:ind w:right="42"/>
              <w:rPr>
                <w:sz w:val="20"/>
              </w:rPr>
            </w:pPr>
            <w:r>
              <w:rPr>
                <w:sz w:val="20"/>
              </w:rPr>
              <w:t>style="font-size: 12pt; font-family: 'Times New Roman',serif; color: #000000; background- color: transparent; font-weight: 700; font-style: normal; font-variant: normal; text-decoration: none; vertical-align: baseline; white-space: pre-wrap;"&gt;Código de Processo Civil&lt;/span&gt;&lt;span style="font-size: 12pt; font-family: 'Times New Roman',serif; color: #000000; background-color: transparent; font-weight: 400; font-style: normal; font-variant: normal; text-decoration: none; vertical-align: baseline; white-space: pre-wrap;"&gt;, vejamos:&lt;/span&gt;&lt;/p&gt;&lt;p style="line-height: 1.7999999999999998; margin-left: 113pt; text- align: justify; margin-top: 12pt; margin-bottom: 12pt;" dir="ltr"&gt; &lt;em&gt; &lt;span style="font- size: 12pt; font-family: 'Times New Roman',serif; color: #000000; background-color: transparent; font-weight: 700; font-style: normal; font-variant: normal; text-decoration: none; vertical-align: baseline; white-space: pre-wrap;"&gt;CPC, Art. 9º&lt;/span&gt; &lt;span style="font- size: 12pt; font-family: 'Times New Roman',serif; color: #000000; background-color: transparent; font-weight: 400; font-style: normal; font-variant: normal; text-decoration: none; vertical-align: baseline; white-space: pre-wrap;"&gt;Não se proferirá decisão contra uma das partes sem que ela seja previamente ouvida.&lt;/span&gt;&lt;/em&gt;&lt;/p&gt;&lt;p style="line-height: 1.7999999999999998; margin-left: 113pt; text-align: justify; margin-top: 12pt; margin- bottom: 12pt;" dir="ltr"&gt; &lt;span style="font-size: 12pt; font-family: 'Times New Roman',serif; color: #000000; background-color: transparent; font-weight: 400; font-style: normal; font- variant: normal; text-decoration: none; vertical-align: baseline; white-space: pre-wrap;"&gt;</w:t>
            </w:r>
          </w:p>
          <w:p>
            <w:pPr>
              <w:pStyle w:val="TableParagraph"/>
              <w:tabs>
                <w:tab w:pos="1294" w:val="left" w:leader="none"/>
                <w:tab w:pos="3862" w:val="left" w:leader="none"/>
              </w:tabs>
              <w:spacing w:line="208" w:lineRule="auto" w:before="0"/>
              <w:ind w:right="99"/>
              <w:rPr>
                <w:sz w:val="20"/>
              </w:rPr>
            </w:pPr>
            <w:r>
              <w:rPr>
                <w:sz w:val="20"/>
              </w:rPr>
              <w:t>&lt;em&gt;Parágrafo único. O disposto no caput não se aplica:&lt;/em&gt; &lt;/span&gt;&lt;/p&gt;&lt;p style="line-height: 1.7999999999999998; margin-left: 113pt; text-align: justify; margin-top: 12pt; margin-bottom: 12pt;" dir="ltr"&gt; &lt;span style="font-size: 12pt; font-family: 'Times New Roman',serif; color: #000000; background-color: transparent; font-weight: 400; font-style: normal; font-variant: normal; text-decoration: none; vertical-align: baseline; white-space: pre-wrap;"&gt;</w:t>
              <w:tab/>
              <w:t>&lt;em&gt;I - à tutela provisória de urgência;&lt;/em&gt; &lt;/span&gt;&lt;/p&gt;&lt;p style="line- height: 1.7999999999999998; margin-left: 113pt; text-align: justify; margin-top: 12pt; margin-bottom: 12pt;" dir="ltr"&gt; &lt;span style="font-size: 12pt; font-family: 'Times New Roman',serif; color: #000000; background-color: transparent; font-weight: 400; font-style: normal; font-variant: normal; text-decoration: none; vertical-align: baseline; white-space: pre-wrap;"&gt;</w:t>
              <w:tab/>
              <w:t>&lt;em&gt;II - às hipóteses de tutela da evidência previstas no art. 311, incisos II e III ;&lt;/em&gt; &lt;/span&gt;&lt;/p&gt;&lt;p style="line-height: 1.7999999999999998; margin-left: 113pt; text-align: justify; margin-top: 12pt; margin-bottom: 12pt;" dir="ltr"&gt; &lt;span style="font-size: 12pt; font-family: 'Times New Roman',serif; color: #000000; background-color: </w:t>
            </w:r>
            <w:r>
              <w:rPr>
                <w:spacing w:val="-2"/>
                <w:sz w:val="20"/>
              </w:rPr>
              <w:t>transparent; </w:t>
            </w:r>
            <w:r>
              <w:rPr>
                <w:sz w:val="20"/>
              </w:rPr>
              <w:t>font-weight: 400; font-style: normal; font-variant: normal; text-decoration: none; vertical- align: baseline; white-space: pre-wrap;"&gt;</w:t>
              <w:tab/>
              <w:t>&lt;em&gt;III - à decisão prevista no art. 701 .&lt;/em&gt;</w:t>
            </w:r>
          </w:p>
          <w:p>
            <w:pPr>
              <w:pStyle w:val="TableParagraph"/>
              <w:spacing w:line="204" w:lineRule="exact" w:before="0"/>
              <w:rPr>
                <w:sz w:val="20"/>
              </w:rPr>
            </w:pPr>
            <w:r>
              <w:rPr>
                <w:sz w:val="20"/>
              </w:rPr>
              <w:t>&lt;/span&gt;&lt;/p&gt;&lt;p style="line-height: 1.7999999999999998; margin-left: 113pt; text-align:</w:t>
            </w:r>
          </w:p>
        </w:tc>
      </w:tr>
    </w:tbl>
    <w:p>
      <w:pPr>
        <w:spacing w:after="0" w:line="204"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9"/>
              <w:rPr>
                <w:sz w:val="20"/>
              </w:rPr>
            </w:pPr>
            <w:r>
              <w:rPr>
                <w:sz w:val="20"/>
              </w:rPr>
              <w:t>justify; margin-top: 12pt; margin-bottom: 12pt;" dir="ltr"&gt; &lt;em&gt; &lt;span style="font-size: 12pt; font-family: 'Times New Roman',serif; color: #000000; background-color: </w:t>
            </w:r>
            <w:r>
              <w:rPr>
                <w:spacing w:val="-2"/>
                <w:sz w:val="20"/>
              </w:rPr>
              <w:t>transparent; </w:t>
            </w:r>
            <w:r>
              <w:rPr>
                <w:sz w:val="20"/>
              </w:rPr>
              <w:t>font-weight: 700; font-style: normal; font-variant: normal; text-decoration: none; vertical- align: baseline; white-space: pre-wrap;"&gt;Art. 10.&lt;/span&gt; &lt;span style="font-size: 12pt; font-family: 'Times New Roman',serif; color: #000000; background-color: transparent; font- weight: 400; font-style: normal; font-variant: normal; text-decoration: none; vertical-align: baseline; white-space: pre-wrap;"&gt;O juiz não pode decidir, em grau algum de jurisdição,</w:t>
            </w:r>
          </w:p>
          <w:p>
            <w:pPr>
              <w:pStyle w:val="TableParagraph"/>
              <w:spacing w:line="208" w:lineRule="auto" w:before="0"/>
              <w:ind w:right="20"/>
              <w:rPr>
                <w:sz w:val="20"/>
              </w:rPr>
            </w:pPr>
            <w:r>
              <w:rPr>
                <w:sz w:val="20"/>
              </w:rPr>
              <w:t>com base em fundamento a respeito do qual não se tenha dado às partes oportunidade de se manifestar, ainda que se trate de matéria sobre a qual deva decidir de ofício.&lt;/span&gt;&lt;/em&gt;&lt;/p&gt;&lt;p style="line-height: 1.7999999999999998; text-indent: 2pt; text- align: justify; margin-top: 12pt; margin-bottom: 12pt;" dir="ltr"&gt; &lt;span style="font-size: 12pt; font-family: 'Times New Roman',serif; color: #000000; background-color: transparent; font- weight: 400; font-style: normal; font-variant: normal; text-decoration: none; vertical-align: baseline; white-space: pre-wrap;"&gt;&amp;#160;&lt;/span&gt;&lt;/p&gt;&lt;p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pre-wrap;"&gt;Ocorre que, na origem, o primeiro ato judicial levado a cabo ao analisar a inicial fora o seu indeferimento, olvidando dos dispositivos legais acima citados.&lt;/span&gt;&lt;/p&gt;&lt;p style="line-height: 1.7999999999999998; text-indent: 56.692913385826756pt; text-align: justify; margin-top: 12pt; margin-bottom: 12pt;" dir="ltr"&gt;&lt;span style="font-size: 12pt; font- family: 'Times New Roman',serif; color: #000000; background-color: transparent; font- weight: 400; font-style: normal; font-variant: normal; text-decoration: none; vertical-align: baseline; white-space: pre-wrap;"&gt;Nesse prisma, há que se reconhecer&lt;/span&gt; &lt;span style="font-size: 12pt; font-family: 'Times New Roman',serif; color: #000000; background- color: transparent; font-weight: 400; font-style: italic; font-variant: normal; text-decoration: none; vertical-align: baseline; white-space: pre-wrap;"&gt;ex officio&lt;/span&gt; &lt;span style="font- size: 12pt; font-family: 'Times New Roman',serif; color: #000000; background-color: transparent; font-weight: 400; font-style: normal; font-variant: normal; text-decoration: none; vertical-align: baseline; white-space: pre-wrap;"&gt;a nulidade da sentença diante da inobservância dos arts. 9º e 10 do Código de Processo Civil.&lt;/span&gt;&lt;/p&gt;&lt;p style="line- 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 space: pre-wrap;"&gt;Sobre o reconhecimento de ofício de nulidade da sentença por&lt;/span&gt;</w:t>
            </w:r>
          </w:p>
          <w:p>
            <w:pPr>
              <w:pStyle w:val="TableParagraph"/>
              <w:spacing w:line="208" w:lineRule="auto" w:before="0"/>
              <w:ind w:right="42"/>
              <w:rPr>
                <w:sz w:val="20"/>
              </w:rPr>
            </w:pPr>
            <w:r>
              <w:rPr>
                <w:sz w:val="20"/>
              </w:rPr>
              <w:t>&lt;span style="font-size: 12pt; font-family: 'Times New Roman',serif; color: #000000; background-color: transparent; font-weight: 400; font-style: italic; font-variant: normal; text- decoration: none; vertical-align: baseline; white-space: pre-wrap;"&gt;error in procedendo,&lt;/span&gt; &lt;span style="font-size: 12pt; font-family: 'Times New Roman',serif; color: #000000; background-color: transparent; font-weight: 400; font-style: normal; font- variant: normal; text-decoration: none; vertical-align: baseline; white-space: pre- wrap;"&gt;inclusive em situações envolvendo a violação à vedação de decisões surpresa,&lt;/span&gt; &lt;span style="font-size: 12pt; font-family: 'Times New Roman',serif; color: #000000; background-color: transparent; font-weight: 400; font-style: normal; font-variant: normal; text-decoration: none; vertical-align: baseline; white-space: pre-wrap;"&gt;este Egrégio Tribunal de Justiça possui vasta jurisprudência:&lt;/span&gt;&lt;/p&gt;&lt;p style="line-height: 1.7999999999999998; margin-left: 113pt; text-align: justify; margin-top: 12pt; margin- bottom: 12pt;" dir="ltr"&gt;&amp;#160;&lt;/p&gt;&lt;p style="line-height: 1.7999999999999998; margin-left: 113pt; text-align: justify; margin-top: 12pt; margin-bottom: 12pt;" dir="ltr"&gt;&lt;span style="font- size: 12pt; font-family: 'Times New Roman',serif; color: #000000; background-color: transparent; font-weight: 400; font-style: normal; font-variant: normal; text-decoration: none; vertical-align: baseline; white-space: pre-wrap;"&gt;DIREITO PROCESSUAL CIVIL. APELAÇÃO CÍVEL. EXECUÇÃO POR TÍTULO EXECUTIVO EXTRAJUDICIAL. RECONHECIMENTO DE OFÍCIO DA PRESCRIÇÃO INTERCORRENTE. AUSÊNCIA DE PRÉVIA INTIMAÇÃO DA PARTE EXEQUENTE PARA MANIFESTAÇÃO ACERCA DA POSSÍVEL DECLARAÇÃO DA PRESCRIÇÃO INTERCORRENTE.&lt;/span&gt; &lt;span</w:t>
            </w:r>
          </w:p>
          <w:p>
            <w:pPr>
              <w:pStyle w:val="TableParagraph"/>
              <w:spacing w:line="208" w:lineRule="auto" w:before="0"/>
              <w:ind w:right="53"/>
              <w:rPr>
                <w:sz w:val="20"/>
              </w:rPr>
            </w:pPr>
            <w:r>
              <w:rPr>
                <w:sz w:val="20"/>
              </w:rPr>
              <w:t>style="font-size: 12pt; font-family: 'Times New Roman',serif; color: #000000; background- color: transparent; font-weight: 700; font-style: normal; font-variant: normal; text-decoration: none; vertical-align: baseline; white-space: pre-wrap;"&gt;IMPOSSIBILIDADE DE PROLAÇÃO DE DECISÃO SURPRESA. VIOLAÇÃO AOS PRINCÍPIOS CONSTITUCIONAIS E INFRACONSTITUCIONAIS DO CONTRADITÓRIO E DA AMPLA DEFESA. ERROR IN PROCEDENDO CARACTERIZADO. NECESSIDADE DE ANULAÇÃO DA SENTENÇA COM RETORNO DOS AUTOS À ORIGEM.&lt;/span&gt; &lt;span</w:t>
            </w:r>
          </w:p>
          <w:p>
            <w:pPr>
              <w:pStyle w:val="TableParagraph"/>
              <w:spacing w:line="208" w:lineRule="auto" w:before="0"/>
              <w:ind w:right="35"/>
              <w:rPr>
                <w:sz w:val="20"/>
              </w:rPr>
            </w:pPr>
            <w:r>
              <w:rPr>
                <w:sz w:val="20"/>
              </w:rPr>
              <w:t>style="font-size: 12pt; font-family: 'Times New Roman',serif; color: #000000; background- color: transparent; font-weight: 400; font-style: normal; font-variant: normal; text-decoration: none; vertical-align: baseline; white-space: pre-wrap;"&gt;ENTENDIMENTO CONSOLIDADO NA JURISPRUDÊNCIA DA 4ª CÂMARA DE DIREITO PRIVADO DO TRIBUNAL DE JUSTIÇA DO CEARÁ. PRECEDENTES COLACIONADOS. RECURSO CONHECIDO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4"/>
              <w:rPr>
                <w:sz w:val="20"/>
              </w:rPr>
            </w:pPr>
            <w:r>
              <w:rPr>
                <w:sz w:val="20"/>
              </w:rPr>
              <w:t>PROVIDO. I. Caso em exame 1. Apelação Cível interposta pelo Banco do Brasil S.A., ora exequente/apelante, em face de sentença proferida pelo juízo da origem que reconheceu de ofício a ocorrência da prescrição intercorrente e extinguiu a execução por título executivo extrajudicial (Nota de Crédito Comercial Nº 96/01344-3) proposta em face de Maria Solange do Nascimento Bezerra - ME e Geraldo Florentino da Silva, com fundamento no art. 924, V, do Código de Processo Civil, sem oportunizar ao credor prévia manifestação acerca da possível incidência do instituto prescricional. II. Questão em discussão 2. A questão em discussão consiste em determinar a possibilidade ou não de reconhecimento de ofício da prescrição intercorrente sem a prévia intimação da parte exequente para manifestação acerca da matéria, à luz dos princípios do contraditório, da ampla defesa e da vedação à decisão surpresa, expressamente consagrados no ordenamento jurídico brasileiro. III. Razões de decidir 3. O Código de Processo Civil, em seu art. 9º, caput, estabelece que "não se proferirá decisão contra uma das partes sem que ela seja previamente ouvida", enquanto o art. 10 do mesmo diploma legal determina que "o juiz não pode decidir, em grau algum de jurisdição, com base em fundamento a respeito do qual não se tenha dado às partes oportunidade de se manifestar, ainda que se trate de matéria sobre a qual deva decidir de ofício". 4. Em complementação a tais dispositivos, o art. 487, parágrafo único, do CPC, dispõe expressamente que "ressalvada </w:t>
            </w:r>
            <w:r>
              <w:rPr>
                <w:spacing w:val="-15"/>
                <w:sz w:val="20"/>
              </w:rPr>
              <w:t>a </w:t>
            </w:r>
            <w:r>
              <w:rPr>
                <w:sz w:val="20"/>
              </w:rPr>
              <w:t>hipótese do § 1º do art. 332, a prescrição e a decadência não serão reconhecidas sem </w:t>
            </w:r>
            <w:r>
              <w:rPr>
                <w:spacing w:val="-6"/>
                <w:sz w:val="20"/>
              </w:rPr>
              <w:t>que </w:t>
            </w:r>
            <w:r>
              <w:rPr>
                <w:sz w:val="20"/>
              </w:rPr>
              <w:t>antes seja dada às partes oportunidade de manifestar-se", sendo certo ainda que o art.</w:t>
            </w:r>
          </w:p>
          <w:p>
            <w:pPr>
              <w:pStyle w:val="TableParagraph"/>
              <w:spacing w:line="208" w:lineRule="auto" w:before="0"/>
              <w:ind w:right="20"/>
              <w:rPr>
                <w:sz w:val="20"/>
              </w:rPr>
            </w:pPr>
            <w:r>
              <w:rPr>
                <w:sz w:val="20"/>
              </w:rPr>
              <w:t>921, §5º, do mesmo código, ao tratar especificamente da prescrição intercorrente no âmbito da execução, estabelece que "o juiz, depois de ouvidas as partes, no prazo de 15 (quinze) dias, poderá, de ofício, reconhecer a prescrição no curso do processo e extingui- lo, sem ônus para as partes". 5. No caso concreto, verifica-se que o último pronunciamento judicial antes da sentença foi a decisão interlocutória de fl. 108, a qual determinava a intimação da parte exequente para manifestar seu interesse no prosseguimento do feito, não tendo sido oportunizado ao exequente manifestação específica acerca da possível ocorrência da prescrição intercorrente, o que configura clara violação aos princípios do contraditório, da ampla defesa e da vedação à decisão surpresa. 6. A jurisprudência da 4ª Câmara de Direito Privado do Tribunal de Justiça do Estado do Ceará é pacífica e uníssona no sentido da impossibilidade do reconhecimento de ofício da prescrição intercorrente sem a prévia intimação da parte exequente, conforme demonstram os precedentes colacionados na fundamentação do acórdão, caracterizando-se, portanto, inequívoco error in procedendo apto a ensejar a anulação da sentença recorrida. IV. Dispositivo e tese 7&lt;/span&gt;&lt;span style="font-size: 12pt; font-family: 'Times New Roman',serif; color: #000000; background-color: transparent; font-weight: 700; font-style: normal; font-variant: normal; text-decoration: none; vertical-align: baseline; white-space: pre-wrap;"&gt;. Recurso de Apelação Cível conhecido e provido para anular integralmente a sentença recorrida, determinando-se o retorno dos autos à origem&lt;/span&gt;&lt;span style="font-size: 12pt; font-family: 'Times New Roman',serif; color: #000000; background- color: transparent; font-weight: 400; font-style: normal; font-variant: normal; text-decoration: none; vertical-align: baseline; white-space: pre-wrap;"&gt;. TESE: "É nula a sentença que reconhece de ofício a prescrição intercorrente sem prévia intimação do credor para manifestação, configurando&lt;/span&gt; &lt;span style="font-size: 12pt; font-family: 'Times New Roman',serif; color: #000000; background-color: transparent; font-weight: 700; font-style: normal; font-variant: normal; text-decoration: none; vertical-align: baseline; white-space: pre-wrap;"&gt;violação aos princípios do contraditório, da ampla defesa e da vedação à decisão surpresa, expressamente consagrados nos artigos 9º, 10, 487, parágrafo único, e 921, §5º, do Código de Processo Civil."&lt;/span&gt;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pre-wrap;"&gt;Dispositivos relevantes citados: CPC, arts. 9º, 10, 487, parágrafo único, 921, §5º e 924, V. Jurisprudência relevante citada: TJCE, Apelação Cível nº 0140974- 23.2015.8.06.0001, Rel. Des. Francisco Bezerra Cavalcante, 4ª Câmara Direito Privado, j. 03/12/2024; TJCE, Apelação Cível nº 0166273-65.2016.8.06.0001, Rel. Des. José </w:t>
            </w:r>
            <w:r>
              <w:rPr>
                <w:spacing w:val="-3"/>
                <w:sz w:val="20"/>
              </w:rPr>
              <w:t>Evandro </w:t>
            </w:r>
            <w:r>
              <w:rPr>
                <w:sz w:val="20"/>
              </w:rPr>
              <w:t>Nogueira Lima Filho, 4ª Câmara Direito Privado, j. 29/10/2024; TJCE, Apelação Cível nº 0857803-72.2014.8.06.0001, Rel. Des. José Evandro Nogueira Lima Filho, 4ª Câmara Direito Privado, j. 15/10/2024. ACÓRDÃO: Vistos, relatados e discutidos estes autos, acorda a 4ª Câmara Direito Privado do Tribunal de Justiça do Estado do Ceará, por unanimidade de votos, em CONHECER E DAR PROVIMENTO ao presente recurso, nos termos do voto do Relator. Fortaleza, data da assinatura digital. JOSÉ EVANDRO NOGUEIRA LIMA FILHO Presidente do Órgão Julgador DESEMBARGADOR DJALMA TEIXEIRA BENEVIDES Relator.&lt;/span&gt; &lt;span style="font-size: 12pt; font-family: 'Times New Roman',serif; color: #000000; background-color: transparent; font-weight: 400; font- style: normal; font-variant: normal; text-decoration: none; vertical-align: baseline; white- space: pre-wrap;"&gt;(Apelação Cível - 0002919-69.2000.8.06.0114, Rel. Desembargador(a) DJALMA TEIXEIRA BENEVIDES, 4ª Câmara Direito Privado, data do julgamento:&amp;#160; 15/04/2025, data da publicação:&amp;#160; 16/04/2025) [Destaquei]&lt;/span&gt;&lt;/p&gt;&lt;p style="line- height: 1.7999999999999998; margin-left: 113pt; text-align: justify; margin-top: 12pt; margin-bottom: 12pt;" dir="ltr"&gt;&lt;span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7"/>
              <w:rPr>
                <w:sz w:val="20"/>
              </w:rPr>
            </w:pPr>
            <w:r>
              <w:rPr>
                <w:sz w:val="20"/>
              </w:rPr>
              <w:t>Roman',serif; color: #000000; background-color: transparent; font-weight: 400; font-style: normal; font-variant: normal; text-decoration: none; vertical-align: baseline; white-space: pre-wrap;"&gt;DIREITO CIVIL E PROCESSUAL CIVIL. APELAÇÃO. AÇÃO DECLARATÓRIA DE NULIDADE DE RELAÇÃO CONTRATUAL C/C PEDIDO DE REPETIÇÃO DO INDÉBITO E INDENIZAÇÃO POR DANOS MORAIS. FALECIMENTO DA PARTE AUTORA. SENTENÇA PROFERIDA SEM A REGULARIZAÇÃO DO PÓLO ATIVO DA DEMANDA. JULGAMENTO DE MÉRITO COM FUNDAMENTO EM</w:t>
            </w:r>
          </w:p>
          <w:p>
            <w:pPr>
              <w:pStyle w:val="TableParagraph"/>
              <w:spacing w:line="208" w:lineRule="auto" w:before="0"/>
              <w:rPr>
                <w:sz w:val="20"/>
              </w:rPr>
            </w:pPr>
            <w:r>
              <w:rPr>
                <w:sz w:val="20"/>
              </w:rPr>
              <w:t>PRESCRIÇÃO.&lt;/span&gt; &lt;span style="font-size: 12pt; font-family: 'Times New </w:t>
            </w:r>
            <w:r>
              <w:rPr>
                <w:spacing w:val="-2"/>
                <w:sz w:val="20"/>
              </w:rPr>
              <w:t>Roman',serif; </w:t>
            </w:r>
            <w:r>
              <w:rPr>
                <w:sz w:val="20"/>
              </w:rPr>
              <w:t>color: #000000; background-color: transparent; font-weight: 700; font-style: normal; font- variant: normal; text-decoration: none; vertical-align: baseline; white-space: pre- wrap;"&gt;DECISÃO SURPRESA. ERROR IN PROCEDENDO. SENTENÇA ANULADA DE OFÍCIO. PREJUDICADA A ANÁLISE DO MÉRITO RECURSAL&lt;/span&gt;&lt;span style="font-</w:t>
            </w:r>
          </w:p>
          <w:p>
            <w:pPr>
              <w:pStyle w:val="TableParagraph"/>
              <w:spacing w:line="208" w:lineRule="auto" w:before="0"/>
              <w:ind w:right="20"/>
              <w:rPr>
                <w:sz w:val="20"/>
              </w:rPr>
            </w:pPr>
            <w:r>
              <w:rPr>
                <w:sz w:val="20"/>
              </w:rPr>
              <w:t>size: 12pt; font-family: 'Times New Roman',serif; color: #000000; background-color: transparent; font-weight: 400; font-style: normal; font-variant: normal; text-decoration: none; vertical-align: baseline; white-space: pre-wrap;"&gt;. 1. No caso em análise, a parte promovente faleceu no curso da demanda, pelo que seu cônjuge requereu a habilitação nos autos. 2. Entretanto, o juízo de origem deixou de atender à norma do art. 313, §2º do CPC, pois não declarou a suspensão do processo e, apesar de ter determinado a intimação do cônjuge supérstite para informar sobre a existência de outros herdeiros, não procedeu com a devida diligência para verificar a existência ou não de interessados. O cônjuge supérstite requereu a dilação do prazo arguindo "dificuldade de contatos com o(a)s herdeiros", e o juízo de piso deixando de se manifestar a respeito, proferiu sentença de mérito, reconhecendo a prescrição da pretensão autoral, de ofício. 3. Diante disso, observa-se que no caso ocorreu error in procedendo, pois o juízo de origem deixou de aplicar a norma processual do art. 313, §2º do CPC. 4. Por outro lado, ainda que tivesse ocorrido a devida regularização do pólo ativo da demanda, é de se reconhecer que a sentença impugnada foi proferida em verdadeiro caráter surpresa, atentando contra os arts. 9º, 10 e parágrafo único do art. 487, todos do CPC. 5. O reconhecimento de ofício da prescrição, se não realizado pelo magistrado mediante improcedência liminar (art. 332, §1º do CPC), deve observar a necessária intimação das partes envolvidas para manifestarem- se, a fim de que tenham a oportunidade de influir no livre convencimento do julgador acerca do decurso do prazo prescricional, exercendo contraditório. 6. Desse modo, observa-se que há duas questões de ordem que impõem a anulação da sentença vergastada. A uma, por que não foi declarada a suspensão processual e nem realizada a regularização o pólo ativo, com a verificação da existência de herdeiros ou sucessores da promovente falecida. A duas, por que&lt;/span&gt;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 sentença foi proferida de forma prematura, sem oportunizar à parte autora manifestar-se acerca da prescrição. 7. Sentença anulada de ofício. Prejudicada a análise do mérito recursal.&lt;/span&gt; &lt;span style="font-size: 12pt; font-family: 'Times New Roman',serif; color: #000000; background-color: transparent; font-weight: 400; font-style: normal; font-variant: normal; text-decoration: none; vertical-align: baseline; white-space: pre-wrap;"&gt;ACÓRDÃO: Vistos, relatados e discutidos estes autos, acorda a 4ª Câmara Direito Privado do Tribunal de Justiça do Estado do Ceará, unanimemente, em anular a sentença de ofício, prejudicada a análise do mérito recursal, nos termos do relatório e do voto do relator, que passam a fazer parte integrante do presente acórdão. Fortaleza, 28 de junho de 2022 MARIA DO LIVRAMENTO ALVES MAGALHAES Presidente do Órgão Julgador JUIZ CONVOCADO BENEDITO HELDER AFONSO IBIAPINA PORT. 967/2022</w:t>
            </w:r>
          </w:p>
          <w:p>
            <w:pPr>
              <w:pStyle w:val="TableParagraph"/>
              <w:spacing w:line="208" w:lineRule="auto" w:before="0"/>
              <w:ind w:right="58"/>
              <w:rPr>
                <w:sz w:val="20"/>
              </w:rPr>
            </w:pPr>
            <w:r>
              <w:rPr>
                <w:sz w:val="20"/>
              </w:rPr>
              <w:t>Relator.&lt;/span&gt; &lt;span style="font-size: 12pt; font-family: 'Times New Roman',serif; color: #000000; background-color: transparent; font-weight: 400; font-style: normal; font-variant: normal; text-decoration: none; vertical-align: baseline; white-space: pre-wrap;"&gt;(Apelação Cível - 0009935-45.2017.8.06.0028, Rel. Desembargador(a) Benedito Helder Afonso Ibiapina Port. 967/2022, 4ª Câmara Direito Privado, data do julgamento:&amp;#160; 28/06/2022, data da publicação:&amp;#160; 28/06/2022) [Destaquei]&lt;/span&gt;&lt;/p&gt;&lt;p </w:t>
            </w:r>
            <w:r>
              <w:rPr>
                <w:spacing w:val="-2"/>
                <w:sz w:val="20"/>
              </w:rPr>
              <w:t>style="line- </w:t>
            </w:r>
            <w:r>
              <w:rPr>
                <w:sz w:val="20"/>
              </w:rPr>
              <w:t>height: 1.7999999999999998; margin-left: 113pt; text-align: justify; margin-top: 12pt; margin-bottom: 12pt;" dir="ltr"&gt;&lt;span style="font-size: 12pt; font-family: 'Times New Roman',serif; color: #000000; background-color: transparent; font-weight: 400; font-style: normal; font-variant: normal; text-decoration: none; vertical-align: baseline; white-space: pre-wrap;"&gt;PROCESSUAL CIVIL. APELAÇÃO CÍVEL. SENTENÇA DEFINITIVA. EXTINÇÃO DO FEITO, COM RESOLUÇÃO DE MÉRITO. PRESCRIÇÃO DA PRETENSÃO AUTORAL. RECONHECIMENTO DE OFÍCIO. NECESSIDADE DE PRÉVIA</w:t>
            </w:r>
          </w:p>
          <w:p>
            <w:pPr>
              <w:pStyle w:val="TableParagraph"/>
              <w:spacing w:line="208" w:lineRule="auto" w:before="0"/>
              <w:ind w:right="200"/>
              <w:rPr>
                <w:sz w:val="20"/>
              </w:rPr>
            </w:pPr>
            <w:r>
              <w:rPr>
                <w:sz w:val="20"/>
              </w:rPr>
              <w:t>INTIMAÇÃO DAS PARTES.&lt;/span&gt; &lt;span style="font-size: 12pt; font-family: 'Times </w:t>
            </w:r>
            <w:r>
              <w:rPr>
                <w:spacing w:val="-6"/>
                <w:sz w:val="20"/>
              </w:rPr>
              <w:t>New </w:t>
            </w:r>
            <w:r>
              <w:rPr>
                <w:sz w:val="20"/>
              </w:rPr>
              <w:t>Roman',serif; color: #000000; background-color: transparent; font-weight: 700; font-style: normal; font-variant: normal; text-decoration: none; vertical-align: baseline; white-space: pre-wrap;"&gt;VIOLAÇÃO DOS PRINCÍPIOS DO DEVIDO PROCESSO LEGAL, DA VEDAÇÃO À DECISÃO SURPRESA, DA AMPLA DEFESA E CONTRADITÓRIO. VÍCIO INSANÁVEL. ERROR IN PROCEDENDO. SENTENÇA ANULADA DE OFÍCIO.&lt;/span&gt;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w:t>
            </w:r>
            <w:r>
              <w:rPr>
                <w:spacing w:val="3"/>
                <w:sz w:val="20"/>
              </w:rPr>
              <w:t> </w:t>
            </w:r>
            <w:r>
              <w:rPr>
                <w:spacing w:val="-3"/>
                <w:sz w:val="20"/>
              </w:rPr>
              <w:t>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7"/>
              <w:rPr>
                <w:sz w:val="20"/>
              </w:rPr>
            </w:pPr>
            <w:r>
              <w:rPr>
                <w:sz w:val="20"/>
              </w:rPr>
              <w:t>text-decoration: none; vertical-align: baseline; white-space: pre-wrap;"&gt;RECURSO PREJUDICADO. 1. O juízo de origem proferiu sentença extinguindo o feito, com resolução de mérito, conforme o art. 487, II, do CPC, reconhecendo, de ofício, a prescrição da pretensão do autor. 2. Conforme o art. 487, II e parágrafo único do CPC, a prescrição não será reconhecida sem que antes seja dada às partes a oportunidade de se manifestarem.</w:t>
            </w:r>
          </w:p>
          <w:p>
            <w:pPr>
              <w:pStyle w:val="TableParagraph"/>
              <w:spacing w:line="208" w:lineRule="auto" w:before="0"/>
              <w:ind w:right="53"/>
              <w:rPr>
                <w:sz w:val="20"/>
              </w:rPr>
            </w:pPr>
            <w:r>
              <w:rPr>
                <w:sz w:val="20"/>
              </w:rPr>
              <w:t>3. O julgamento de mérito com o reconhecimento da prescrição de ofício, sem que fosse dada oportunidade às partes de se manifestarem sobre a matéria, mostrou-se equivocado, violando os princípios da vedação à decisão surpresa (art. 10, caput, do CPC), do devido processo legal, do contraditório e da ampla defesa (art. 5º, LIV e LV, da CF). Desse modo, evidenciado o error in procedendo, impõe-se a anulação da sentença. 4.&lt;/span&gt; &lt;span style="font-size: 12pt; font-family: 'Times New Roman',serif; color: #000000; background- color: transparent; font-weight: 700; font-style: normal; font-variant: normal; text-decoration: none; vertical-align: baseline; white-space: pre-wrap;"&gt;Sentença anulada de ofício. Recurso prejudicado.&lt;/span&gt; &lt;span style="font-size: 12pt; font-family: 'Times New Roman',serif; color: #000000; background-color: transparent; font-weight: 400; font-style: normal; font-variant: normal; text-decoration: none; vertical-align: baseline; white-space: pre-wrap;"&gt;ACÓRDÃO: Vistos, relatados e discutidos estes autos, acordam os Desembargadores integrantes da e. 2ª Câmara Direito Privado do Tribunal de Justiça do Estado do Ceará, por unanimidade, em anular a sentença de ofício, determinando o retorno dos autos à instância de origem para regular processamento do feito, nos termos do voto da eminente Relatora. Fortaleza, data e hora da assinatura digital. Everardo Lucena Segundo Presidente do Órgão Julgador Jane Ruth Maia de Queiroga Desembargadora Relatora.&lt;/span&gt; &lt;span style="font-size: 12pt; font-family: 'Times New Roman',serif; color: #000000; background-color: transparent; font-weight: 400; font-style: normal; font-variant: normal; text-decoration: none; vertical-align: baseline; white-space: pre-wrap;"&gt;(Apelação Cível - 0200128-67.2024.8.06.0029, Rel. Desembargador(a) JANE RUTH MAIA DE QUEIROGA, 2ª Câmara Direito Privado, data do julgamento:&amp;#160; 04/09/2024, data da publicação:&amp;#160; 04/09/2024) [Destaquei]&lt;/span&gt;&lt;/p&gt;&lt;p </w:t>
            </w:r>
            <w:r>
              <w:rPr>
                <w:spacing w:val="-2"/>
                <w:sz w:val="20"/>
              </w:rPr>
              <w:t>style="line- </w:t>
            </w:r>
            <w:r>
              <w:rPr>
                <w:sz w:val="20"/>
              </w:rPr>
              <w:t>height: 1.7999999999999998; margin-left: 113pt; text-align: justify; margin-top: 12pt; margin-bottom: 12pt;" dir="ltr"&gt;&lt;span style="font-size: 12pt; font-family: 'Times New Roman',serif; color: #000000; background-color: transparent; font-weight: 400; font-style: normal; font-variant: normal; text-decoration: none; vertical-align: baseline; white-space: pre-wrap;"&gt;APELAÇÃO CÍVEL. AÇÃO DECLARATÓRIA DE INEXISTÊNCIA DE NEGÓCIO JURÍDICO. SENTENÇA DE PARCIAL PROCEDÊNCIA. PRELIMINAR CONTRARRECURSAL DE ILEGITIMIDADE PASSIVA DO APELADO. TERCEIRO ESTRANHO À LIDE. ERROR IN PROCEDENDO CONFIRMADO. COMPARECIMENTO ESPONTÂNEO DO LEGITIMADO REMANESCENTE NOS TERMOS DO CPC, ART. 239,</w:t>
            </w:r>
          </w:p>
          <w:p>
            <w:pPr>
              <w:pStyle w:val="TableParagraph"/>
              <w:spacing w:line="208" w:lineRule="auto" w:before="0"/>
              <w:rPr>
                <w:sz w:val="20"/>
              </w:rPr>
            </w:pPr>
            <w:r>
              <w:rPr>
                <w:sz w:val="20"/>
              </w:rPr>
              <w:t>§ 1º. NULIDADE, TODAVIA DOS ATOS PRATICADOS APÓS A CONTESTAÇÃO. RECONHECIMENTO DE OFÍCIO. AUSÊNCIA DE INTIMAÇÃO DO ADVOGADO CONSTITUÍDO NOS AUTOS PELO REAL LEGITIMADO. VIOLAÇÃO DO ART. 272, §§ </w:t>
            </w:r>
            <w:r>
              <w:rPr>
                <w:spacing w:val="-9"/>
                <w:sz w:val="20"/>
              </w:rPr>
              <w:t>1º</w:t>
            </w:r>
          </w:p>
          <w:p>
            <w:pPr>
              <w:pStyle w:val="TableParagraph"/>
              <w:spacing w:line="208" w:lineRule="auto" w:before="0"/>
              <w:ind w:right="182"/>
              <w:rPr>
                <w:sz w:val="20"/>
              </w:rPr>
            </w:pPr>
            <w:r>
              <w:rPr>
                <w:sz w:val="20"/>
              </w:rPr>
              <w:t>E 2º DO CPC.&lt;/span&gt; &lt;span style="font-size: 12pt; font-family: 'Times New Roman',serif; color: #000000; background-color: transparent; font-weight: 700; font-style: normal; font- variant: normal; text-decoration: none; vertical-align: baseline; white-space: pre- wrap;"&gt;SENTENÇA CASSADA DE OFÍCIO. RECURSO PREJUDICADO&lt;/span&gt;&lt;span</w:t>
            </w:r>
          </w:p>
          <w:p>
            <w:pPr>
              <w:pStyle w:val="TableParagraph"/>
              <w:spacing w:line="208" w:lineRule="auto" w:before="0"/>
              <w:ind w:right="35"/>
              <w:rPr>
                <w:sz w:val="20"/>
              </w:rPr>
            </w:pPr>
            <w:r>
              <w:rPr>
                <w:sz w:val="20"/>
              </w:rPr>
              <w:t>style="font-size: 12pt; font-family: 'Times New Roman',serif; color: #000000; background- color: transparent; font-weight: 400; font-style: normal; font-variant: normal; text-decoration: none; vertical-align: baseline; white-space: pre-wrap;"&gt;. I ¿ Verificada a ilegitimidade passiva do Banco Bradesco S.A., uma vez que aludida instituição não possui qualquer vínculo ou responsabilidade com o objeto da demanda proposta inicialmente contra o Banco do Brasil S.A. II - O Banco do Brasil, parte legítima para compor a lide, apresentou contestação, operando o comparecimento espontâneo do art. 239, § 1º, do CPC. Na ocasião, requereu que as intimações fossem feitas exclusivamente em nome do seu patrono regularmente constituído nos autos. Contudo, verificou-se que o Banco não foi intimado do despacho que abriu prazo para especificação de provas (fl. 301), conforme certidão judicial (fl. 303), nem da sentença de fls. 308/313, conforme certidão em fl. 315. III</w:t>
            </w:r>
          </w:p>
          <w:p>
            <w:pPr>
              <w:pStyle w:val="TableParagraph"/>
              <w:spacing w:line="208" w:lineRule="auto" w:before="0"/>
              <w:ind w:right="136"/>
              <w:rPr>
                <w:sz w:val="20"/>
              </w:rPr>
            </w:pPr>
            <w:r>
              <w:rPr>
                <w:sz w:val="20"/>
              </w:rPr>
              <w:t>¿&lt;/span&gt; &lt;span style="font-size: 12pt; font-family: 'Times New Roman',serif; color: #000000; background-color: transparent; font-weight: 700; font-style: normal; font-variant: normal; text-decoration: none; vertical-align: baseline; white-space: pre-wrap;"&gt;Diante de todo o exposto, imperiosa a declaração de nulidade da sentença e demais atos exarados após a contestação do Banco do Brasil e sem sua intimação. RECURSO PREJUDICADO.&lt;/span&gt; &lt;span style="font-size: 12pt; font-family: 'Times New Roman',serif; color: #000000; background-color: transparent; font-weight: 400; font-style: normal; font-variant: normal; text-decoration: none; vertical-align: baseline; white-space: pre-wrap;"&gt;ACÓRDÃO Vistos, relatados e discutidos estes acorda a 2ª Câmara de Direito Privado do Tribunal de Justiça do Estado do Ceará, em julgar prejudicado o recurso apelatório nº 0201935-59.2023.8.06.0029, nos termos do voto proferido pelo Excelentíssimo Desembargador Relator. Fortaleza, data e hora indicada no sistema.</w:t>
            </w:r>
          </w:p>
          <w:p>
            <w:pPr>
              <w:pStyle w:val="TableParagraph"/>
              <w:spacing w:line="190" w:lineRule="exact" w:before="0"/>
              <w:rPr>
                <w:sz w:val="20"/>
              </w:rPr>
            </w:pPr>
            <w:r>
              <w:rPr>
                <w:sz w:val="20"/>
              </w:rPr>
              <w:t>DESEMBARGADOR EVERARDO LUCENA SEGUNDO Relator (assinado</w:t>
            </w:r>
          </w:p>
          <w:p>
            <w:pPr>
              <w:pStyle w:val="TableParagraph"/>
              <w:spacing w:line="208" w:lineRule="auto" w:before="5"/>
              <w:ind w:right="244"/>
              <w:rPr>
                <w:sz w:val="20"/>
              </w:rPr>
            </w:pPr>
            <w:r>
              <w:rPr>
                <w:sz w:val="20"/>
              </w:rPr>
              <w:t>digitalmente).&lt;/span&gt; &lt;span style="font-size: 12pt; font-family: 'Times New Roman',serif; color: #000000; background-color: transparent; font-weight: 400; font-style: normal;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4"/>
              <w:rPr>
                <w:sz w:val="20"/>
              </w:rPr>
            </w:pPr>
            <w:r>
              <w:rPr>
                <w:sz w:val="20"/>
              </w:rPr>
              <w:t>variant: normal; text-decoration: none; vertical-align: baseline; white-space: pre- wrap;"&gt;(Apelação Cível - 0201935-59.2023.8.06.0029, Rel. Desembargador(a) EVERARDO LUCENA SEGUNDO, 2ª Câmara Direito Privado, data do julgamento:&amp;#160; 28/08/2024, data da publicação:&amp;#160; 28/08/2024) [Destaquei]&lt;/span&gt;&lt;/p&gt;&lt;p style="line- height: 1.7999999999999998; margin-left: 113pt; text-align: justify; margin-top: 12pt; margin-bottom: 12pt;" dir="ltr"&gt;&lt;span style="font-size: 12pt; font-family: 'Times New Roman',serif; color: #000000; background-color: transparent; font-weight: 400; font-style: normal; font-variant: normal; text-decoration: none; vertical-align: baseline; white-space: pre-wrap;"&gt;APELAÇÃO CÍVEL. AÇÃO ANULATÓRIA DE NEGÓCIO JURÍDICO COM PEDIDO DE SUSPENSÃO LIMINAR C/C DANOS MORAIS E MATERIAIS. AUSÊNCIA DE CITAÇÃO DA CORRÉ. INOBSERVÂNCIA DOS PRINCÍPIOS DO CONTRADITÓRIO E</w:t>
            </w:r>
          </w:p>
          <w:p>
            <w:pPr>
              <w:pStyle w:val="TableParagraph"/>
              <w:spacing w:line="208" w:lineRule="auto" w:before="0"/>
              <w:ind w:right="270"/>
              <w:rPr>
                <w:sz w:val="20"/>
              </w:rPr>
            </w:pPr>
            <w:r>
              <w:rPr>
                <w:sz w:val="20"/>
              </w:rPr>
              <w:t>AMPLA DEFESA.&lt;/span&gt; &lt;span style="font-size: 12pt; font-family: 'Times New Roman',serif; color: #000000; background-color: transparent; font-weight: 700; font-style: normal; font-variant: normal; text-decoration: none; vertical-align: baseline; white-space: pre-wrap;"&gt;ERROR IN PROCEDENDO. NULIDADE DA SENTENÇA. RECONHECIMENTO DE OFÍCIO. RETORNO DOS AUTOS AO JUÍZO DE ORIGEM. RECURSO PREJUDICADO. SENTENÇA ANULADA DE OFÍCIO&lt;/span&gt;&lt;span</w:t>
            </w:r>
          </w:p>
          <w:p>
            <w:pPr>
              <w:pStyle w:val="TableParagraph"/>
              <w:spacing w:line="208" w:lineRule="auto" w:before="0"/>
              <w:ind w:right="31"/>
              <w:rPr>
                <w:sz w:val="20"/>
              </w:rPr>
            </w:pPr>
            <w:r>
              <w:rPr>
                <w:sz w:val="20"/>
              </w:rPr>
              <w:t>style="font-size: 12pt; font-family: 'Times New Roman',serif; color: #000000; background- color: transparent; font-weight: 400; font-style: normal; font-variant: normal; text-decoration: none; vertical-align: baseline; white-space: pre-wrap;"&gt;. Analisando os autos, não obstante a ação tenha sido ajuizada em face do Banco Santander Brasil S.A e de Embraport Consultoria em Informações Cadastrais Ltda, é possível verificar que não ocorreu a </w:t>
            </w:r>
            <w:r>
              <w:rPr>
                <w:spacing w:val="-3"/>
                <w:sz w:val="20"/>
              </w:rPr>
              <w:t>regular </w:t>
            </w:r>
            <w:r>
              <w:rPr>
                <w:sz w:val="20"/>
              </w:rPr>
              <w:t>citação desta última, porquanto se denota que os Avisos de Recebimento (AR) que intentaram a citação desta (fls. 123 e 289), retornaram com a informação ¿mudou-se¿. </w:t>
            </w:r>
            <w:r>
              <w:rPr>
                <w:spacing w:val="-6"/>
                <w:sz w:val="20"/>
              </w:rPr>
              <w:t>Por </w:t>
            </w:r>
            <w:r>
              <w:rPr>
                <w:sz w:val="20"/>
              </w:rPr>
              <w:t>tais considerações, demonstrada a ausência de citação do segundo promovido, evidencia- se flagrante error in procedendo. O Código de Processo Civil, no art. 238, caput, ao dispor acerca da citação, estabelece que consiste no ato por meio do qual o réu, o executado ou o interessado são chamados para integrarem a relação processual, sendo, portanto, ato essencial na dinâmica processual. Ato contínuo, o art. 239, caput do mesmo Diploma Legal apregoa que a citação é ato indispensável para a validade do processo, em observância ao princípio do contraditório e da ampla defesa. Por essas razões, efetivamente demonstrado o error in procedendo, anulo, de ofício, a sentença, bem como o processo desde a data da citação, a fim de que se proceda a citação do segundo promovido (Embraport Consultoria em Informações Cadastrais Ltda), dando-se regular processamento ao feito. Recurso PREJUDICADO, para reconhecer, de ofício, a nulidade da sentença razão pela qual determino o retorno dos autos ao Juízo a quo, para que proceda à adequada citação do segundo promovido (Embraport Consultoria em Informações Cadastrais Ltda). Vistos, relatados e discutidos estes acorda a 2ª Câmara de Direito Privado do Tribunal de Justiça do Estado do Ceará, julgar como prejudicado o recurso apelatório nº 0264475-67.2022.8.06.0001, nos termos do voto proferido pelo Excelentíssimo Desembargador Relator. Fortaleza, data indicada no sistema.</w:t>
            </w:r>
          </w:p>
          <w:p>
            <w:pPr>
              <w:pStyle w:val="TableParagraph"/>
              <w:spacing w:line="189" w:lineRule="exact" w:before="0"/>
              <w:rPr>
                <w:sz w:val="20"/>
              </w:rPr>
            </w:pPr>
            <w:r>
              <w:rPr>
                <w:sz w:val="20"/>
              </w:rPr>
              <w:t>DESEMBARGADOR EVERARDO LUCENA SEGUNDO Relator (assinado</w:t>
            </w:r>
          </w:p>
          <w:p>
            <w:pPr>
              <w:pStyle w:val="TableParagraph"/>
              <w:spacing w:line="208" w:lineRule="auto" w:before="8"/>
              <w:ind w:right="58"/>
              <w:rPr>
                <w:sz w:val="20"/>
              </w:rPr>
            </w:pPr>
            <w:r>
              <w:rPr>
                <w:sz w:val="20"/>
              </w:rPr>
              <w:t>digitalmente).&lt;/span&gt; &lt;span style="font-size: 12pt; font-family: 'Times New Roman',serif; color: #000000; background-color: transparent; font-weight: 400; font-style: normal; font- variant: normal; text-decoration: none; vertical-align: baseline; white-space: pre- wrap;"&gt;(Apelação Cível - 0264475-67.2022.8.06.0001, Rel. Desembargador(a) EVERARDO LUCENA SEGUNDO, 2ª Câmara Direito Privado, data do julgamento:&amp;#160; 13/12/2023, data da publicação:&amp;#160; 13/12/2023) [Destaquei]&lt;/span&gt;&lt;/p&gt;&lt;p style="line- height: 1.7999999999999998; margin-left: 113pt; text-align: justify; margin-top: 12pt; margin-bottom: 12pt;" dir="ltr"&gt;&lt;span style="font-size: 12pt; font-family: 'Times New Roman',serif; color: #000000; background-color: transparent; font-weight: 400; font-style: normal; font-variant: normal; text-decoration: none; vertical-align: baseline; white-space: pre-wrap;"&gt;DIREITO PROCESSUAL CIVIL. AGRAVO INTERNO. DECISÃO MONOCRÁTICA PROFERIDA APÓS O TRÂNSITO EM JULGADO DE DECISÃO DO</w:t>
            </w:r>
          </w:p>
          <w:p>
            <w:pPr>
              <w:pStyle w:val="TableParagraph"/>
              <w:spacing w:line="208" w:lineRule="auto" w:before="0"/>
              <w:ind w:right="103"/>
              <w:rPr>
                <w:sz w:val="20"/>
              </w:rPr>
            </w:pPr>
            <w:r>
              <w:rPr>
                <w:sz w:val="20"/>
              </w:rPr>
              <w:t>STJ.&lt;/span&gt; &lt;span style="font-size: 12pt; font-family: 'Times New Roman',serif; color: #000000; background-color: transparent; font-weight: 700; font-style: normal; font-variant: normal; text-decoration: none; vertical-align: baseline; white-space: pre-wrap;"&gt;ERROR IN PROCEDENDO. OFENSA À COISA JULGADA. NULIDADE RECONHECIDA DE</w:t>
            </w:r>
          </w:p>
          <w:p>
            <w:pPr>
              <w:pStyle w:val="TableParagraph"/>
              <w:spacing w:line="208" w:lineRule="auto" w:before="0"/>
              <w:ind w:right="112"/>
              <w:rPr>
                <w:sz w:val="20"/>
              </w:rPr>
            </w:pPr>
            <w:r>
              <w:rPr>
                <w:sz w:val="20"/>
              </w:rPr>
              <w:t>OFÍCIO&lt;/span&gt;&lt;span style="font-size: 12pt; font-family: 'Times New Roman',serif; color: #000000; background-color: transparent; font-weight: 400; font-style: normal; font-variant: normal; text-decoration: none; vertical-align: baseline; white-space: pre-wrap;"&gt;. I. CASO EM EXAME 1. Agravo Interno interposto por Luiz Almeida da Rocha contra decisão monocrática proferida pela Desembargadora Vera Lúcia Correia Lima nos autos de Recurso de Apelação, que, em repetição à decisão do STJ no Recurso Especial nº 1741444, determinou a aplicação do limitador etário previsto no art. 31, IV, do Decreto-Lei nº 81.240/78, julgando improcedente a Ação de Revisão de Benefício Previdenciário Complementar e invertendo os ônus sucumbenciais. 2. O agravante sustenta que sua admissão na patrocinadora ocorreu antes da vigência do Decreto nº 81.240/78 e que sua condição de sócio fundador da entidade previdenciária não foi analisada. Pede a reforma da decisão para que sua data de adesão ao plano seja considerada como a data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ingresso na patrocinadora. 3. A parte agravada apresentou contrarrazões sustentando ofensa à coisa julgada e requerendo o não conhecimento do recurso. O Ministério Público deixou de se manifestar por ausência de interesse. II. QUESTÃO EM DISCUSSÃO 4. A questão em discussão consiste em verificar se a decisão monocrática agravada incorreu em error in procedendo e ofensa à coisa julgada ao proferir novo pronunciamento sobre matéria já decidida e transitada em julgado pelo STJ. III. RAZÕES DE DECIDIR 5. A decisão monocrática agravada reproduz determinação já transitada em julgado no STJ, o que caracteriza violação à coisa julgada, conforme o art. 5º, XXXVI, da CF/88, e o art. 502 do CPC. 6. A prática de novo pronunciamento sobre questão já decidida definitivamente pelo STJ configura error in procedendo, sendo passível de reconhecimento de ofício, conforme precedentes dos Tribunais Superiores e do TJCE. 7&lt;/span&gt;&lt;span style="font- size: 12pt; font-family: 'Times New Roman',serif; color: #000000; background-color: transparent; font-weight: 700; font-style: normal; font-variant: normal; text-decoration: none; vertical-align: baseline; white-space: pre-wrap;"&gt;. O reconhecimento de nulidade de decisão judicial que viola a coisa julgada é medida de ordem pública e pode ser declarado ex officio em qualquer grau de jurisdição&lt;/span&gt;&lt;span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IV. DISPOSITIVO E TESE 8. Decisão monocrática cassada de ofício. Agravo interno julgado prejudicado. Tese de julgamento: A prolação de decisão monocrática sobre matéria já decidida e transitada em julgado configura error in procedendo e afronta à coisa julgada, devendo ser reconhecida sua nulidade de ofício.</w:t>
            </w:r>
          </w:p>
          <w:p>
            <w:pPr>
              <w:pStyle w:val="TableParagraph"/>
              <w:spacing w:line="208" w:lineRule="auto" w:before="0"/>
              <w:ind w:right="85"/>
              <w:rPr>
                <w:sz w:val="20"/>
              </w:rPr>
            </w:pPr>
            <w:r>
              <w:rPr>
                <w:sz w:val="20"/>
              </w:rPr>
              <w:t>Dispositivos relevantes citados: CF/1988, art. 5º, XXXVI; CPC, arts. 502 e 485, § 3º. Jurisprudência relevante citada: STJ, AgInt no AgInt no REsp 1.339.976/RS, 4ª Turma, DJe 04/12/2017; STJ, AgRg no REsp 1.172.363/RS, 2ª Seção, DJe 20/08/2012; </w:t>
            </w:r>
            <w:r>
              <w:rPr>
                <w:spacing w:val="-3"/>
                <w:sz w:val="20"/>
              </w:rPr>
              <w:t>TJ-MG,</w:t>
            </w:r>
          </w:p>
          <w:p>
            <w:pPr>
              <w:pStyle w:val="TableParagraph"/>
              <w:spacing w:line="208" w:lineRule="auto" w:before="0"/>
              <w:ind w:right="23"/>
              <w:rPr>
                <w:sz w:val="20"/>
              </w:rPr>
            </w:pPr>
            <w:r>
              <w:rPr>
                <w:sz w:val="20"/>
              </w:rPr>
              <w:t>AC 09910264820008130024, Rel. Des. Marcos Henrique Caldeira Brant, j. 20/09/2023; TJ- SP, Apelação Cível 0500007-04.2005.8.26.0278, Rel. Des. Rezende Silveira, j.</w:t>
            </w:r>
          </w:p>
          <w:p>
            <w:pPr>
              <w:pStyle w:val="TableParagraph"/>
              <w:spacing w:line="208" w:lineRule="auto" w:before="0"/>
              <w:ind w:right="46"/>
              <w:rPr>
                <w:sz w:val="20"/>
              </w:rPr>
            </w:pPr>
            <w:r>
              <w:rPr>
                <w:sz w:val="20"/>
              </w:rPr>
              <w:t>24/04/2023; TJCE, Apelação Cível 0520970-36.2011.8.06.0001, Rel. Des. Maria Vilauba Fausto Lopes, j. 20/02/2019. ACÓRDÃO: Vistos, relatados e discutidos estes autos, acorda a 1ª Câmara de Direito Privado do Tribunal de Justiça do Estado do Ceará, em declarar, de ofício, a nulidade da decisão monocrática agravada e julgar prejudicado o agravo interno, tudo nos termos do voto do Relator. Fortaleza, data da assinatura digital. DESEMBARGADOR JOSÉ RICARDO VIDAL PATROCÍNIO Presidente do Órgão </w:t>
            </w:r>
            <w:r>
              <w:rPr>
                <w:spacing w:val="-3"/>
                <w:sz w:val="20"/>
              </w:rPr>
              <w:t>Julgador </w:t>
            </w:r>
            <w:r>
              <w:rPr>
                <w:sz w:val="20"/>
              </w:rPr>
              <w:t>DESEMBARGADOR CARLOS AUGUSTO GOMES CORREIA Relator.&lt;/span&gt; &lt;span</w:t>
            </w:r>
          </w:p>
          <w:p>
            <w:pPr>
              <w:pStyle w:val="TableParagraph"/>
              <w:spacing w:line="208" w:lineRule="auto" w:before="0"/>
              <w:ind w:right="35"/>
              <w:rPr>
                <w:sz w:val="20"/>
              </w:rPr>
            </w:pPr>
            <w:r>
              <w:rPr>
                <w:sz w:val="20"/>
              </w:rPr>
              <w:t>style="font-size: 12pt; font-family: 'Times New Roman',serif; color: #000000; background- color: transparent; font-weight: 400; font-style: normal; font-variant: normal; text-decoration: none; vertical-align: baseline; white-space: pre-wrap;"&gt;(Agravo Interno Cível - 0084571- 15.2007.8.06.0001, Rel. Desembargador(a) CARLOS AUGUSTO GOMES CORREIA, 1ª</w:t>
            </w:r>
          </w:p>
          <w:p>
            <w:pPr>
              <w:pStyle w:val="TableParagraph"/>
              <w:spacing w:line="208" w:lineRule="auto" w:before="0"/>
              <w:ind w:right="42"/>
              <w:rPr>
                <w:sz w:val="20"/>
              </w:rPr>
            </w:pPr>
            <w:r>
              <w:rPr>
                <w:sz w:val="20"/>
              </w:rPr>
              <w:t>Câmara Direito Privado, data do julgamento:&amp;#160; 12/02/2025, data da publicação:&amp;#160; 12/02/2025) [Destaquei]&lt;/span&gt;&lt;/p&gt;&lt;p style="line-height: 1.7999999999999998; text-indent: 2pt; text-align: justify; margin-top: 12pt; margin-bottom: 12pt;" dir="ltr"&gt; &lt;span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56.692913385826756pt;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pre-wrap;"&gt;Portanto, à luz dos fundamentos legais e jurisprudenciais ora delineados, a sentença deve ser cassada, em razão da nulidade decorrente do&lt;/span&gt; &lt;span style="font-size: 12pt; font-family: 'Times New Roman',serif; color: #000000; background-color: transparent; font-weight: 400; font- style: italic; font-variant: normal; text-decoration: none; vertical-align: baseline; </w:t>
            </w:r>
            <w:r>
              <w:rPr>
                <w:spacing w:val="-2"/>
                <w:sz w:val="20"/>
              </w:rPr>
              <w:t>white-space: </w:t>
            </w:r>
            <w:r>
              <w:rPr>
                <w:sz w:val="20"/>
              </w:rPr>
              <w:t>pre-wrap;"&gt;error in procedendo&lt;/span&gt;&lt;span style="font-size: 12pt; font-family: 'Times New Roman',serif; color: #000000; background-color: transparent; font-weight: 400; font- style: normal; font-variant: normal; text-decoration: none; vertical-align: baseline; white- space: pre-wrap;"&gt;, por ter sido proferida sem oportunizar previamente à parte o pleno exercício do direito de manifestação, garantindo-se, assim, o devido processo legal.&lt;/span&gt;&lt;/p&gt;&lt;p style="line-height: 1.7999999999999998; text-indent: 56.692913385826756pt; text-align: justify; margin-top: 6pt;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normal; text-decoration: none; vertical-align: baseline; white-space: pre-wrap;"&gt;3.</w:t>
            </w:r>
          </w:p>
          <w:p>
            <w:pPr>
              <w:pStyle w:val="TableParagraph"/>
              <w:spacing w:line="208" w:lineRule="auto" w:before="0"/>
              <w:ind w:right="32"/>
              <w:rPr>
                <w:sz w:val="20"/>
              </w:rPr>
            </w:pPr>
            <w:r>
              <w:rPr>
                <w:sz w:val="20"/>
              </w:rPr>
              <w:t>DISPOSITIVO&lt;/span&gt;&lt;/p&gt;&lt;p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pre-wrap;"&gt;Diante do que acima foi exposto e fundamentado,&lt;/span&gt; &lt;span style="font-size: 12pt; font-family: </w:t>
            </w:r>
            <w:r>
              <w:rPr>
                <w:spacing w:val="-3"/>
                <w:sz w:val="20"/>
              </w:rPr>
              <w:t>'Times </w:t>
            </w:r>
            <w:r>
              <w:rPr>
                <w:sz w:val="20"/>
              </w:rPr>
              <w:t>New Roman',serif; color: #000000; background-color: transparent; font-weight: 700;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3001178-60.2025.8.06.0115</w:t>
            </w:r>
          </w:p>
        </w:tc>
      </w:tr>
      <w:tr>
        <w:trPr>
          <w:trHeight w:val="9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style: normal; font-variant: normal; text-decoration: none; vertical-align: baseline; white- space: pre-wrap;"&gt;CONHEÇO&lt;/span&gt; &lt;span style="font-size: 12pt; font-family: 'Times New Roman',serif; color: #000000; background-color: transparent; font-weight: 700; font- style: normal; font-variant: normal; text-decoration: none; vertical-align: baseline; white- space: pre-wrap;"&gt;DO RECURSO PARA&lt;/span&gt;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pre-wrap;"&gt;CASSAR A SENTENÇA POR&lt;/span&gt; &lt;span style="font-size: 12pt; font- family: 'Times New Roman',serif; color: #000000; background-color: transparent; font- weight: 700; font-style: italic; font-variant: normal; text-decoration: none; vertical-align: baseline; white-space: pre-wrap;"&gt;ERROR IN PROCEDENDO&lt;/span&gt;&lt;span style="font- size: 12pt; font-family: 'Times New Roman',serif; color: #000000; background-color: transparent; font-weight: 700; font-style: normal; font-variant: normal; text-decoration: none; vertical-align: baseline; white-space: pre-wrap;"&gt;,&lt;/span&gt; &lt;span style="font-size: 12pt;</w:t>
            </w:r>
          </w:p>
          <w:p>
            <w:pPr>
              <w:pStyle w:val="TableParagraph"/>
              <w:spacing w:line="208" w:lineRule="auto" w:before="0"/>
              <w:ind w:right="143"/>
              <w:rPr>
                <w:sz w:val="20"/>
              </w:rPr>
            </w:pPr>
            <w:r>
              <w:rPr>
                <w:sz w:val="20"/>
              </w:rPr>
              <w:t>font-family: 'Times New Roman',serif; color: #000000; background-color: transparent; </w:t>
            </w:r>
            <w:r>
              <w:rPr>
                <w:spacing w:val="-4"/>
                <w:sz w:val="20"/>
              </w:rPr>
              <w:t>font- </w:t>
            </w:r>
            <w:r>
              <w:rPr>
                <w:sz w:val="20"/>
              </w:rPr>
              <w:t>weight: 400; font-style: normal; font-variant: normal; text-decoration: none; vertical-align: baseline; white-space: pre-wrap;"&gt;devendo os autos retornarem à origem para regular processamento.&lt;/span&gt;&lt;/p&gt;&lt;p style="line-height: 1.7999999999999998; text-indent: 56.692913385826756pt; text-align: justify; margin-top: 12pt; margin-bottom: 0pt;"</w:t>
            </w:r>
            <w:r>
              <w:rPr>
                <w:spacing w:val="-11"/>
                <w:sz w:val="20"/>
              </w:rPr>
              <w:t> </w:t>
            </w:r>
            <w:r>
              <w:rPr>
                <w:sz w:val="20"/>
              </w:rPr>
              <w:t>dir="ltr"&gt;</w:t>
            </w:r>
          </w:p>
          <w:p>
            <w:pPr>
              <w:pStyle w:val="TableParagraph"/>
              <w:spacing w:line="208" w:lineRule="auto" w:before="0"/>
              <w:ind w:right="143"/>
              <w:rPr>
                <w:sz w:val="20"/>
              </w:rPr>
            </w:pPr>
            <w:r>
              <w:rPr>
                <w:sz w:val="20"/>
              </w:rPr>
              <w:t>&lt;span style="font-size: 12pt; font-family: 'Times New Roman',serif; color: #000000; background-color: transparent; font-weight: 400; font-style: normal; font-variant: normal; text-decoration: none; vertical-align: baseline; white-space: pre-wrap;"&gt;Sem majoração </w:t>
            </w:r>
            <w:r>
              <w:rPr>
                <w:spacing w:val="-9"/>
                <w:sz w:val="20"/>
              </w:rPr>
              <w:t>de </w:t>
            </w:r>
            <w:r>
              <w:rPr>
                <w:sz w:val="20"/>
              </w:rPr>
              <w:t>honorários, diante da ausência dos requisitos legais.&lt;/span&gt;&lt;/p&gt;&lt;p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 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pre-wrap;"&gt;Fortaleza, data registrada no sistema.&lt;/span&gt; &lt;span style="background-color: transparent; font- family: &amp;quot;Times New Roman&amp;quot;, serif; font-size: 12pt; white-space-collapse: preserve;"&gt;&amp;#160;&lt;/span&gt;&lt;/p&gt;&lt;p style="line-height: 1.7999999999999998; text-align: center; margin-top: 12pt; margin-bottom: 0pt;" dir="ltr"&gt; &lt;span style="font-size: 12pt; font- family: 'Times New Roman',serif; color: #000000; background-color: transparent; font- weight: 700; font-style: normal; font-variant: normal; text-decoration: none; vertical-align: baseline; white-space: pre-wrap;"&gt;FRANCISCO LUCÍDIO DE QUEIROZ JÚNIOR&lt;/span&gt;</w:t>
            </w:r>
          </w:p>
          <w:p>
            <w:pPr>
              <w:pStyle w:val="TableParagraph"/>
              <w:spacing w:line="208" w:lineRule="auto" w:before="0"/>
              <w:ind w:right="255"/>
              <w:rPr>
                <w:sz w:val="20"/>
              </w:rPr>
            </w:pPr>
            <w:r>
              <w:rPr>
                <w:sz w:val="20"/>
              </w:rPr>
              <w:t>&lt;span style="text-align: justify;"&gt;&amp;#160;&lt;/span&gt;&lt;/p&gt;&lt;p style="line-height: 1.7999999999999998; text-align: center; margin-top: 12pt; margin-bottom: 0pt;" dir="ltr"&gt;</w:t>
            </w:r>
          </w:p>
          <w:p>
            <w:pPr>
              <w:pStyle w:val="TableParagraph"/>
              <w:tabs>
                <w:tab w:pos="4199" w:val="left" w:leader="none"/>
              </w:tabs>
              <w:spacing w:line="208" w:lineRule="auto" w:before="0"/>
              <w:ind w:right="375"/>
              <w:rPr>
                <w:sz w:val="20"/>
              </w:rPr>
            </w:pPr>
            <w:r>
              <w:rPr>
                <w:sz w:val="20"/>
              </w:rPr>
              <w:t>&lt;span style="font-size: 12pt; font-family: 'Times New Roman',serif; color: #000000; background-color: transparent; font-weight: 400; font-style: normal; font-variant: </w:t>
            </w:r>
            <w:r>
              <w:rPr>
                <w:spacing w:val="-3"/>
                <w:sz w:val="20"/>
              </w:rPr>
              <w:t>normal; </w:t>
            </w:r>
            <w:r>
              <w:rPr>
                <w:sz w:val="20"/>
              </w:rPr>
              <w:t>text-decoration: none; vertical-align: baseline; white-space: pre-wrap;"&gt;Desembargador Relator&lt;/span&gt;&lt;/p&gt;&lt;br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RAIMUNDO PESSOA FILHO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RONALDO NOGUEIRA SIMOES - (CE17801-A)</w:t>
            </w:r>
          </w:p>
          <w:p>
            <w:pPr>
              <w:pStyle w:val="TableParagraph"/>
              <w:spacing w:line="215" w:lineRule="exact" w:before="0"/>
              <w:rPr>
                <w:sz w:val="20"/>
              </w:rPr>
            </w:pPr>
            <w:r>
              <w:rPr>
                <w:sz w:val="20"/>
              </w:rPr>
              <w:t>JOAO VITOR CHAVES MARQUES DIAS - (CE30348-A)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&lt;strong&gt;PROCESSO&lt;/strong&gt;:&amp;#160;0200107-48.2024.8.06.0108 -&amp;#160;APELAÇÃO</w:t>
            </w:r>
          </w:p>
          <w:p>
            <w:pPr>
              <w:pStyle w:val="TableParagraph"/>
              <w:tabs>
                <w:tab w:pos="4518" w:val="left" w:leader="none"/>
                <w:tab w:pos="5263" w:val="left" w:leader="none"/>
                <w:tab w:pos="6080" w:val="left" w:leader="none"/>
                <w:tab w:pos="6557" w:val="left" w:leader="none"/>
                <w:tab w:pos="6924" w:val="left" w:leader="none"/>
              </w:tabs>
              <w:spacing w:line="208" w:lineRule="auto" w:before="8"/>
              <w:ind w:right="100"/>
              <w:rPr>
                <w:sz w:val="20"/>
              </w:rPr>
            </w:pPr>
            <w:r>
              <w:rPr>
                <w:sz w:val="20"/>
              </w:rPr>
              <w:t>CÍVEL (198)&lt;/span&gt;  &lt;/span&gt;&lt;/p&gt;&lt;p&gt;  &lt;span style="font-size: small;"&gt;</w:t>
              <w:tab/>
              <w:t>&lt;span style="font-family: &amp;quot;times new roman&amp;quot;, times;"&gt;APELANTE: RAIMUNDO PESSOA FILHO&lt;/span&gt;  &lt;/span&gt;&lt;/p&gt;&lt;p&gt;  &lt;span style="font-size: small;"&gt;</w:t>
              <w:tab/>
              <w:t>&lt;span style="font-family: &amp;quot;times new roman&amp;quot;, times;"&gt;APELADO: BANCO PAN S.A.&lt;/span&gt;  &lt;/span&gt;&lt;/p&gt;&lt;p&gt;  &lt;span style="font-size: medium;"&gt;</w:t>
              <w:tab/>
              <w:t>&lt;span style="font- family: &amp;quot;times new roman&amp;quot;, times;"&gt;</w:t>
              <w:tab/>
              <w:t>&lt;br /&gt;</w:t>
              <w:tab/>
              <w:t>&lt;/span&gt; &lt;/span&gt;&lt;/p&gt;&lt;p style="line-height:1.7999999999999998;text-align: justify;margin-top:12pt;margin- bottom:12pt;" dir="ltr"&gt; &lt;span style="font-size:12pt;font-family:'Times New Roman',serif;color:#000000;background-color:transparent;font-weight:700;font- style:normal;font-variant:normal;text-decoration:none;vertical-align:baseline;white- space:pre;white-space:pre-wrap;"&gt;APELAÇÃO CÍVEL. AÇÃO DECLARATÓRIA DE INEXISTÊNCIA DE RELAÇÃO JURÍDICA C/C REPETIÇÃO DE INDÉBITO E INDENIZAÇÃO POR DANOS MORAIS. ALEGAÇÃO DE ANALFABETISMO FUNCIONAL. DOCUMENTO DE IDENTIDADE COM ASSINATURA. CERCEAMENTO DE DEFESA. INOCORRÊNCIA. COMPROVANTE DE DEPÓSITO NA CONTA DO AUTOR. CONTRATAÇÃO REGULAR. SENTENÇA MANTIDA. RECURSO CONHECIDO E NÃO</w:t>
            </w:r>
          </w:p>
          <w:p>
            <w:pPr>
              <w:pStyle w:val="TableParagraph"/>
              <w:spacing w:line="208" w:lineRule="auto" w:before="0"/>
              <w:ind w:right="152"/>
              <w:rPr>
                <w:sz w:val="20"/>
              </w:rPr>
            </w:pPr>
            <w:r>
              <w:rPr>
                <w:sz w:val="20"/>
              </w:rPr>
              <w:t>PROVIDO.&lt;/span&gt;&lt;/p&gt;&lt;p style="line-height:1.7999999999999998;text-align: justify;margin-top:12pt;margin-bottom:12pt;" dir="ltr"&gt; &lt;span style="font-size:12pt;font- family:'Times New Roman',serif;color:#000000;background-color:transparent;font- weight:700;font-style:normal;font-variant:normal;text-decoration:none;vertical- align:baseline;white-space:pre;white-space:pre-wrap;"&gt;Caso em exame:&lt;/span&gt;&lt;/p&gt;&lt;p style="line-height:1.7999999999999998;text-align: justify;margin-top:12pt;margin- bottom:12pt;" dir="ltr"&gt; &lt;span style="font-size:12pt;font-family:'Times New Roman',serif;color:#000000;background-color:transparent;font-weight:400;font- style:normal;font-variant:normal;text-decoration:none;vertical-align:baseline;white- space:pre;white-space:pre-wrap;"&gt;1.Trata-se de Apelação Cível interposta em face da sentença proferida pelo Juízo da Vara Única da Comarca de Jaguaruana/CE, que julgou improcedentes os pedidos formulados em ação declaratória de inexistência de relação jurídica c/c repetição de indébito e indenização por danos morais ajuizada contra o Banco Pan S.A.&lt;/span&gt;&lt;/p&gt;&lt;p style="line-height:1.7999999999999998;text-align: justify;margin- top:12pt;margin-bottom:12pt;" dir="ltr"&gt;&lt;span style="font-size:12pt;font-family:'Times New Roman',serif;color:#000000;background-color:transparent;font-weight:700;font- style:normal;font-variant:normal;text-decoration:none;vertical-align:baseline;white- space:pre;white-space:pre-wrap;"&gt;Questão em discussão:&amp;#160; &amp;#160;&lt;/span&gt; &lt;span style="font-size:12pt;font-family:'Times New Roman',serif;color:#000000;background- color:transparent;font-weight:700;font-style:normal;font-variant:normal;text- decoration:none;vertical-align:baseline;white-space:pre;white-space:pre-wrap;"&gt; &lt;br</w:t>
            </w:r>
          </w:p>
          <w:p>
            <w:pPr>
              <w:pStyle w:val="TableParagraph"/>
              <w:spacing w:line="208" w:lineRule="auto" w:before="0"/>
              <w:ind w:right="865"/>
              <w:rPr>
                <w:sz w:val="20"/>
              </w:rPr>
            </w:pPr>
            <w:r>
              <w:rPr>
                <w:sz w:val="20"/>
              </w:rPr>
              <w:t>/&gt;&lt;/span&gt;&lt;span style="font-size:12pt;font-family:'Times New Roman',serif;color:#000000;background-color:transparent;font-weight:400;font-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353" w:val="left" w:leader="none"/>
              </w:tabs>
              <w:spacing w:line="208" w:lineRule="auto" w:before="26"/>
              <w:ind w:right="276"/>
              <w:rPr>
                <w:sz w:val="20"/>
              </w:rPr>
            </w:pPr>
            <w:r>
              <w:rPr>
                <w:sz w:val="20"/>
              </w:rPr>
              <w:t>space:pre;white-space:pre-wrap;"&gt;2. A controvérsia recursal consiste em verificar a ocorrência de cerceamento de defesa pela não realização de perícia pedagógica e a suposta nulidade do contrato por ausência de assinatura a rogo e de duas testemunhas instrumentárias, sob a alegação de analfabetismo funcional do autor.&lt;/span&gt;&lt;/p&gt;&lt;p style="line-height:1.7999999999999998;text-align: justify;margin-top:12pt;margin- bottom:12pt;" dir="ltr"&gt; &lt;span style="font-size:12pt;font-family:'Times New Roman',serif;color:#000000;background-color:transparent;font-weight:700;font- style:normal;font-variant:normal;text-decoration:none;vertical-align:baseline;white- space:pre;white-space:pre-wrap;"&gt;Razões de decidir:&lt;/span&gt; &lt;span style="font- size:12pt;font-family:'Times New Roman',serif;color:#000000;background- color:transparent;font-weight:700;font-style:normal;font-variant:normal;text- decoration:none;vertical-align:baseline;white-space:pre;white-space:pre-wrap;"&gt;</w:t>
              <w:tab/>
              <w:t>&lt;br</w:t>
            </w:r>
            <w:r>
              <w:rPr>
                <w:spacing w:val="1"/>
                <w:sz w:val="20"/>
              </w:rPr>
              <w:t> </w:t>
            </w:r>
            <w:r>
              <w:rPr>
                <w:spacing w:val="-9"/>
                <w:sz w:val="20"/>
              </w:rPr>
              <w:t>/&gt;</w:t>
            </w:r>
          </w:p>
          <w:p>
            <w:pPr>
              <w:pStyle w:val="TableParagraph"/>
              <w:tabs>
                <w:tab w:pos="3351" w:val="left" w:leader="none"/>
              </w:tabs>
              <w:spacing w:line="208" w:lineRule="auto" w:before="0"/>
              <w:ind w:right="18"/>
              <w:rPr>
                <w:sz w:val="20"/>
              </w:rPr>
            </w:pPr>
            <w:r>
              <w:rPr>
                <w:sz w:val="20"/>
              </w:rPr>
              <w:t>&lt;/span&gt; &lt;span style="font-size:12pt;font-family:'Times New Roman',serif;color:#000000;background-color:transparent;font-weight:400;font- style:normal;font-variant:normal;text-decoration:none;vertical-align:baseline;white- space:pre;white-space:pre-wrap;"&gt;3. Rejeita-se a preliminar de cerceamento de defesa, pois cabe ao magistrado, como destinatário da prova, aferir a necessidade de sua produção, sendo o conjunto documental suficiente ao deslinde da causa, conforme o art. 370 do CPC.&lt;/span&gt; &lt;span style="font-size:12pt;font-family:'Times New Roman',serif;color:#000000;background-color:transparent;font-weight:400;font- style:normal;font-variant:normal;text-decoration:none;vertical-align:baseline;white- space:pre;white-space:pre-wrap;"&gt;</w:t>
              <w:tab/>
              <w:t>&lt;br /&gt; &lt;/span&gt; &lt;span style="font-size:12pt;font- family:'Times New Roman',serif;color:#000000;background-color:transparent;font- weight:400;font-style:normal;font-variant:normal;text-decoration:none;vertical- align:baseline;white-space:pre;white-space:pre-wrap;"&gt;4. O documento de identidade demonstra que o autor não é analfabeto, apresentando assinatura legível, o que afasta a incidência do art. 595 do Código Civil, aplicável apenas a pessoas analfabetas. Ademais, nos termos do art. 104 do Código Civil, a validade do negócio jurídico depende da capacidade do agente, da licitude do objeto e da observância de forma não proibida por </w:t>
            </w:r>
            <w:r>
              <w:rPr>
                <w:spacing w:val="-5"/>
                <w:sz w:val="20"/>
              </w:rPr>
              <w:t>lei. </w:t>
            </w:r>
            <w:r>
              <w:rPr>
                <w:sz w:val="20"/>
              </w:rPr>
              <w:t>Assim, o nível de alfabetização da parte não configura, por si só, impedimento à validade de um negócio jurídico, por não afetar a capacidade de fato da pessoa (arts. 1º a 4º, do CC). Importante pontuar que em nenhum momento o autor demonstrou que informou no momento da assinatura do pacto a condição alegada judicialmente.&lt;/span&gt;&lt;/p&gt;&lt;p style="line-height:1.7999999999999998;text-align: justify;margin-top:12pt;margin- bottom:12pt;" dir="ltr"&gt; &lt;span style="background-color: transparent; font-family: &amp;quot;Times New Roman&amp;quot;, serif; font-size: 12pt; white-space-collapse: preserve;"&gt;5. Constatou-se que o contrato foi regularmente firmado, com utilização de registro facial, geolocalização, assinatura compatível, documentos pessoais e comprovante de depósito em conta de titularidade do autor.&lt;/span&gt;&lt;/p&gt;&lt;p style="line- height:1.7999999999999998;text-align: justify;margin-top:12pt;margin-bottom:12pt;" dir="ltr"&gt; &lt;span style="font-size:12pt;font-family:'Times New Roman',serif;color:#000000;background-color:transparent;font-weight:400;font- style:normal;font-variant:normal;text-decoration:none;vertical-align:baseline;white- space:pre;white-space:pre-wrap;"&gt;6. Ausente vício de consentimento ou irregularidade contratual, não há falar em nulidade do negócio jurídico, tampouco em falha na prestação do serviço, conforme precedentes desta Corte de Justiça.&lt;/span&gt;&lt;/p&gt;&lt;p style="line- height:1.7999999999999998;text-align: justify;margin-top:12pt;margin-bottom:12pt;" dir="ltr"&gt;&lt;span style="font-size:12pt;font-family:'Times New Roman',serif;color:#000000;background-color:transparent;font-weight:700;font- style:normal;font-variant:normal;text-decoration:none;vertical-align:baseline;white- space:pre;white-space:pre-wrap;"&gt;Dispositivo:&lt;/span&gt;&lt;span style="font-size:12pt;font- family:'Times New Roman',serif;color:#000000;background-color:transparent;font- weight:700;font-style:normal;font-variant:normal;text-decoration:none;vertical- align:baseline;white-space:pre;white-space:pre-wrap;"&gt; &lt;br /&gt;&lt;/span&gt;&lt;span style="font- size:12pt;font-family:'Times New Roman',serif;color:#000000;background- color:transparent;font-weight:400;font-style:normal;font-variant:normal;text- decoration:none;vertical-align:baseline;white-space:pre;white-space:pre-wrap;"&gt;7. Apelo conhecido e não provido. Sentença mantida. Honorários majorados em 15% sobre o valor da causa, observada a gratuidade da justiça concedida à parte apelante.&amp;#160;&lt;/span&gt;</w:t>
            </w:r>
          </w:p>
          <w:p>
            <w:pPr>
              <w:pStyle w:val="TableParagraph"/>
              <w:spacing w:line="208" w:lineRule="auto" w:before="0"/>
              <w:ind w:right="98"/>
              <w:rPr>
                <w:sz w:val="20"/>
              </w:rPr>
            </w:pPr>
            <w:r>
              <w:rPr>
                <w:sz w:val="20"/>
              </w:rPr>
              <w:t>&lt;span style="background-color: transparent; font-family: &amp;quot;Times New Roman&amp;quot;, serif; font-size: 12pt; white-space-collapse: preserve;"&gt;&amp;#160;&lt;/span&gt;&lt;/p&gt;&lt;p style="line- height:2.4;text-align: center;margin-top:12pt;margin-bottom:12pt;" dir="ltr"&gt; &lt;span style="font-size:13.999999999999998pt;font-family:'Times New Roman',serif;color:#000000;background-color:transparent;font-weight:700;font- style:normal;font-variant:normal;text-decoration:none;vertical-align:baseline;white- space:pre;white-space:pre-wrap;"&gt;ACÓRDÃO&lt;/span&gt; &lt;span style="background-color: transparent; font-family: &amp;quot;Times New Roman&amp;quot;, serif; font-size: 14pt; font-weight: 700; white-space-collapse: preserve;"&gt;&amp;#160;&lt;/span&gt;&lt;/p&gt;&lt;p style="line- height:1.7999999999999998;text-indent: 71pt;text-align: justify;margin-top:6pt;margin- bottom:12pt;" dir="ltr"&gt;&lt;span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0"/>
              <w:rPr>
                <w:sz w:val="20"/>
              </w:rPr>
            </w:pPr>
            <w:r>
              <w:rPr>
                <w:sz w:val="20"/>
              </w:rPr>
              <w:t>Roman',serif;color:#000000;background-color:transparent;font-weight:400;font- style:normal;font-variant:normal;text-decoration:none;vertical-align:baseline;white- space:pre;white-space:pre-wrap;"&gt;Vistos, relatados e discutidos esses autos, acorda a Quinta Câmara de Direito Privado do Egrégio Tribunal de Justiça do Ceará, por unanimidade, em&lt;/span&gt; &lt;span style="font-size:12pt;font-family:'Times New Roman',serif;color:#000000;background-color:transparent;font-weight:700;font- style:normal;font-variant:normal;text-decoration:none;vertical-align:baseline;white- space:pre;white-space:pre-wrap;"&gt;CONHECER&lt;/span&gt; &lt;span style="font-size:12pt;font- family:'Times New Roman',serif;color:#000000;background-color:transparent;font- weight:400;font-style:normal;font-variant:normal;text-decoration:none;vertical- align:baseline;white-space:pre;white-space:pre-wrap;"&gt;e&lt;/span&gt; &lt;span style="font- size:12pt;font-family:'Times New Roman',serif;color:#000000;background- color:transparent;font-weight:700;font-style:normal;font-variant:normal;text- decoration:none;vertical-align:baseline;white-space:pre;white-space:pre-wrap;"&gt;NEGAR PROVIMENTO&lt;/span&gt; &lt;span style="font-size:12pt;font-family:'Times New Roman',serif;color:#000000;background-color:transparent;font-weight:400;font- style:normal;font-variant:normal;text-decoration:none;vertical-align:baseline;white- space:pre;white-space:pre-wrap;"&gt;à presente Apelação Cível, em conformidade com o voto do Relator.&lt;/span&gt;&lt;/p&gt;&lt;p style="line-height:1.7999999999999998;text-indent: 71pt;text-align: justify;margin-top:6pt;margin-bottom:12pt;" dir="ltr"&gt; &lt;span style="font- size:12pt;font-family:'Times New Roman',serif;color:#000000;background- color:transparent;font-weight:400;font-style:normal;font-variant:normal;text- decoration:none;vertical-align:baseline;white-space:pre;white-space:pre-wrap;"&gt;Fortaleza, data registrada no sistema.&lt;/span&gt;&lt;/p&gt;&lt;p style="line-height:1.7999999999999998;text- indent: 71pt;text-align: justify;margin-top:6pt;margin-bottom:12pt;" dir="ltr"&gt; &lt;span style="font-size:12pt;font-family:'Times New Roman',serif;color:#000000;background- color:transparent;font-weight:400;font-style:normal;font-variant:normal;text- decoration:none;vertical-align:baseline;white-space:pre;white-space:pre- wrap;"&gt;&amp;#160;&lt;/span&gt;&lt;/p&gt;&lt;p style="line-height:1.7999999999999998;text-align: center;margin-top:12pt;margin-bottom:12pt;" dir="ltr"&gt; &lt;span style="font-size:12pt;font- family:'Times New Roman',serif;color:#000000;background-color:transparent;font- weight:700;font-style:normal;font-variant:normal;text-decoration:none;vertical- align:baseline;white-space:pre;white-space:pre-wrap;"&gt;MARIA REGINA OLIVEIRA CÂMARA&lt;/span&gt;&lt;/p&gt;&lt;p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space:pre;white-space:pre-wrap;"&gt;Presidente do Órgão Julgador&lt;/span&gt;&lt;/p&gt;&lt;p style="line-height:1.7999999999999998;text-align: center;margin-top:12pt;margin- bottom:12pt;" dir="ltr"&gt; &lt;span style="font-size:12pt;font-family:'Times New Roman',serif;color:#000000;background-color:transparent;font-weight:700;font- style:normal;font-variant:normal;text-decoration:none;vertical-align:baseline;white- space:pre;white-space:pre-wrap;"&gt;&amp;#160;&lt;/span&gt;&lt;/p&gt;&lt;p style="line- height:1.7999999999999998;text-align: center;margin-top:12pt;margin-bottom:12pt;" dir="ltr"&gt; &lt;span style="font-size:12pt;font-family:'Times New Roman',serif;color:#000000;background-color:transparent;font-weight:700;font- style:normal;font-variant:normal;text-decoration:none;vertical-align:baseline;white- space:pre;white-space:pre-wrap;"&gt;FRANCISCO LUCÍDIO DE QUEIROZ JÚNIOR&lt;/span&gt;&lt;/p&gt;&lt;p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space:pre;white-space:pre-wrap;"&gt;&amp;#160;Desembargador Relator&lt;/span&gt;&lt;/p&gt;&lt;p style="line-height:1.7999999999999998;text-indent: 71pt;text-align: justify;margin- top:6pt;margin-bottom:12pt;"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2pt;text-align: justify;margin-top:12pt;margin- 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2pt;text-align: center;margin-top:12pt;margin- bottom:12pt;" dir="ltr"&gt; &lt;span style="font-size:12pt;font-family:'Times New Roman',serif;color:#000000;background-color:transparent;font-weight:700;font- style:normal;font-variant:normal;text-decoration:none;vertical-align:baseline;white- space:pre;white-space:pre-wrap;"&gt;RELATÓRIO&lt;/span&gt;&lt;/p&gt;&lt;p style="text-align: justify; font-family: &amp;quot;Times New Roman&amp;quot;; font-size: medium; line-height: 1.8; text- indent: 56.6929pt; margin-top: 12pt; margin-bottom: 12pt;" dir="ltr"&gt;&lt;span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4"/>
              <w:rPr>
                <w:sz w:val="20"/>
              </w:rPr>
            </w:pPr>
            <w:r>
              <w:rPr>
                <w:sz w:val="20"/>
              </w:rPr>
              <w:t>12pt; font-family: &amp;quot;Times New Roman&amp;quot;, serif; background-color: transparent; font-variant-numeric: normal; font-variant-east-asian: normal; font-variant-alternates: normal; font-variant-position: normal; font-variant-emoji: normal; vertical-align: baseline; white-space-collapse: preserve;"&gt;Trata-se de&lt;/span&gt; &lt;span style="font-size: 12pt;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preserve;"&gt;Apelação Cível&lt;/span&gt; &lt;span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preserve;"&gt;interposta por&lt;/span&gt; &lt;span style="font-size: 12pt; font-family:</w:t>
            </w:r>
          </w:p>
          <w:p>
            <w:pPr>
              <w:pStyle w:val="TableParagraph"/>
              <w:spacing w:line="208" w:lineRule="auto" w:before="0"/>
              <w:ind w:right="42"/>
              <w:rPr>
                <w:sz w:val="20"/>
              </w:rPr>
            </w:pPr>
            <w:r>
              <w:rPr>
                <w:sz w:val="20"/>
              </w:rPr>
              <w:t>&amp;quot;Times New Roman&amp;quot;, serif; background-color: transparent; font-variant-numeric: normal; font-variant-east-asian: normal; font-variant-alternates: normal; font-variant- position: normal; font-variant-emoji: normal; vertical-align: baseline; white-space-collapse: preserve;"&gt; &lt;strong&gt;RAIMUNDO PESSOA FILHO&lt;/strong&gt;&lt;/span&gt;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preserve;"&gt;em face da Sentença prolatada pelo Juízo da Vara Única da Comarca de Jaguaruana/CE, quando do julgamento da&lt;/span&gt;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 &lt;strong&gt;ação declaratória de inexistência de relação jurídica com pedido de repetição de indébito e de indenização por danos morais&lt;/strong&gt;&lt;/span&gt;&lt;span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 movida pelo apelante em face de&lt;/span&gt;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 &lt;strong&gt;BANCO PAN S.A.&lt;/strong&gt;&lt;/span&gt;&lt;/p&gt;&lt;p style="text-align: justify; font-family: &amp;quot;Times New Roman&amp;quot;; font-size: medium; line-height: 1.8; text- indent: 56.6929pt; margin-top: 12pt;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preserve;"&gt;O Juízo&lt;/span&gt; &lt;span style="font-size: 12pt; font-family: &amp;quot;Times New Roman&amp;quot;, serif; background-color: transparent; font-style: italic; font- variant-numeric: normal; font-variant-east-asian: normal; font-variant-alternates: normal; font-variant-position: normal; font-variant-emoji: normal; vertical-align: baseline; white- space-collapse: preserve;"&gt;a quo&lt;/span&gt;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preserve;"&gt;julgou improcedente a pretensão autoral:&lt;/span&gt;&lt;/p&gt;&lt;p style="text-align: justify; font-family: &amp;quot;Times New Roman&amp;quot;; font-size: medium; line-height: 1.8; margin-left: 113pt; margin-top: 12pt; margin-bottom: 12pt;" dir="ltr"&gt;&lt;span style="font-size: 12pt; font-family: &amp;quot;Times New Roman&amp;quot;, serif; background-color: transparent; font-style: italic; font-variant-numeric: normal; font-variant-east-asian: normal; font-variant- alternates: normal; font-variant-position: normal; font-variant-emoji: normal; vertical-align: baseline; white-space-collapse: preserve;"&gt;Ante o exposto, com fulcro no art. 487, I, do CPC,&lt;/span&gt; &lt;span style="font-size: 12pt; font-family: &amp;quot;Times New Roman&amp;quot;, serif; background-color: transparent; font-weight: 700; font-style: italic; font-variant-numeric: normal; font-variant-east-asian: normal; font-variant-alternates: normal; font-variant- position: normal; font-variant-emoji: normal; vertical-align: baseline; white-space-collapse: preserve;"&gt;JULGO IMPROCEDENTES&lt;/span&gt; &lt;span style="font-size: 12pt; font-family: &amp;quot;Times New Roman&amp;quot;, serif; background-color: transparent; font-style: italic; font- variant-numeric: normal; font-variant-east-asian: normal; font-variant-alternates: normal; font-variant-position: normal; font-variant-emoji: normal; vertical-align: baseline; white- space-collapse: preserve;"&gt;os pedidos deduzidos pela autora&lt;/span&gt;&lt;span style="font- size: 12pt; font-family: &amp;quot;Times New Roman&amp;quot;, serif; background-color: transparent; font-weight: 700; font-style: italic; font-variant-numeric: normal; font-variant- east-asian: normal; font-variant-alternates: normal; font-variant-position: normal; font- variant-emoji: normal; vertical-align: baseline; white-space-collapse: preserve;"&gt;.&lt;/span&gt;&lt;/p&gt;&lt;p style="text-align: justify; font-family: &amp;quot;Times New Roman&amp;quot;; font-size: medium; line-height: 1.8; margin-left: 113pt; margin-top: 12pt;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margin-bottom: 12pt;" dir="ltr"&gt;&lt;span style="font-size: 12pt; font-family: &amp;quot;Times New Roman&amp;quot;, serif; background-color: transparent; font-weight: 700; font-style: italic; font- variant-numeric: normal; font-variant-east-asian: normal; font-variant-alternates: normal; font-variant-position: normal; font-variant-emoji: normal; vertical-align: baseline; white- space-collapse: preserve;"&gt;Condeno a autora ao pagamento das custas processuais e honorários em favor do procurador do réu&lt;/span&gt; &lt;span style="font-size: 12pt; font-family: &amp;quot;Times New Roman&amp;quot;, serif; background-color: transparent; font-style: italic; font- variant-numeric: normal; font-variant-east-asian: normal; font-variant-alternates: normal; font-variant-position: normal; font-variant-emoji: normal; vertical-align: baseline; white- space-collapse: preserve;"&gt;(estes no percentual de 10% do valor atualizado da causa), de exigibilidade condicionada à superveniência das hipóteses constantes no art. 98, § 3º, do CPC.&lt;/span&gt;&lt;span style="background-color: transparent; font-family: &amp;quot;Times New Roman&amp;quot;, serif; font-size: 12pt; font-style: italic; white-space-collapse: preserve;"&gt;&amp;#160;&lt;/span&gt;&lt;/p&gt;&lt;p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preserve;"&gt;Irresignado, o apelante apresentou suas&lt;/span&gt; &lt;span style="font-size: 12pt; font-family: &amp;quot;Times New Roman&amp;quot;, serif; background-color: transparent; font- weight: 700; font-variant-numeric: normal; font-variant-east-asian: normal; font-variant- alternates: normal; font-variant-position: normal; font-variant-emoji: normal; vertical-align: baseline; white-space-collapse: preserve;"&gt;razões&lt;/span&gt; &lt;span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preserve;"&gt;em id. 28501447, sustentando a ocorrência de cerceamento de defesa pela não produção de prova pericial, considerando que se declara analfabeto funcional, assim como a irregularidade contratual pela ausência de assinatura a rogo com duas testemunhas instrumentárias.&lt;/span&gt;&lt;/p&gt;&lt;p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preserve;"&gt;A instituição recorrida apresentou suas&lt;/span&gt; &lt;span style="font-size: 12pt; font-family: &amp;quot;Times New Roman&amp;quot;, serif; background-color: transparent; font- weight: 700; font-variant-numeric: normal; font-variant-east-asian: normal; font-variant- alternates: normal; font-variant-position: normal; font-variant-emoji: normal; vertical-align: baseline; white-space-collapse: preserve;"&gt;contrarrazões&lt;/span&gt;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preserve;"&gt;em id. 28501453, sustentado que o autor, ora apelante, </w:t>
            </w:r>
            <w:r>
              <w:rPr>
                <w:spacing w:val="-18"/>
                <w:sz w:val="20"/>
              </w:rPr>
              <w:t>é </w:t>
            </w:r>
            <w:r>
              <w:rPr>
                <w:sz w:val="20"/>
              </w:rPr>
              <w:t>alfabetizado e capaz, juntando documento de identificação com a assinatura deste; que o valor do empréstimo fora depositado em conta de titularidade do autor; que este não observou o dever de mitigar as próprias perdas, em vista que o contrato fora assinado em 2022; assim como sustenta a regularidade da contratação, com base em contrato assinado, utilização de biometria facial e geolocalização, comprovante de pagamento do contrato e apresentação de documento pessoal do contratante.&lt;/span&gt;&lt;/p&gt;&lt;p style="text- 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preserve;"&gt;Os autos foram encaminhados para&lt;/span&gt;</w:t>
            </w:r>
          </w:p>
          <w:p>
            <w:pPr>
              <w:pStyle w:val="TableParagraph"/>
              <w:spacing w:line="208" w:lineRule="auto" w:before="0"/>
              <w:ind w:right="42"/>
              <w:rPr>
                <w:sz w:val="20"/>
              </w:rPr>
            </w:pPr>
            <w:r>
              <w:rPr>
                <w:sz w:val="20"/>
              </w:rPr>
              <w:t>&lt;span style="font-size: 12pt;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preserve;"&gt;Douta Procuradoria Geral de Justiça&lt;/span&gt;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preserve;"&gt;que entendeu não ser caso de manifestação meritória da instituição.&lt;/span&gt;&lt;/p&gt;&lt;p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6"/>
              <w:rPr>
                <w:sz w:val="20"/>
              </w:rPr>
            </w:pPr>
            <w:r>
              <w:rPr>
                <w:sz w:val="20"/>
              </w:rPr>
              <w:t>variant-east-asian: normal; font-variant-alternates: normal; font-variant-position: normal; font-variant-emoji: normal; vertical-align: baseline; white-space-collapse: preserve;"&gt;Os autos vieram conclusos.&lt;/span&gt;&lt;/p&gt;&lt;p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preserve;"&gt;É o relatório.&lt;/span&gt;&lt;/p&gt;&lt;p style="line-height:1.7999999999999998;text-align: center;margin- top:12pt;margin-bottom:12pt;" dir="ltr"&gt; &lt;span style="font-size:12pt;font-family:'Times New Roman',serif;color:#000000;background-color:transparent;font-weight:700;font- style:normal;font-variant:normal;text-decoration:none;vertical-align:baseline;white- space:pre;white-space:pre-wrap;"&gt;VOTO&lt;/span&gt;&lt;/p&gt;&lt;p style="line- height:1.7999999999999998;text-align: justify;margin-top:12pt;margin-bottom:12pt;"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56.692913385826756pt;text-align: justify;margin- top:6pt;margin-bottom:6pt;" dir="ltr"&gt; &lt;span style="font-size:12pt;font-family:'Times New Roman',serif;color:#000000;background-color:transparent;font-weight:700;font- style:normal;font-variant:normal;text-decoration:none;vertical-align:baseline;white- space:pre;white-space:pre-wrap;"&gt;1. JUÍZO DE ADMISSIBILIDADE&lt;/span&gt;&lt;/p&gt;&lt;p style="line-height:1.7999999999999998;text-indent: 56.692913385826756pt;text-align: justify;margin-top:6pt;margin-bottom:6pt;" dir="ltr"&gt;&lt;span style="font-size:12pt;font- family:'Times New Roman',serif;color:#000000;background-color:transparent;font- weight:400;font-style:normal;font-variant:normal;text-decoration:none;vertical- align:baseline;white-space:pre;white-space:pre-wrap;"&gt;Presentes os pressupostos recursais de admissibilidade intrínsecos (legitimidade, interesse, cabimento e inexistência de fato impeditivo ou extintivo) e extrínsecos (tempestividade, preparo e regularidade formal),&lt;/span&gt; &lt;span style="font-size:12pt;font-family:'Times New Roman',serif;color:#000000;background-color:transparent;font-weight:700;font- style:normal;font-variant:normal;text-decoration:none;vertical-align:baseline;white- space:pre;white-space:pre-wrap;"&gt;CONHEÇO&lt;/span&gt; &lt;span style="font-size:12pt;font- family:'Times New Roman',serif;color:#000000;background-color:transparent;font- weight:400;font-style:normal;font-variant:normal;text-decoration:none;vertical- align:baseline;white-space:pre;white-space:pre-wrap;"&gt;do recurso interposto e passo a apreciar o mérito deste.&amp;#160;&lt;/span&gt;&lt;/p&gt;&lt;p style="line- height:1.7999999999999998;text-indent: 56.692913385826756pt;text-align: justify;margin- top:12pt;margin-bottom:12pt;" dir="ltr"&gt; &lt;span style="font-size:12pt;font-family:'Times New Roman',serif;color:#000000;background-color:transparent;font-weight:700;font- style:normal;font-variant:normal;text-decoration:none;vertical-align:baseline;white- space:pre;white-space:pre-wrap;"&gt;2. MÉRITO&lt;/span&gt;&lt;/p&gt;&lt;p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space:pre;white-space:pre-wrap;"&gt;Cinge-se a controvérsia recursal em averiguar a correção da decisão que julgou improcedentes os pleitos autorais que buscavam a declaração de inexistência de relação jurídica com pedido de repetição do indébito e indenização por danos morais.&lt;/span&gt;&lt;/p&gt;&lt;p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space:pre;white-space:pre-wrap;"&gt;A tese recursal concentra-se nas seguintes alegações:</w:t>
            </w:r>
          </w:p>
          <w:p>
            <w:pPr>
              <w:pStyle w:val="TableParagraph"/>
              <w:spacing w:line="208" w:lineRule="auto" w:before="0"/>
              <w:ind w:right="129"/>
              <w:rPr>
                <w:sz w:val="20"/>
              </w:rPr>
            </w:pPr>
            <w:r>
              <w:rPr>
                <w:sz w:val="20"/>
              </w:rPr>
              <w:t>i) cerceamento de defesa; ii) irregularidade contratual por ausência de assinatura a rogo com duas testemunhas instrumentárias.&lt;/span&gt;&lt;/p&gt;&lt;p style="line- height:1.7999999999999998;text-indent: 56.692913385826756pt;text-align: justify;margin- top:12pt;margin-bottom:12pt;" dir="ltr"&gt;&lt;span style="font-size:12pt;font-family:'Times New Roman',serif;color:#000000;background-color:transparent;font-weight:700;font- style:normal;font-variant:normal;text-decoration:none;vertical-align:baseline;white- space:pre;white-space:pre-wrap;"&gt;Preliminarmente&lt;/span&gt;&lt;span style="font- size:12pt;font-family:'Times New Roman',serif;color:#000000;background- color:transparent;font-weight:400;font-style:normal;font-variant:normal;text- decoration:none;vertical-align:baseline;white-space:pre;white-space:pre-wrap;"&gt;, a apelante alega&lt;/span&gt; &lt;span style="font-size:12pt;font-family:'Times New Roman',serif;color:#000000;background-color:transparent;font-weight:700;font- style:normal;font-variant:normal;text-decoration:none;vertical-align:baseline;white- space:pre;white-space:pre-wrap;"&gt;cerceamento de defesa&lt;/span&gt;&lt;span 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7"/>
              <w:rPr>
                <w:sz w:val="20"/>
              </w:rPr>
            </w:pPr>
            <w:r>
              <w:rPr>
                <w:sz w:val="20"/>
              </w:rPr>
              <w:t>size:12pt;font-family:'Times New Roman',serif;color:#000000;background- color:transparent;font-weight:400;font-style:normal;font-variant:normal;text- decoration:none;vertical-align:baseline;white-space:pre;white-space:pre-wrap;"&gt;, em razão da não produção de prova pericial apta a atestar o analfabetismo funcional.&lt;/span&gt;&lt;/p&gt;&lt;p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align:baseline;white-space:pre;white-space:pre-wrap;"&gt;Entretanto, o magistrado ao avaliar os autos, possui a prerrogativa de aferir e decidir se o conjunto probatório é suficiente para formar seu convencimento, conforme art. 370, do Código de Processo Civil.&lt;/span&gt;&lt;/p&gt;&lt;p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align:baseline;white-space:pre;white-space:pre-wrap;"&gt;Analisando o feito, a produção de perícia pedagógica não aguarda essencialidade ao julgamento da demanda, tendo em vista o acervo documental, que se mostra suficiente para solução da controvérsia posta a julgamento.&lt;/span&gt;&lt;/p&gt;&lt;p style="line-height:1.7999999999999998;text-indent: 56.692913385826756pt;text-align: justify;margin-top:12pt;margin-bottom:12pt;" dir="ltr"&gt;</w:t>
            </w:r>
          </w:p>
          <w:p>
            <w:pPr>
              <w:pStyle w:val="TableParagraph"/>
              <w:spacing w:line="208" w:lineRule="auto" w:before="0"/>
              <w:ind w:right="254"/>
              <w:rPr>
                <w:sz w:val="20"/>
              </w:rPr>
            </w:pPr>
            <w:r>
              <w:rPr>
                <w:sz w:val="20"/>
              </w:rPr>
              <w:t>&lt;span style="font-size:12pt;font-family:'Times New Roman',serif;color:#000000;background-color:transparent;font-weight:400;font- style:normal;font-variant:normal;text-decoration:none;vertical-align:baseline;white- space:pre;white-space:pre-wrap;"&gt;Sobre o tema, já se manifestou esta Egrégia Corte de Justiça:&lt;/span&gt;&lt;/p&gt;&lt;p style="line-height:1.7999999999999998;margin-left: 113pt;text- align: justify;margin-top:12pt;margin-bottom:12pt;" dir="ltr"&gt;&lt;span style="font- size:12pt;font-family:'Times New Roman',serif;color:#000000;background- color:transparent;font-weight:400;font-style:normal;font-variant:normal;text- decoration:none;vertical-align:baseline;white-space:pre;white-space:pre- wrap;"&gt;APELAÇÃO CIVIL. CÓDIGO DO CONSUMIDOR. AÇÃO ANULATÓRIA DE</w:t>
            </w:r>
          </w:p>
          <w:p>
            <w:pPr>
              <w:pStyle w:val="TableParagraph"/>
              <w:spacing w:line="208" w:lineRule="auto" w:before="0"/>
              <w:ind w:right="134"/>
              <w:rPr>
                <w:sz w:val="20"/>
              </w:rPr>
            </w:pPr>
            <w:r>
              <w:rPr>
                <w:sz w:val="20"/>
              </w:rPr>
              <w:t>DÉBITO C/C DANOS MATERIAIS E MORAIS.&lt;/span&gt; &lt;span style="font-size:12pt;font- family:'Times New Roman',serif;color:#000000;background-color:transparent;font- weight:700;font-style:normal;font-variant:normal;text-decoration:none;vertical- align:baseline;white-space:pre;white-space:pre-wrap;"&gt;ANALFABETO FUNCIONAL. SENTENÇA DE IMPROCEDÊNCIA. IRRESIGNAÇÃO DO RÉU. PRELIMINAR DE CERCEAMENTO DA DEFESA POR INDEFERIMENTO DE PEDIDO DE PRODUÇÃO DE</w:t>
            </w:r>
          </w:p>
          <w:p>
            <w:pPr>
              <w:pStyle w:val="TableParagraph"/>
              <w:spacing w:line="208" w:lineRule="auto" w:before="0"/>
              <w:ind w:right="33"/>
              <w:rPr>
                <w:sz w:val="20"/>
              </w:rPr>
            </w:pPr>
            <w:r>
              <w:rPr>
                <w:sz w:val="20"/>
              </w:rPr>
              <w:t>PROVA PERICIAL- PEDAGÓGICA. REJEITADA.&lt;/span&gt; &lt;span style="font-size:12pt;font- family:'Times New Roman',serif;color:#000000;background-color:transparent;font- weight:400;font-style:normal;font-variant:normal;text-decoration:none;vertical- align:baseline;white-space:pre;white-space:pre-wrap;"&gt;APRESENTAÇÃO DO CONTRATO ASSINADO PELA PARTE AUTORA E COMPROVAÇÃO DE REPASSE DO CRÉDITO PARA CONTA BANCÁRIA DE SUA TITULARIDADE. CORRESPONDÊNCIA ENTRE AS ASSINATURAS CONSTANTES NO CONTRATO E NOS DOCUMENTOS APRESENTADOS PELO PRÓPRIA AUTORA. PARTE AUTORA ALFABETIZADA. INAPLICABILIDADE DA TESE FIXADA NO IRDR Nº0630366-67.2019.8.06.0000.</w:t>
            </w:r>
          </w:p>
          <w:p>
            <w:pPr>
              <w:pStyle w:val="TableParagraph"/>
              <w:spacing w:line="208" w:lineRule="auto" w:before="0"/>
              <w:ind w:right="360"/>
              <w:rPr>
                <w:sz w:val="20"/>
              </w:rPr>
            </w:pPr>
            <w:r>
              <w:rPr>
                <w:sz w:val="20"/>
              </w:rPr>
              <w:t>VALIDADE DO CONTRATO. FALHA NA PRESTAÇÃO DE SERVIÇOS NÃO DEMONSTRADA. RECURSO CONHECIDO E DESPROVIDO. SENTENÇA MANTIDA.</w:t>
            </w:r>
          </w:p>
          <w:p>
            <w:pPr>
              <w:pStyle w:val="TableParagraph"/>
              <w:spacing w:line="208" w:lineRule="auto" w:before="0"/>
              <w:ind w:right="56"/>
              <w:rPr>
                <w:sz w:val="20"/>
              </w:rPr>
            </w:pPr>
            <w:r>
              <w:rPr>
                <w:sz w:val="20"/>
              </w:rPr>
              <w:t>(Apelação Cível - 0173934- 90.2019.8.06.0001, Rel. Desembargador(a) FRANCISCO MAURO FERREIRA LIBERATO, 1ª Câmara Direito Privado, data do julgamento: 10/07/2024, data da publicação: 10/07/2024) [Destaquei]&lt;/span&gt;&lt;/p&gt;&lt;p style="line- height:1.7999999999999998;margin-left: 113pt;text-align: justify;margin-top:12pt;margin- bottom:12pt;" dir="ltr"&gt;&lt;span style="font-size:12pt;font-family:'Times New Roman',serif;color:#000000;background-color:transparent;font-weight:400;font- style:normal;font-variant:normal;text-decoration:none;vertical-align:baseline;white- space:pre;white-space:pre-wrap;"&gt;PROCESSO CIVIL. APELAÇÃO EM AÇÃO DECLARATÓRIA DE INEXISTÊNCIA DE DÉBITO C/C PEDIDO DE REPETIÇÃO DO INDÉBITO E INDENIZAÇÃO POR DANOS MORAIS. EMPRÉSTIMO CONSIGNADO. CERCEAMENTO DE DEFESA INOCORRÊNCIA. CONJUNTO PROBATÓRIO SUFICIENTE PARA O JULGAMENTO DA CAUSA. DESNECESSIDADE DE REALIZAÇÃO DE PROVA PERICIAL. CONVENCIMENTO DO MAGISTRADO DEVIDAMENTE FORMADO. REGULARIDADE DA CONTRATAÇÃO DEMONSTRADA. COMPROVAÇÃO DO DEPÓSITO. AUSÊNCIA DE FALHA NA PRESTAÇÃO DE SERVIÇO. INEXISTÊNCIA DE DANOS MORAIS E MATERIAIS. RECURSO</w:t>
            </w:r>
            <w:r>
              <w:rPr>
                <w:spacing w:val="-18"/>
                <w:sz w:val="20"/>
              </w:rPr>
              <w:t> </w:t>
            </w:r>
            <w:r>
              <w:rPr>
                <w:sz w:val="20"/>
              </w:rPr>
              <w:t>CONHECIDO</w:t>
            </w:r>
          </w:p>
          <w:p>
            <w:pPr>
              <w:pStyle w:val="TableParagraph"/>
              <w:spacing w:line="208" w:lineRule="auto" w:before="0"/>
              <w:ind w:right="34"/>
              <w:rPr>
                <w:sz w:val="20"/>
              </w:rPr>
            </w:pPr>
            <w:r>
              <w:rPr>
                <w:sz w:val="20"/>
              </w:rPr>
              <w:t>E DESPROVIDO. SENTENÇA MANTIDA. 1. Insurge-se a autora/recorrente com relação a sentença prolatada pelo MM. Juiz de Direito da 2ª Vara Cível da Comarca de Canindé, que julgou improcedente os pedidos contidos na ação Declaratória de Inexistência de Débito c/c Repetição de Indébito e Indenização por Danos Morais ajuizada em desfavor do Banco Pan S/A., ora apelado.&lt;/span&gt; &lt;span style="font-size:12pt;font-family:'Times New Roman',serif;color:#000000;background-color:transparent;font-weight:700;font-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3"/>
              <w:rPr>
                <w:sz w:val="20"/>
              </w:rPr>
            </w:pPr>
            <w:r>
              <w:rPr>
                <w:sz w:val="20"/>
              </w:rPr>
              <w:t>space:pre;white-space:pre-wrap;"&gt;2. Preliminar de cerceamento de defesa - A preliminar de nulidade da sentença, por eventual cerceamento de defesa, ocasionado pela ausência de produção de prova pericial, não merece prosperar, porquanto a prova é destinada ao Juiz da demanda e, sem dúvida, a este compete avaliar sua utilidade, necessidade e adequação, podendo indeferir as que reputar inúteis, desnecessárias ou protelatórias. 3. Desse modo, a partir da análise dos autos, entendo que não houve cerceamento de defesa, vez que o magistrado singular não fundamentou a sentença apenas na similaridade das assinaturas, mas em conjunto com os demais elementos fornecidos nos autos. Portanto, rejeito a preliminar suscitada.&lt;/span&gt; &lt;span style="font-size:12pt;font- family:'Times New Roman',serif;color:#000000;background-color:transparent;font- weight:400;font-style:normal;font-variant:normal;text-decoration:none;vertical- align:baseline;white-space:pre;white-space:pre-wrap;"&gt;4. A dialética jurídica acarreta a incidência do disposto no artigo 373 do Código de Processo Civil, que bem distribui o ônus probatório. Conforme dispõe o artigo 373, inciso I do CPC, cabe à parte autora a devida comprovação do fato constitutivo do direito invocado e a parte Ré, provar a existência de fatos impeditivos, modificativos ou extintivos do direito da autora. 5. Por certo, conforme entendimento firmado pela Segunda Seção do Superior Tribunal de Justiça, quando do julgamento do REsp 1197929 / PR submetido ao rito dos recursos repetitivos, ¿as instituições bancárias respondem objetivamente pelos danos causados por fraudes ou delitos praticados por terceiros ¿ como, por exemplo, abertura de conta-corrente ou recebimento de empréstimos mediante fraude ou utilização de documentos falsos, porquanto tal responsabilidade decorre do risco do empreendimento, caracterizando-se como fortuito interno¿. 6. Ocorre que, cotejando o vertente caderno processual, não verifico causas que maculem regularidade da celebração do negócio jurídico discutido nestes autos, isto porque, a instituição financeira/apelada juntou o contrato (fls. 181/187), assinado a próprio punho pela recorrente, acompanhado dos documentos pessoais da parte autora/apelante (fls. 180). 7. Consta, ainda, que do valor do crédito liberado de 561,06 (quinhentos e sessenta e um reais e seis centavos), foi depositada em conta da autora/recorrente, no dia 24 de janeiro de 2017 (fls. 169), ou seja, no dia seguinte após a assinatura do instrumento contratual. 8. Sendo assim, concluo pela regularidade do negócio jurídico celebrado entre as partes, não observando na espécie quaisquer indícios de vício de consentimento ou fraude, não tendo a Instituição Financeira cometido nenhum ilícito capaz de ensejar indenização por danos morais, bem como a devolução dos valores devidamente descontados. 9. Recurso conhecido e desprovido. Sentença mantida. (TJCE</w:t>
            </w:r>
          </w:p>
          <w:p>
            <w:pPr>
              <w:pStyle w:val="TableParagraph"/>
              <w:spacing w:line="188" w:lineRule="exact" w:before="0"/>
              <w:rPr>
                <w:sz w:val="20"/>
              </w:rPr>
            </w:pPr>
            <w:r>
              <w:rPr>
                <w:sz w:val="20"/>
              </w:rPr>
              <w:t>- AC: 02005754520228060055 Canindé, Relator: EMANUEL LEITE ALBUQUERQUE,</w:t>
            </w:r>
          </w:p>
          <w:p>
            <w:pPr>
              <w:pStyle w:val="TableParagraph"/>
              <w:spacing w:line="208" w:lineRule="auto" w:before="10"/>
              <w:ind w:right="133"/>
              <w:rPr>
                <w:sz w:val="20"/>
              </w:rPr>
            </w:pPr>
            <w:r>
              <w:rPr>
                <w:sz w:val="20"/>
              </w:rPr>
              <w:t>Data de Julgamento: 26/04/2023, 1ª Câmara Direito Privado, Data de Publicação: 01/05/2023) [Grifei]&lt;/span&gt;&lt;/p&gt;&lt;p style="line-height:1.7999999999999998;margin-left: 113pt;text-align: justify;margin-top:12pt;margin-bottom:12pt;" dir="ltr"&gt;&lt;span style="font- size:12pt;font-family:'Times New Roman',serif;color:#000000;background- color:transparent;font-weight:400;font-style:normal;font-variant:normal;text- decoration:none;vertical-align:baseline;white-space:pre;white-space:pre-wrap;"&gt;DIREITO PROCESSUAL CIVIL E DO CONSUMIDOR. AÇÃO DECLARATÓRIA DE INEXISTÊNCIA DE DÉBITO C/C INDENIZAÇÃO POR DANOS MORAIS E REPETIÇÃO DO INDÉBITO. PRELIMINAR DE CERCEAMENTO DE DEFESA. REJEIÇÃO. PERÍCIA DE GEOLOCALIZAÇÃO DESNECESSÁRIA. CONTRATO REALIZADO EM MEIO DIGITAL, COM SELFIE E DADOS DE GEOLOCALIZAÇÃO. RECURSO CONHECIDO E</w:t>
            </w:r>
          </w:p>
          <w:p>
            <w:pPr>
              <w:pStyle w:val="TableParagraph"/>
              <w:spacing w:line="208" w:lineRule="auto" w:before="0"/>
              <w:ind w:right="20"/>
              <w:rPr>
                <w:sz w:val="20"/>
              </w:rPr>
            </w:pPr>
            <w:r>
              <w:rPr>
                <w:sz w:val="20"/>
              </w:rPr>
              <w:t>DESPROVIDO. I) CASO EM EXAME: 1. Trata-se de Apelação Cível objetivando a reforma da sentença proferida pelo Juízo da 2ª Vara da Comarca de Granja, nos autos da Ação Ordinária, que fora ajuizada em desfavor de Banco BMG S/A. II) QUESTÃO EM DISCUSSÃO: 2. O cerne da controvérsia recursal consiste em examinar se é ou não </w:t>
            </w:r>
            <w:r>
              <w:rPr>
                <w:spacing w:val="-3"/>
                <w:sz w:val="20"/>
              </w:rPr>
              <w:t>válido </w:t>
            </w:r>
            <w:r>
              <w:rPr>
                <w:sz w:val="20"/>
              </w:rPr>
              <w:t>o contrato questionado, bem como se os descontos efetuados no benefício previdenciário da autora configuraram ato ilícito por parte da instituição financeira. Além disso, é de se verificar se é devida a restituição dos valores descontados da conta bancária da consumidora, e se deve ocorrer na forma simples ou em dobro. Ademais, deve-se verificar se é cabível a fixação de indenização por danos morais. III) RAZÕES DE DECIDIR:&lt;/span&gt; &lt;span style="font-size:12pt;font-family:'Times New Roman',serif;color:#000000;background-color:transparent;font-weight:700;font- style:normal;font-variant:normal;text-decoration:none;vertical-align:baseline;white- space:pre;white-space:pre-wrap;"&gt;3. Preliminar de cerceamento de defesa rejeitada.</w:t>
            </w:r>
          </w:p>
          <w:p>
            <w:pPr>
              <w:pStyle w:val="TableParagraph"/>
              <w:spacing w:line="208" w:lineRule="auto" w:before="0"/>
              <w:rPr>
                <w:sz w:val="20"/>
              </w:rPr>
            </w:pPr>
            <w:r>
              <w:rPr>
                <w:sz w:val="20"/>
              </w:rPr>
              <w:t>Pedido de perícia que se mostra genérica e desnecessária. 4. Impende registrar que é plenamente viável a formalização do contrato mediante assinatura eletrônica, por meio da qual se utilizam combinações de códigos que permitem extrair o aceite entre o emissor e </w:t>
            </w:r>
            <w:r>
              <w:rPr>
                <w:spacing w:val="-18"/>
                <w:sz w:val="20"/>
              </w:rPr>
              <w:t>o </w:t>
            </w:r>
            <w:r>
              <w:rPr>
                <w:sz w:val="20"/>
              </w:rPr>
              <w:t>receptor, a exemplo de senhas, ações específicas, e-mail ou número de telefone.&lt;/span&gt;</w:t>
            </w:r>
          </w:p>
          <w:p>
            <w:pPr>
              <w:pStyle w:val="TableParagraph"/>
              <w:spacing w:line="208" w:lineRule="auto" w:before="0"/>
              <w:ind w:right="86"/>
              <w:rPr>
                <w:sz w:val="20"/>
              </w:rPr>
            </w:pPr>
            <w:r>
              <w:rPr>
                <w:sz w:val="20"/>
              </w:rPr>
              <w:t>&lt;span style="font-size:12pt;font-family:'Times New Roman',serif;color:#000000;background-color:transparent;font-weight:400;font- style:normal;font-variant:normal;text-decoration:none;vertical-align:baseline;white- space:pre;white-space:pre-wrap;"&gt;5. O Banco juntou laudo de formalização digital, que reforça a regularidade da contratação mediante anuência da consumidora, indicando-se o horário e a geolocalização do dispositivo utilizado para efetivar o aceite aos termos do pacto negocial, além de conter o IP e as características do dispositivo eletrônico. 6. Há, </w:t>
            </w:r>
            <w:r>
              <w:rPr>
                <w:spacing w:val="-9"/>
                <w:sz w:val="20"/>
              </w:rPr>
              <w:t>no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
              <w:rPr>
                <w:sz w:val="20"/>
              </w:rPr>
            </w:pPr>
            <w:r>
              <w:rPr>
                <w:sz w:val="20"/>
              </w:rPr>
              <w:t>caso, livre manifestação de vontade da parte contratante, mediante aposição de assinatura eletrônica, com uso de chave de acesso, cujo uso é pessoal, tendo a instituição bancária descrito o contrato nos moldes da formalização pertinentes ao serviço disponibilizado.</w:t>
            </w:r>
          </w:p>
          <w:p>
            <w:pPr>
              <w:pStyle w:val="TableParagraph"/>
              <w:spacing w:line="208" w:lineRule="auto" w:before="0"/>
              <w:ind w:right="130"/>
              <w:rPr>
                <w:sz w:val="20"/>
              </w:rPr>
            </w:pPr>
            <w:r>
              <w:rPr>
                <w:sz w:val="20"/>
              </w:rPr>
              <w:t>Assim, reputa-se a existência de elementos suficientes para comprovar a validade do negócio jurídico celebrado entre as partes, tendo a instituição financeira se </w:t>
            </w:r>
            <w:r>
              <w:rPr>
                <w:spacing w:val="-2"/>
                <w:sz w:val="20"/>
              </w:rPr>
              <w:t>desincumbido, </w:t>
            </w:r>
            <w:r>
              <w:rPr>
                <w:sz w:val="20"/>
              </w:rPr>
              <w:t>a contento, de seu ônus probante, produzindo prova pertinentes à regularidade da contratação ou, pelo menos, inexistência de fortuito interno. 7. Não há, pois, que falar na ocorrência de ato ilícito por parte da instituição financeira, e, por consequência, em dano moral capaz de ensejar o pagamento de indenização. IV) DISPOSITIVO: 8. Recurso conhecido e desprovido. ACÓRDÃO: Vistos, relatados e discutidos estes autos, acorda a 1ª Câmara Direito Privado do Tribunal de Justiça do Estado do Ceará, em conhecer e negar provimento ao recurso de apelação, nos termos do voto do relator. Fortaleza, data da assinatura digital. DESEMBARGADOR JOSÉ RICARDO VIDAL PATROCÍNIO Relator.&lt;/span&gt; &lt;span style="font-size:12pt;font-family:'Times New Roman',serif;color:#000000;background-color:transparent;font-weight:400;font- style:normal;font-variant:normal;text-decoration:none;vertical-align:baseline;white- space:pre;white-space:pre-wrap;"&gt;(Apelação Cível - 0200030-23.2024.8.06.0081, Rel.</w:t>
            </w:r>
          </w:p>
          <w:p>
            <w:pPr>
              <w:pStyle w:val="TableParagraph"/>
              <w:spacing w:line="208" w:lineRule="auto" w:before="0"/>
              <w:ind w:right="44"/>
              <w:rPr>
                <w:sz w:val="20"/>
              </w:rPr>
            </w:pPr>
            <w:r>
              <w:rPr>
                <w:sz w:val="20"/>
              </w:rPr>
              <w:t>Desembargador(a) JOSE RICARDO VIDAL PATROCÍNIO, 1ª Câmara Direito Privado, data do julgamento:&amp;#160; 05/02/2025, data da publicação:&amp;#160; 05/02/2025) [Grifei]&lt;/span&gt;&lt;/p&gt;&lt;p style="line-height:1.7999999999999998;margin-left: 113pt;text-align: justify;margin-top:12pt;margin-bottom:12pt;" dir="ltr"&gt;&lt;span style="font-size:12pt;font- family:'Times New Roman',serif;color:#000000;background-color:transparent;font- weight:400;font-style:normal;font-variant:normal;text-decoration:none;vertical- align:baseline;white-space:pre;white-space:pre-wrap;"&gt;APELAÇÃO CÍVEL. EMPRÉSTIMO CONSIGNADO. SENTENÇA DE IMPROCEDÊNCIA NA ORIGEM. IRRESIGNAÇÃO AUTORAL. PRELIMINAR DE CERCEAMENTO DE DEFESA POR INDEFERIMENTO DE PERÍCIA PEDAGÓGICA REJEITADA. ALEGAÇÃO DE NULIDADE CONTRATUAL ANTE O ANALFABETISMO FUNCIONAL. CONTRATAÇÃO LÍCITA. INAPLICABILIDADE DOS REQUISITOS DO ART. 595 DO CC. RECURSO CONHECIDO E NÃO PROVIDO.</w:t>
            </w:r>
          </w:p>
          <w:p>
            <w:pPr>
              <w:pStyle w:val="TableParagraph"/>
              <w:spacing w:line="208" w:lineRule="auto" w:before="0"/>
              <w:ind w:right="18"/>
              <w:rPr>
                <w:sz w:val="20"/>
              </w:rPr>
            </w:pPr>
            <w:r>
              <w:rPr>
                <w:sz w:val="20"/>
              </w:rPr>
              <w:t>SENTENÇA MANTIDA. 1.&lt;/span&gt; &lt;span style="font-size:12pt;font-family:'Times New Roman',serif;color:#000000;background-color:transparent;font-weight:700;font- style:normal;font-variant:normal;text-decoration:none;vertical-align:baseline;white- space:pre;white-space:pre-wrap;"&gt;Da Preliminar de nulidade da sentença por cerceamento de defesa. Sendo o juiz o destinatário da prova, a ele compete decidir se há elementos </w:t>
            </w:r>
            <w:r>
              <w:rPr>
                <w:spacing w:val="-6"/>
                <w:sz w:val="20"/>
              </w:rPr>
              <w:t>nos </w:t>
            </w:r>
            <w:r>
              <w:rPr>
                <w:sz w:val="20"/>
              </w:rPr>
              <w:t>autos suficientes à formação de seu convencimento para decidir o mérito da causa, podendo dispensar a produção de provas que entender inúteis. In casu, a prova pericial pedagógica não se mostra imprescindível ao julgamento do feito, sobretudo quando se considera que a prova documental foi suficiente para o deslinde da controvérsia. Preliminar rejeitada.&lt;/span&gt; &lt;span style="font-size:12pt;font-family:'Times New Roman',serif;color:#000000;background-color:transparent;font-weight:400;font- style:normal;font-variant:normal;text-decoration:none;vertical-align:baseline;white- space:pre;white-space:pre-wrap;"&gt;2. Do mérito recursal. Cinge-se a pretensão recursal ao provimento do recurso para que seja anulada ou reformada a sentença proferida pelo juízo primevo, reconhecendo-se a inexistência do débito em virtude de o contrato não ter cumprido os requisitos exigidos para a hipótese de pessoa analfabeta.&lt;/span&gt; &lt;span style="font-size:12pt;font-family:'Times New Roman',serif;color:#000000;background- color:transparent;font-weight:700;font-style:normal;font-variant:normal;text- decoration:none;vertical-align:baseline;white-space:pre;white-space:pre-wrap;"&gt;3.</w:t>
            </w:r>
          </w:p>
          <w:p>
            <w:pPr>
              <w:pStyle w:val="TableParagraph"/>
              <w:spacing w:line="208" w:lineRule="auto" w:before="0"/>
              <w:ind w:right="41"/>
              <w:rPr>
                <w:sz w:val="20"/>
              </w:rPr>
            </w:pPr>
            <w:r>
              <w:rPr>
                <w:sz w:val="20"/>
              </w:rPr>
              <w:t>Primeiramente, inaplicável os requisitos previstos no art. 395, do Código Civil, para a validade do negócio, uma vez que a parte autora não é analfabeta total, pois constam assinaturas da autora na carteira de identidade (fl.14) e na procuração e declaração de hipossuficiência (fls.12). 4. Noutro giro, verifica-se que a instituição financeira se desincumbiu plena e satisfatoriamente do encargo de rechaçar as alegações autorais, comprovando fato impeditivo, modificativo ou extintivo do direito da requerente (art. 373, II, do CPC), uma vez que produziu prova robusta quanto à regularidade da contratação, apresentando o instrumento contratual nº 346018988-3 com assinatura eletrônica realizada por meio de reconhecimento facial, acompanhado dos termos de uso e política de privacidade, junto ao laudo de formalização digital com geolocalização e documento de identidade da autora (fls. 52-66), além de apresentar o comprovante de transferência para a conta da demandante (fl. 67).&lt;/span&gt; &lt;span style="font-size:12pt;font-family:'Times New Roman',serif;color:#000000;background-color:transparent;font-weight:400;font- style:normal;font-variant:normal;text-decoration:none;vertical-align:baseline;white- space:pre;white-space:pre-wrap;"&gt;5. É valioso aclara, ainda, no que concerne a geolocalização do momento da contratação, que o ato de pactuação foi realizado na cidade de Aracati/CE, onde reside a parte autora. 6. Desta forma, resta demonstrada a regularidade da contratação, tendo a instituição promovida agido com o necessário zelo </w:t>
            </w:r>
            <w:r>
              <w:rPr>
                <w:spacing w:val="-9"/>
                <w:sz w:val="20"/>
              </w:rPr>
              <w:t>na </w:t>
            </w:r>
            <w:r>
              <w:rPr>
                <w:sz w:val="20"/>
              </w:rPr>
              <w:t>prestação do serviço, razão pela qual não há o que se falar em ilegalidade do negócio jurídico firmado pelas partes. 7.Recurso conhecido e não provido. Sentença mantida.</w:t>
            </w:r>
          </w:p>
          <w:p>
            <w:pPr>
              <w:pStyle w:val="TableParagraph"/>
              <w:spacing w:line="208" w:lineRule="auto" w:before="0"/>
              <w:ind w:right="95"/>
              <w:rPr>
                <w:sz w:val="20"/>
              </w:rPr>
            </w:pPr>
            <w:r>
              <w:rPr>
                <w:sz w:val="20"/>
              </w:rPr>
              <w:t>ACÓRDÃO Vistos, relatados e discutidos estes autos, acorda a 2ª Câmara Direito Privado do Tribunal de Justiça do Estado do Ceará, por unanimidade, em conhecer o recurso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0"/>
              <w:rPr>
                <w:sz w:val="20"/>
              </w:rPr>
            </w:pPr>
            <w:r>
              <w:rPr>
                <w:sz w:val="20"/>
              </w:rPr>
              <w:t>negar-lhe provimento, nos termos do voto da Relatora.&lt;/span&gt; &lt;span style="font- size:12pt;font-family:'Times New Roman',serif;color:#000000;background- color:transparent;font-weight:400;font-style:normal;font-variant:normal;text- decoration:none;vertical-align:baseline;white-space:pre;white-space:pre-wrap;"&gt;(Apelação Cível - 0224143-87.2024.8.06.0001, Rel. Desembargador(a) MARIA DE FÁTIMA DE</w:t>
            </w:r>
          </w:p>
          <w:p>
            <w:pPr>
              <w:pStyle w:val="TableParagraph"/>
              <w:spacing w:line="208" w:lineRule="auto" w:before="0"/>
              <w:ind w:right="30"/>
              <w:rPr>
                <w:sz w:val="20"/>
              </w:rPr>
            </w:pPr>
            <w:r>
              <w:rPr>
                <w:sz w:val="20"/>
              </w:rPr>
              <w:t>MELO LOUREIRO, 2ª Câmara Direito Privado, data do julgamento:&amp;#160; 13/11/2024, data da publicação:&amp;#160; 13/11/2024) [Grifei]&lt;/span&gt;&lt;/p&gt;&lt;p style="line- height:1.7999999999999998;margin-left: 113pt;text-align: justify;margin-top:12pt;margin- 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space:pre;white-space:pre-wrap;"&gt;No presente caso, verifico que o feito se encontra devidamente instruído, com a presença de contrato nos autos, apresentação de documento de identidade com assinatura legível (id. 28501383), demonstrativo de operações (id. 28501378), comprovante de depósito na conta do autor (id. 28501381), dentre outros. Preliminar rejeitada.&lt;/span&gt;&lt;/p&gt;&lt;p style="line- height:1.7999999999999998;text-indent: 56.692913385826756pt;text-align: justify;margin- top:12pt;margin-bottom:12pt;" dir="ltr"&gt;&lt;span style="font-size:12pt;font-family:'Times New Roman',serif;color:#000000;background-color:transparent;font-weight:400;font- style:normal;font-variant:normal;text-decoration:none;vertical-align:baseline;white- space:pre;white-space:pre-wrap;"&gt;Quanto ao&lt;/span&gt; &lt;span style="font-size:12pt;font- family:'Times New Roman',serif;color:#000000;background-color:transparent;font- weight:700;font-style:normal;font-variant:normal;text-decoration:none;vertical- align:baseline;white-space:pre;white-space:pre-wrap;"&gt;mérito&lt;/span&gt;&lt;span style="font- size:12pt;font-family:'Times New Roman',serif;color:#000000;background- color:transparent;font-weight:400;font-style:normal;font-variant:normal;text- decoration:none;vertical-align:baseline;white-space:pre;white-space:pre-wrap;"&gt;, cumpre, inicialmente, destacar que a relação estabelecida entre as partes é, inequivocamente, de consumo e, portanto, regida pelo CDC, por se tratar de fornecimento de serviços bancários a consumidor final (Súmula 297, do STJ).&lt;/span&gt;&lt;/p&gt;&lt;p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space:pre;white-space:pre-wrap;"&gt;No que tange ao pacto objeto de análise, ressalte-se que a autora não contesta ter firmado o contrato objeto da lide. Entretanto, sustenta que, em razão de sua condição de analfabeta funcional, o instrumento contratual deveria ter observado as formalidades do art. 595 do Código Civil, que prevê a necessidade de assinatura a rogo e de testemunhas instrumentárias para a validade do negócio jurídico celebrado por pessoa analfabeta.&lt;/span&gt;&lt;/p&gt;&lt;p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space:pre;white-space:pre-wrap;"&gt;Conforme se afere do documento de identidade acostado à exordial (id. 28501383), verifica-se que a parte autora não se enquadra como analfabeta, não cabendo, portanto, a aplicação dos requisitos previstos no art. 595 do Código Civil, assim como para validar o negócio jurídico.&lt;/span&gt;&lt;/p&gt;&lt;p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space:pre;white-space:pre-wrap;"&gt;É dizer, evidenciada que a sua assinatura é legível e compatível com a capacidade de manifestar livremente sua vontade, afasta-se a alegação de analfabetismo e a necessidade das formalidades previstas no art. 595 do CC, que </w:t>
            </w:r>
            <w:r>
              <w:rPr>
                <w:spacing w:val="-4"/>
                <w:sz w:val="20"/>
              </w:rPr>
              <w:t>exige </w:t>
            </w:r>
            <w:r>
              <w:rPr>
                <w:sz w:val="20"/>
              </w:rPr>
              <w:t>a assinatura a rogo e a presença de testemunhas instrumentárias. Tampouco se exige instrumento público, formalidade que não imposta nem aos analfabetos, conforme entendimento do Superior Tribunal de Justiça (REsp 1.954.424).&lt;/span&gt;&lt;/p&gt;&lt;p</w:t>
            </w:r>
          </w:p>
          <w:p>
            <w:pPr>
              <w:pStyle w:val="TableParagraph"/>
              <w:spacing w:line="208" w:lineRule="auto" w:before="0"/>
              <w:ind w:right="43"/>
              <w:rPr>
                <w:sz w:val="20"/>
              </w:rPr>
            </w:pPr>
            <w:r>
              <w:rPr>
                <w:sz w:val="20"/>
              </w:rPr>
              <w:t>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align:baseline;white-space:pre;white-space:pre-wrap;"&gt;Ademais, nos termos do art. 104 do Código Civil, a validade do negócio jurídico depende da capacidade do agente, da licitude do objeto e da observância de forma não proibida por lei. Assim, o nível de alfabetização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5"/>
              <w:rPr>
                <w:sz w:val="20"/>
              </w:rPr>
            </w:pPr>
            <w:r>
              <w:rPr>
                <w:sz w:val="20"/>
              </w:rPr>
              <w:t>da parte não configura, por si só, impedimento à validade de um negócio jurídico, por não afetar a capacidade de fato da pessoa (arts. 1º a 4º, do CC).&lt;/span&gt;&lt;/p&gt;&lt;p style="line- height:1.7999999999999998;text-indent: 56.692913385826756pt;text-align: justify;margin- top:12pt;margin-bottom:12pt;" dir="ltr"&gt; &lt;span style="font-size:12pt;font-family:'Times </w:t>
            </w:r>
            <w:r>
              <w:rPr>
                <w:spacing w:val="-6"/>
                <w:sz w:val="20"/>
              </w:rPr>
              <w:t>New </w:t>
            </w:r>
            <w:r>
              <w:rPr>
                <w:sz w:val="20"/>
              </w:rPr>
              <w:t>Roman',serif;color:#000000;background-color:transparent;font-weight:400;font- style:normal;font-variant:normal;text-decoration:none;vertical-align:baseline;white- space:pre;white-space:pre-wrap;"&gt;Importante pontuar que em nenhum momento o autor demonstrou que informou no momento da assinatura do pacto a condição alegada judicialmente.&lt;/span&gt;&lt;/p&gt;&lt;p style="line-height:1.7999999999999998;text-indent: 56.692913385826756pt;text-align: justify;margin-top:12pt;margin-bottom:12pt;" dir="ltr"&gt;</w:t>
            </w:r>
          </w:p>
          <w:p>
            <w:pPr>
              <w:pStyle w:val="TableParagraph"/>
              <w:spacing w:line="208" w:lineRule="auto" w:before="0"/>
              <w:ind w:right="152"/>
              <w:rPr>
                <w:sz w:val="20"/>
              </w:rPr>
            </w:pPr>
            <w:r>
              <w:rPr>
                <w:sz w:val="20"/>
              </w:rPr>
              <w:t>&lt;span style="font-size:12pt;font-family:'Times New Roman',serif;color:#000000;background-color:transparent;font-weight:400;font- style:normal;font-variant:normal;text-decoration:none;vertical-align:baseline;white- space:pre;white-space:pre-wrap;"&gt;Por outro lado, constata-se que a instituição financeira desempenhou de forma plena e satisfatória o seu ônus probatório, conforme o art. 373, </w:t>
            </w:r>
            <w:r>
              <w:rPr>
                <w:spacing w:val="-6"/>
                <w:sz w:val="20"/>
              </w:rPr>
              <w:t>II, </w:t>
            </w:r>
            <w:r>
              <w:rPr>
                <w:sz w:val="20"/>
              </w:rPr>
              <w:t>do Código de Processo Civil, apresentando elementos consistentes que demonstram a</w:t>
            </w:r>
          </w:p>
          <w:p>
            <w:pPr>
              <w:pStyle w:val="TableParagraph"/>
              <w:spacing w:line="208" w:lineRule="auto" w:before="0"/>
              <w:ind w:right="19"/>
              <w:rPr>
                <w:sz w:val="20"/>
              </w:rPr>
            </w:pPr>
            <w:r>
              <w:rPr>
                <w:sz w:val="20"/>
              </w:rPr>
              <w:t>regularidade da contratação. Foram juntados aos autos o contrato, registro facial, dados </w:t>
            </w:r>
            <w:r>
              <w:rPr>
                <w:spacing w:val="-9"/>
                <w:sz w:val="20"/>
              </w:rPr>
              <w:t>de </w:t>
            </w:r>
            <w:r>
              <w:rPr>
                <w:sz w:val="20"/>
              </w:rPr>
              <w:t>geolocalização, documentos pessoais assinados pelo autor, comprovante de residência e comprovante da transferência do valor para a conta do demandante.&lt;/span&gt;&lt;/p&gt;&lt;p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align:baseline;white-space:pre;white-space:pre-wrap;"&gt;Em casos análogos ao presente, esta Corte de Justiça já se manifestou no mesmo sentido:&lt;/span&gt;&lt;/p&gt;&lt;p style="line- height:1.7999999999999998;margin-left: 113pt;text-align: justify;margin-top:12pt;margin- bottom:12pt;" dir="ltr"&gt;&lt;span style="font-size:12pt;font-family:'Times New Roman',serif;color:#000000;background-color:transparent;font-weight:400;font- style:normal;font-variant:normal;text-decoration:none;vertical-align:baseline;white- space:pre;white-space:pre-wrap;"&gt;APELAÇÃO CÍVEL. DIREITO DO CONSUMIDOR. EMPRÉSTIMO CONSIGNADO. ALEGAÇÃO DE ANULABILIDADE DO CONTRATO. AUTORA QUE AFIRMA SER ANALFABETA. DOCUMENTOS NOS AUTOS QUE EVIDENCIAM ASSINATURA LEGÍVEL. AUSÊNCIA DE PROVAS MÍNIMAS QUANTO À INCAPACIDADE PARA CONTRATAR. CDC APLICÁVEL ÀS INSTITUIÇÕES FINANCEIRAS (SÚMULA 297/STJ). RESPONSABILIDADE OBJETIVA. INEXISTÊNCIA DE IRREGULARIDADES. SENTENÇA MANTIDA. RECURSO DESPROVIDO. I - CASO</w:t>
            </w:r>
          </w:p>
          <w:p>
            <w:pPr>
              <w:pStyle w:val="TableParagraph"/>
              <w:spacing w:line="208" w:lineRule="auto" w:before="0"/>
              <w:ind w:right="19"/>
              <w:rPr>
                <w:sz w:val="20"/>
              </w:rPr>
            </w:pPr>
            <w:r>
              <w:rPr>
                <w:sz w:val="20"/>
              </w:rPr>
              <w:t>EM EXAME 1. Trata-se de recurso de apelação interposto por Rosenira Ferreira da Costa face à sentença proferida pelo Juízo da 39ª Vara Cível da Comarca de Fortaleza, que julgou improcedentes os pedidos formulados na Ação Declaratória de Inexistência de Relação Jurídica com Pedido de Tutela Antecipada, Repetição de Indébito e Condenação por Danos Morais, movida em face do Banco Itaú BMG Consignado S/A. II - QUESTÃO EM DISCUSSÃO 2. Controvérsia recursal acerca da validade de contrato de empréstimo consignado, no qual a autora sustenta ser analfabeta e alega ausência de formalidades essenciais exigidas pelo art. 595 do Código Civil. Pretensão de nulidade contratual e reparação por danos morais e materiais. III - RAZÕES DE DECIDIR 3. O caso sub judice envolve a aplicação do Código de Defesa do Consumidor às instituições financeiras, conforme preceituam os arts. 2º e 3º do CDC, sendo este aplicável às instituições financeiras, como consolidado na Súmula 297 do STJ. Ressalta-se que o fornecedor possui responsabilidade objetiva por eventuais danos causados na prestação de serviços, nos termos do art. 14 do CDC. 4. Ainda que o CDC assegure mecanismos de proteção ao consumidor, como a inversão do ônus da prova prevista no art. 6º, VIII, tal prerrogativa não exime o consumidor de demonstrar minimamente suas alegações. 5.&lt;/span&gt; &lt;span style="font-size:12pt;font-family:'Times New Roman',serif;color:#000000;background- color:transparent;font-weight:700;font-style:normal;font-variant:normal;text- decoration:none;vertical-align:baseline;white-space:pre;white-space:pre-wrap;"&gt;A autora apresentou documentos pessoais (fl. 12) e procuração (fls. 16-17) contendo assinaturas legíveis, afastando a alegação de analfabetismo. Tais elementos denotam a capacidade de manifestação livre de vontade. 6. A ausência de vícios formais ou materiais no contrato, aliados à insuficiência de provas que corroborem os fatos constitutivos do direito da </w:t>
            </w:r>
            <w:r>
              <w:rPr>
                <w:spacing w:val="-3"/>
                <w:sz w:val="20"/>
              </w:rPr>
              <w:t>autora, </w:t>
            </w:r>
            <w:r>
              <w:rPr>
                <w:sz w:val="20"/>
              </w:rPr>
              <w:t>reforçam a improcedência de sua pretensão.&lt;/span&gt; &lt;span style="font-size:12pt;font- family:'Times New Roman',serif;color:#000000;background-color:transparent;font- weight:400;font-style:normal;font-variant:normal;text-decoration:none;vertical- align:baseline;white-space:pre;white-space:pre-wrap;"&gt;IV. DISPOSITIVO 7. Apelação conhecida e desprovida. Sentença inalterada. ACÓRDÃO: Vistos, relatados e discutidos estes autos, acorda a 3ª Câmara Direito Privado do Tribunal de Justiça do Estado do Ceará, por unanimidade, em conhecer do recurso de apelação interposto e negar-lhe provimento, nos termos do voto do relator. Fortaleza, data registrada no sistema.</w:t>
            </w:r>
          </w:p>
          <w:p>
            <w:pPr>
              <w:pStyle w:val="TableParagraph"/>
              <w:spacing w:line="208" w:lineRule="auto" w:before="0"/>
              <w:ind w:right="477"/>
              <w:rPr>
                <w:sz w:val="20"/>
              </w:rPr>
            </w:pPr>
            <w:r>
              <w:rPr>
                <w:sz w:val="20"/>
              </w:rPr>
              <w:t>MARCOS WILLIAM LEITE DE OLIVEIRA Presidente do Órgão Julgador FRANCISCO LUCÍDIO DE QUEIROZ JÚNIOR Desembargador Relator.&lt;/span&gt; &lt;span style="font- size:12pt;font-family:'Times New Roman',serif;color:#000000;background-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0"/>
              <w:rPr>
                <w:sz w:val="20"/>
              </w:rPr>
            </w:pPr>
            <w:r>
              <w:rPr>
                <w:sz w:val="20"/>
              </w:rPr>
              <w:t>color:transparent;font-weight:400;font-style:normal;font-variant:normal;text- decoration:none;vertical-align:baseline;white-space:pre;white-space:pre-wrap;"&gt;(Apelação Cível - 0127359-24.2019.8.06.0001, Rel. Desembargador FRANCISCO LUCÍDIO DE</w:t>
            </w:r>
          </w:p>
          <w:p>
            <w:pPr>
              <w:pStyle w:val="TableParagraph"/>
              <w:spacing w:line="208" w:lineRule="auto" w:before="0"/>
              <w:ind w:right="189"/>
              <w:rPr>
                <w:sz w:val="20"/>
              </w:rPr>
            </w:pPr>
            <w:r>
              <w:rPr>
                <w:sz w:val="20"/>
              </w:rPr>
              <w:t>QUEIROZ JÚNIOR, 3ª Câmara Direito Privado, data do julgamento:&amp;#160; 05/02/2025, data da publicação:&amp;#160; 05/02/2025) [Destaquei]&lt;/span&gt;&lt;/p&gt;&lt;p style="line- height:1.7999999999999998;margin-left: 113pt;text-align: justify;margin-top:12pt;margin- bottom:12pt;" dir="ltr"&gt;&lt;span style="font-size:12pt;font-family:'Times New Roman',serif;color:#000000;background-color:transparent;font-weight:400;font- style:normal;font-variant:normal;text-decoration:none;vertical-align:baseline;white- space:pre;white-space:pre-wrap;"&gt;CONSUMIDOR E PROCESSUAL CIVIL. APELAÇÃO CÍVEL. AÇÃO DE COBRANÇA. CÉDULA PARA ABERTURA DE CRÉDITO PESSOA JURÍDICA.&amp;#160; PROMOVIDO QUE ALEGA SER ANALFABETO. INFORMAÇÃO NÃO PRESTADA AO BANCO QUANDO DA CELEBRAÇÃO DO CONTRATO. DOCUMENTO PESSOAL DEVIDAMENTE ASSINADO PELO APELANTE. ASSINATURA NO CONTRATO NÃO IMPUGNADA. AUSÊNCIA DE VÍCIO NO CONSENTIMENTO. REGULARIDADE NA CONTRATAÇÃO. AUSÊNCIA DOS PRESSUPOSTOS DA RESPONSABILIDADE CIVIL.&amp;#160; RECURSO CONHECIDO E DESPROVIDO.</w:t>
            </w:r>
          </w:p>
          <w:p>
            <w:pPr>
              <w:pStyle w:val="TableParagraph"/>
              <w:spacing w:line="208" w:lineRule="auto" w:before="0"/>
              <w:ind w:right="19"/>
              <w:rPr>
                <w:sz w:val="20"/>
              </w:rPr>
            </w:pPr>
            <w:r>
              <w:rPr>
                <w:sz w:val="20"/>
              </w:rPr>
              <w:t>SENTENÇA MANTIDA. 1. A controvérsia recursal consiste em avaliar se, no caso concreto, é válida a contratação de contrato abertura de crédito pessoa jurídica, levando em consideração as alegações do autor no sentido de ser pessoa analfabeta, que não compreendera os termos do contrato celebrado, sendo objeto da controvérsia a validade ou não do contrato, posto que teria de obedecer as formalidades legais exigidas para negócios jurídicos celebrados por analfabeto. 2. A ação tem por objeto a cobrança de valores, por parte do banco promovente, referentes à contratação de crédito celebrada pelo promovido, para a pessoa jurídica que leva seu nome. 3.&lt;/span&gt; &lt;span style="font- size:12pt;font-family:'Times New Roman',serif;color:#000000;background- color:transparent;font-weight:700;font-style:normal;font-variant:normal;text- decoration:none;vertical-align:baseline;white-space:pre;white-space:pre-wrap;"&gt;Com efeito, oportuno destacar a fragilidade das alegações do requerido no sentido de ser pessoa analfabeta, condição esta que não restou comprovada, vez que não condizente com os elementos de prova dos autos. Nesse ponto, deve se frisar também que a parte recorrente, restringiu-se a alegar a sua suposta condição de analfabetismo. Não obstante, verifica-se que existe contrato devidamente assinado entre as partes, bem como compromissos de pagamento extrajudicial, datados do ano de 2019 e 2020, igualmente subscrito pelo réu e o documento pessoal de fls. 119-120 demonstra que o promovido era identificada como alfabetizado, contendo assinatura do mesmo, além de ser proprietário </w:t>
            </w:r>
            <w:r>
              <w:rPr>
                <w:spacing w:val="-9"/>
                <w:sz w:val="20"/>
              </w:rPr>
              <w:t>de </w:t>
            </w:r>
            <w:r>
              <w:rPr>
                <w:sz w:val="20"/>
              </w:rPr>
              <w:t>Microempresa, com registro ativo&lt;/span&gt;&lt;span style="font-size:12pt;font-family:'Times New Roman',serif;color:#000000;background-color:transparent;font-weight:400;font- style:normal;font-variant:normal;text-decoration:none;vertical-align:baseline;white- space:pre;white-space:pre-wrap;"&gt;. 4. Com isso, e considerando as provas constantes dos autos, entendo que o feito não foi instruído com qualquer evidência de que o requerido efetivamente se trate de pessoa analfabeta, porquanto não foi produzida qualquer prova nesse sentido. 5. Deste modo, considerando que&lt;/span&gt; &lt;span style="font-size:12pt;font- family:'Times New Roman',serif;color:#000000;background-color:transparent;font- weight:700;font-style:normal;font-variant:normal;text-decoration:none;vertical- align:baseline;white-space:pre;white-space:pre-wrap;"&gt;não há nenhuma prova a evidenciar que o banco induziu a parte a erro, que o mesma não é analfabeto e, portanto, tinha conhecimento quanto à natureza da avença celebrada, inclusive pelos dois termos de compromisso de pagamento assinados.&lt;/span&gt; &lt;span style="font-size:12pt;font- family:'Times New Roman',serif;color:#000000;background-color:transparent;font- weight:400;font-style:normal;font-variant:normal;text-decoration:none;vertical- align:baseline;white-space:pre;white-space:pre-wrap;"&gt;6. Com efeito, concluo que inexistem elementos indicativos de que o contrato foi firmado mediante fraude e/ou vício de consentimento capaz de macular sua validade, pelo que se mostra devida a manutenção do entendimento do Judicante de primeiro grau. 7. Recurso conhecido e desprovido. Sentença mantida. ACÓRDÃO Vistos, relatados e discutidos os autos referentes ao presente recurso apelatório, em que litigam as partes acima nominadas, ACORDA A TURMA JULGADORA DA PRIMEIRA CÂMARA DE DIREITO PRIVADO DESTE TRIBUNAL DE JUSTIÇA DO ESTADO DO CEARÁ, por UNANIMIDADE de votos,</w:t>
            </w:r>
          </w:p>
          <w:p>
            <w:pPr>
              <w:pStyle w:val="TableParagraph"/>
              <w:spacing w:line="208" w:lineRule="auto" w:before="0"/>
              <w:ind w:right="102"/>
              <w:rPr>
                <w:sz w:val="20"/>
              </w:rPr>
            </w:pPr>
            <w:r>
              <w:rPr>
                <w:sz w:val="20"/>
              </w:rPr>
              <w:t>em conhecer do recurso, para negar-lhe provimento nos termos do voto da Relatora. Fortaleza, data da assinatura digital DESEMBARGADOR EMANUEL LEITE ALBUQUERQUE Presidente do Órgão Julgador Desa. Maria Regina Oliveira Camara Relatora.&lt;/span&gt; &lt;span style="font-size:12pt;font-family:'Times New Roman',serif;color:#000000;background-color:transparent;font-weight:400;font- style:normal;font-variant:normal;text-decoration:none;vertical-align:baseline;white- space:pre;white-space:pre-wrap;"&gt;(Apelação Cível - 0206740-76.2022.8.06.0001, Rel. Desembargador(a) MARIA REGINA OLIVEIRA CAMARA, 1ª Câmara Direito Privado, </w:t>
            </w:r>
            <w:r>
              <w:rPr>
                <w:spacing w:val="-5"/>
                <w:sz w:val="20"/>
              </w:rPr>
              <w:t>data </w:t>
            </w:r>
            <w:r>
              <w:rPr>
                <w:sz w:val="20"/>
              </w:rPr>
              <w:t>do julgamento:&amp;#160; 14/05/2025, data da publicação:&amp;#160; 14/05/2025)&lt;/span&gt;&lt;/p&gt;&lt;p style="line-height:1.7999999999999998;margin-left: 113pt;text-align: justify;margin- top:12pt;margin-bottom:12pt;" dir="ltr"&gt;&lt;span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2"/>
              <w:rPr>
                <w:sz w:val="20"/>
              </w:rPr>
            </w:pPr>
            <w:r>
              <w:rPr>
                <w:sz w:val="20"/>
              </w:rPr>
              <w:t>Roman',serif;color:#000000;background-color:transparent;font-weight:400;font- style:normal;font-variant:normal;text-decoration:none;vertical-align:baseline;white- space:pre;white-space:pre-wrap;"&gt;DIREITO DO CONSUMIDOR E PROCESSUAL CIVIL. APELAÇÃO CÍVEL. AÇÃO DECLARATÓRIA DE INEXISTÊNCIA DE RELAÇÃO JURÍDICA C/C INDENIZAÇÃO POR DANOS MORAIS E MATERIAIS. EMPRÉSTIMO CONSIGNADO. SENTENÇA IMPROCEDENTE. PRELIMINAR DE CERCEAMENTO DE DEFESA: NECESSIDADE DE PERÍCIA PEDAGÓGICA. REJEITADA. ANÁLISE DE VALIDADE CONTRATUAL. ALEGAÇÃO DE ANALFABETISMO FUNCIONAL. VALIDADE DO CONTRATO. FALHA NA PRESTAÇÃO DE SERVIÇOS NÃO DEMONSTRADA. SENTENÇA MANTIDA. RECURSO CONHECIDO E DESPROVIDO. 1. Trata-se de</w:t>
            </w:r>
            <w:r>
              <w:rPr>
                <w:spacing w:val="3"/>
                <w:sz w:val="20"/>
              </w:rPr>
              <w:t> </w:t>
            </w:r>
            <w:r>
              <w:rPr>
                <w:spacing w:val="-3"/>
                <w:sz w:val="20"/>
              </w:rPr>
              <w:t>recurso</w:t>
            </w:r>
          </w:p>
          <w:p>
            <w:pPr>
              <w:pStyle w:val="TableParagraph"/>
              <w:spacing w:line="208" w:lineRule="auto" w:before="0"/>
              <w:ind w:right="123"/>
              <w:rPr>
                <w:sz w:val="20"/>
              </w:rPr>
            </w:pPr>
            <w:r>
              <w:rPr>
                <w:sz w:val="20"/>
              </w:rPr>
              <w:t>apelatório interposto contra sentença que julgou improcedente a ação declaratória de inexistência de relação jurídica cumulada com indenização por danos morais e materiais. O apelante alegou ser analfabeto funcional e pleiteou a nulidade do contrato de empréstimo consignado, sob o argumento de que o instrumento não foi assinado a rogo e nem subscrito por duas testemunhas, conforme previsto no art. 595 do Código Civil.</w:t>
            </w:r>
          </w:p>
          <w:p>
            <w:pPr>
              <w:pStyle w:val="TableParagraph"/>
              <w:spacing w:line="208" w:lineRule="auto" w:before="0"/>
              <w:ind w:right="25"/>
              <w:rPr>
                <w:sz w:val="20"/>
              </w:rPr>
            </w:pPr>
            <w:r>
              <w:rPr>
                <w:sz w:val="20"/>
              </w:rPr>
              <w:t>Requereu, ainda, indenização por danos morais e a repetição do indébito em dobro. 2.&lt;/span&gt; &lt;span style="font-size:12pt;font-family:'Times New Roman',serif;color:#000000;background-color:transparent;font-weight:700;font- style:normal;font-variant:normal;text-decoration:none;vertical-align:baseline;white- space:pre;white-space:pre-wrap;"&gt;Preliminar de cerceamento de defesa: O apelante sustentou a nulidade da sentença por cerceamento de defesa, alegando a necessidade de perícia pedagógica para comprovar seu analfabetismo. Contudo, o magistrado de primeiro grau, como destinatário da prova, considerou suficiente o conjunto probatório já presente nos autos, dispensando a produção de novas provas. Além disso, a própria parte autora, em momento processual adequado, requereu o julgamento antecipado da lide, não havendo, portanto, cerceamento de defesa. Preliminar rejeitada.&lt;/span&gt; &lt;span style="font- size:12pt;font-family:'Times New Roman',serif;color:#000000;background- color:transparent;font-weight:400;font-style:normal;font-variant:normal;text- decoration:none;vertical-align:baseline;white-space:pre;white-space:pre-wrap;"&gt;3.&lt;/span&gt;</w:t>
            </w:r>
          </w:p>
          <w:p>
            <w:pPr>
              <w:pStyle w:val="TableParagraph"/>
              <w:spacing w:line="208" w:lineRule="auto" w:before="0"/>
              <w:ind w:right="96"/>
              <w:rPr>
                <w:sz w:val="20"/>
              </w:rPr>
            </w:pPr>
            <w:r>
              <w:rPr>
                <w:sz w:val="20"/>
              </w:rPr>
              <w:t>&lt;span style="font-size:12pt;font-family:'Times New Roman',serif;color:#000000;background-color:transparent;font-weight:700;font- style:normal;font-variant:normal;text-decoration:none;vertical-align:baseline;white- space:pre;white-space:pre-wrap;"&gt;O art. 595 do Código Civil, que exige a assinatura a rogo e subscrição por testemunhas para a validade de contratos celebrados por analfabetos, não se aplica ao presente caso, uma vez que a parte autora não é analfabeta total. O art. 104 do Código Civil exige, para a validade do negócio jurídico, que o agente seja capaz, que o objeto seja lícito e que a forma não seja vedada pela legislação.</w:t>
            </w:r>
          </w:p>
          <w:p>
            <w:pPr>
              <w:pStyle w:val="TableParagraph"/>
              <w:spacing w:line="208" w:lineRule="auto" w:before="0"/>
              <w:ind w:right="19"/>
              <w:rPr>
                <w:sz w:val="20"/>
              </w:rPr>
            </w:pPr>
            <w:r>
              <w:rPr>
                <w:sz w:val="20"/>
              </w:rPr>
              <w:t>Portanto, o grau de alfabetização da parte não se constitui como obstáculo à validade de um contrato de natureza patrimonial. Têm-se, portanto, que o contrato foi regularmente assinado pelo autor, assim como foi comprovado o repasse do valor contratado, o que afasta qualquer vício ou nulidade no negócio jurídico&lt;/span&gt;&lt;span style="font- size:12pt;font-family:'Times New Roman',serif;color:#000000;background- color:transparent;font-weight:400;font-style:normal;font-variant:normal;text- decoration:none;vertical-align:baseline;white-space:pre;white-space:pre-wrap;"&gt;. 4. A matéria debatida também não se vincula ao IRDR n° 0630366-67.2019.8.06.0000 deste TJCE, julgado pela Seção de Direito Privado em 21/09/2020, que fixou a seguinte tese: ¿É considerado legal o instrumento particular assinado a rogo e subscrito por duas testemunhas para a contratação de empréstimos consignados entre pessoas analfabetas e instituições financeiras, nos ditames do art. 595 do CC, não sendo necessário instrumento público para a validade da manifestação de vontade do analfabeto nem procuração pública daquele que assina a seu rogo, cabendo ao Poder Judiciário o controle do efetivo cumprimento das disposições do artigo 595 do Código Civil¿ 5. No mérito, a instituição financeira apresentou provas robustas, como o contrato assinado pelo autor, documentos pessoais e o comprovante de transferência do valor contratado. Diante da inexistência de irregularidades na celebração do contrato, bem como a ausência de falha na prestação de serviços, não há fundamento para a nulidade do contrato. 6. Recurso conhecido e desprovido. ACÓRDÃO Visto, relatado e discutido o presente recurso, acordam os Desembargadores membros da Primeira Câmara de Direito Privado deste Egrégio Tribunal de Justiça do Estado do Ceará, por unanimidade, em conhecer do recurso para negar-lhe provimento, nos termos do voto da Relatora. Fortaleza-CE, 02 de outubro de 2024. DES. FRANCISCO MAURO FERREIRA LIBERATO Presidente do Órgão Julgador DESA. MARIA REGINA OLIVEIRA CAMARA Relatora.&lt;/span&gt; &lt;span style="font-size:12pt;font- family:'Times New Roman',serif;color:#000000;background-color:transparent;font- weight:400;font-style:normal;font-variant:normal;text-decoration:none;vertical- align:baseline;white-space:pre;white-space:pre-wrap;"&gt;(Apelação Cível - 0174351- 43.2019.8.06.0001, Rel. Desembargador(a) MARIA REGINA OLIVEIRA CAMARA, 1ª</w:t>
            </w:r>
          </w:p>
          <w:p>
            <w:pPr>
              <w:pStyle w:val="TableParagraph"/>
              <w:spacing w:line="208" w:lineRule="auto" w:before="0"/>
              <w:ind w:right="65"/>
              <w:rPr>
                <w:sz w:val="20"/>
              </w:rPr>
            </w:pPr>
            <w:r>
              <w:rPr>
                <w:sz w:val="20"/>
              </w:rPr>
              <w:t>Câmara Direito Privado, data do julgamento:&amp;#160; 02/10/2024, data da publicação:&amp;#160; 02/10/2024) [Destaquei]&lt;/span&gt;&lt;/p&gt;&lt;p style="line- height:1.7999999999999998;text-indent: 56.692913385826756pt;text-align: justify;margin- top:12pt;margin-bottom:12pt;" dir="ltr"&gt; &lt;span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0200107-48.2024.8.06.0108</w:t>
            </w:r>
          </w:p>
        </w:tc>
      </w:tr>
      <w:tr>
        <w:trPr>
          <w:trHeight w:val="126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7"/>
              <w:rPr>
                <w:sz w:val="20"/>
              </w:rPr>
            </w:pPr>
            <w:r>
              <w:rPr>
                <w:sz w:val="20"/>
              </w:rPr>
              <w:t>Roman',serif;color:#000000;background-color:transparent;font-weight:400;font- style:normal;font-variant:normal;text-decoration:none;vertical-align:baseline;white- space:pre;white-space:pre-wrap;"&gt;Diante do exposto, conclui-se que o recurso de apelação não merece provimento, devendo ser mantida, em todos os seus termos, a sentença de primeiro grau que julgou improcedente a pretensão deduzida.&lt;/span&gt;&lt;/p&gt;&lt;p style="line-height:1.7999999999999998;text-indent: 56.692913385826756pt;text-align: justify;margin-top:12pt;margin-bottom:12pt;" dir="ltr"&gt; &lt;span style="font-size:12pt;font- family:'Times New Roman',serif;color:#000000;background-color:transparent;font- weight:700;font-style:normal;font-variant:normal;text-decoration:none;vertical- align:baseline;white-space:pre;white-space:pre-wrap;"&gt;3. DISPOSITIVO&lt;/span&gt;&lt;/p&gt;&lt;p style="line-height:1.7999999999999998;text-indent: 56.692913385826756pt;text-align: justify;margin-top:12pt;margin-bottom:12pt;" dir="ltr"&gt;&lt;span style="font-size:12pt;font- family:'Times New Roman',serif;color:#000000;background-color:transparent;font- weight:400;font-style:normal;font-variant:normal;text-decoration:none;vertical- align:baseline;white-space:pre;white-space:pre-wrap;"&gt;Ante o exposto,&lt;/span&gt; &lt;span style="font-size:12pt;font-family:'Times New Roman',serif;color:#000000;background- color:transparent;font-weight:400;font-style:normal;font-variant:normal;text- decoration:none;vertical-align:baseline;white-space:pre;white-space:pre-wrap;"&gt;</w:t>
            </w:r>
          </w:p>
          <w:p>
            <w:pPr>
              <w:pStyle w:val="TableParagraph"/>
              <w:spacing w:line="208" w:lineRule="auto" w:before="0"/>
              <w:ind w:right="141"/>
              <w:rPr>
                <w:sz w:val="20"/>
              </w:rPr>
            </w:pPr>
            <w:r>
              <w:rPr>
                <w:sz w:val="20"/>
              </w:rPr>
              <w:t>&lt;strong&gt;con&lt;/strong&gt;&lt;/span&gt;&lt;span style="font-size:12pt;font-family:'Times New Roman',serif;color:#000000;background-color:transparent;font-weight:400;font- style:normal;font-variant:normal;text-decoration:none;vertical-align:baseline;white- space:pre;white-space:pre-wrap;"&gt; &lt;strong&gt;heço do recurso interposto para, no entanto, negar-lhe provimento&lt;/strong&gt;&lt;/span&gt;&lt;span style="font-size:12pt;font-family:'Times New Roman',serif;color:#000000;background-color:transparent;font-weight:400;font- style:normal;font-variant:normal;text-decoration:none;vertical-align:baseline;white- space:pre;white-space:pre-wrap;"&gt;, mantendo-se, na íntegra, a sentença proferida pelo magistrado de primeiro grau, que julgou improcedentes os pedidos.&lt;/span&gt;&lt;/p&gt;&lt;p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align:baseline;white-space:pre;white-space:pre-wrap;"&gt;Em razão da dupla sucumbência, majoro os honorários advocatícios em favor dos patronos da parte apelada para 15% (quinze por cento) sobre o valor atualizado da causa, nos termos do art. 85, §11, do CPC, observando-se, a suspensão da exigibilidade em virtude da gratuidade da justiça deferida à parte autora.&lt;/span&gt;&lt;/p&gt;&lt;p style="line-height:1.7999999999999998;text-indent: 56.692913385826756pt;text-align: justify;margin-top:12pt;margin-bottom:12pt;" dir="ltr"&gt;</w:t>
            </w:r>
          </w:p>
          <w:p>
            <w:pPr>
              <w:pStyle w:val="TableParagraph"/>
              <w:tabs>
                <w:tab w:pos="4199" w:val="left" w:leader="none"/>
              </w:tabs>
              <w:spacing w:line="208" w:lineRule="auto" w:before="0"/>
              <w:ind w:right="65"/>
              <w:rPr>
                <w:sz w:val="20"/>
              </w:rPr>
            </w:pPr>
            <w:r>
              <w:rPr>
                <w:sz w:val="20"/>
              </w:rPr>
              <w:t>&lt;span style="font-size:12pt;font-family:'Times New Roman',serif;color:#000000;background-color:transparent;font-weight:400;font- style:normal;font-variant:normal;text-decoration:none;vertical-align:baseline;white- space:pre;white-space:pre-wrap;"&gt;É como voto.&lt;/span&gt;&lt;/p&gt;&lt;p style="line- height:1.7999999999999998;text-indent: 56.692913385826756pt;text-align: justify;margin- top:12pt;margin-bottom:12pt;" dir="ltr"&gt; &lt;span style="font-size:12pt;font-family:'Times </w:t>
            </w:r>
            <w:r>
              <w:rPr>
                <w:spacing w:val="-6"/>
                <w:sz w:val="20"/>
              </w:rPr>
              <w:t>New </w:t>
            </w:r>
            <w:r>
              <w:rPr>
                <w:sz w:val="20"/>
              </w:rPr>
              <w:t>Roman',serif;color:#000000;background-color:transparent;font-weight:400;font- style:normal;font-variant:normal;text-decoration:none;vertical-align:baseline;white- space:pre;white-space:pre-wrap;"&gt;Fortaleza, data registrada no sistema.&lt;/span&gt;&lt;/p&gt;&lt;p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align:baseline;white-space:pre;white-space:pre-wrap;"&gt;&amp;#160;&lt;/span&gt;&lt;/p&gt;&lt;p style="line- height:1.7999999999999998;text-align: center;margin-top:12pt;margin-bottom:12pt;" dir="ltr"&gt;&lt;span style="font-size:12pt;font-family:'Times New Roman',serif;color:#000000;background-color:transparent;font-weight:700;font- style:normal;font-variant:normal;text-decoration:none;vertical-align:baseline;white- space:pre;white-space:pre-wrap;"&gt;FRANCISCO LUCÍDIO DE QUEIROZ JÚNIOR&lt;/span&gt;&amp;#160;&lt;/p&gt;&lt;p style="line-height:1.7999999999999998;text-align: center;margin-top:12pt;margin-bottom:12pt;" dir="ltr"&gt; &lt;span style="font-size:12pt;font- family:'Times New Roman',serif;color:#000000;background-color:transparent;font- weight:400;font-style:normal;font-variant:normal;text-decoration:none;vertical- align:baseline;white-space:pre;white-space:pre-wrap;"&gt;Desembargador Relator&lt;/span&gt;&lt;/p&gt;&lt;br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89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de Consumo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NEIDE VIEIRA DA SILVA ARRAES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1593"/>
              <w:rPr>
                <w:sz w:val="20"/>
              </w:rPr>
            </w:pPr>
            <w:r>
              <w:rPr>
                <w:sz w:val="20"/>
              </w:rPr>
              <w:t>FRANCISCO AUGUSTO OLIVEIRA PAES DE ANDRADE - (CE38088-A) 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&lt;strong&gt;PROCESSO&lt;/strong&gt;:&amp;#160;0204283-50.2023.8.06.0029 -&amp;#160;APELAÇÃO</w:t>
            </w:r>
          </w:p>
          <w:p>
            <w:pPr>
              <w:pStyle w:val="TableParagraph"/>
              <w:tabs>
                <w:tab w:pos="972" w:val="left" w:leader="none"/>
                <w:tab w:pos="6557" w:val="left" w:leader="none"/>
              </w:tabs>
              <w:spacing w:line="208" w:lineRule="auto" w:before="8"/>
              <w:ind w:right="204"/>
              <w:rPr>
                <w:sz w:val="20"/>
              </w:rPr>
            </w:pPr>
            <w:r>
              <w:rPr>
                <w:sz w:val="20"/>
              </w:rPr>
              <w:t>CÍVEL (198)&lt;/span&gt;  &lt;/span&gt;&lt;/p&gt;&lt;p&gt;  &lt;span style="font-size: small;"&gt;</w:t>
              <w:tab/>
              <w:t>&lt;span style="font-family: &amp;quot;times new roman&amp;quot;, times;"&gt;APELANTE: FRANCISCA NEIDE VIEIRA DA SILVA ARRAES&lt;/span&gt; &lt;/span&gt;&lt;/p&gt;&lt;p&gt; &lt;span style="font-size: small;"&gt;</w:t>
              <w:tab/>
              <w:t>&lt;span style="font-family: &amp;quot;times new roman&amp;quot;, times;"&gt;APELADO: BANCO DO BRASIL SA&lt;/span&gt; &lt;/span&gt;&lt;/p&gt;&lt;p style="line-height: 1.8; text-align: </w:t>
            </w:r>
            <w:r>
              <w:rPr>
                <w:spacing w:val="-3"/>
                <w:sz w:val="20"/>
              </w:rPr>
              <w:t>justify; </w:t>
            </w:r>
            <w:r>
              <w:rPr>
                <w:sz w:val="20"/>
              </w:rPr>
              <w:t>margin-top: 12pt; margin-bottom: 0pt; padding-left: 150px;" dir="ltr"&gt; &lt;span style="font- size: 12pt; font-family: 'Times New Roman',serif; color: #000000; background-color:</w:t>
            </w:r>
          </w:p>
          <w:p>
            <w:pPr>
              <w:pStyle w:val="TableParagraph"/>
              <w:tabs>
                <w:tab w:pos="4562" w:val="left" w:leader="none"/>
              </w:tabs>
              <w:spacing w:line="208" w:lineRule="auto" w:before="0"/>
              <w:ind w:right="42"/>
              <w:rPr>
                <w:sz w:val="20"/>
              </w:rPr>
            </w:pPr>
            <w:r>
              <w:rPr>
                <w:sz w:val="20"/>
              </w:rPr>
              <w:t>transparent; font-weight: 400; font-style: normal; font-variant: normal; text-decoration: </w:t>
            </w:r>
            <w:r>
              <w:rPr>
                <w:spacing w:val="-4"/>
                <w:sz w:val="20"/>
              </w:rPr>
              <w:t>none; </w:t>
            </w:r>
            <w:r>
              <w:rPr>
                <w:sz w:val="20"/>
              </w:rPr>
              <w:t>vertical-align: baseline; white-space: pre-wrap;"&gt;</w:t>
              <w:tab/>
              <w:t>&lt;strong&gt;Direito Processual Civil.</w:t>
            </w:r>
          </w:p>
          <w:p>
            <w:pPr>
              <w:pStyle w:val="TableParagraph"/>
              <w:tabs>
                <w:tab w:pos="4562" w:val="left" w:leader="none"/>
                <w:tab w:pos="5119" w:val="left" w:leader="none"/>
              </w:tabs>
              <w:spacing w:line="208" w:lineRule="auto" w:before="0"/>
              <w:ind w:right="20"/>
              <w:rPr>
                <w:sz w:val="20"/>
              </w:rPr>
            </w:pPr>
            <w:r>
              <w:rPr>
                <w:sz w:val="20"/>
              </w:rPr>
              <w:t>Apelação Cível. Ação Declaratória de Inexistência de Débito c/c Danos Morais. Contrato de Empréstimo Consignado. Sentença de improcedência. Ausência de impugnação específica aos fundamentos da Sentença. Violação ao princípio da dialeticidade recursal. Recurso não conhecido.&amp;#160;&lt;/strong&gt; &lt;/span&gt;&lt;/p&gt;&lt;p style="line-height: 1.8; text-align: justify; margin-top: 12pt; margin-bottom: 0pt; padding-left: 150px;" dir="ltr"&gt; &lt;span style="font-size: 12pt; font-family: 'Times New Roman',serif; color: #000000; background- color: transparent; font-weight: 400; font-style: normal; font-variant: normal; text-decoration: none; vertical-align: baseline; white-space: pre-wrap;"&gt;</w:t>
              <w:tab/>
              <w:t>&lt;strong&gt;I. Caso em Exame&lt;/strong&gt; &lt;/span&gt;&lt;/p&gt;&lt;p style="line-height: 1.8; text-align: justify; margin-top: 12pt; margin-bottom: 0pt; padding-left: 150px;"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pre-wrap;"&gt;1.&lt;/span&gt; &lt;span style="font-size: 12pt; font-family: 'Times New Roman',serif; color: #1a202c; background-color: transparent; font-weight: 400; font-style: normal; font-variant: normal; text-decoration: none; vertical-align: baseline; white-space: pre-wrap;"&gt;Apelação Cível interposta por Francisca Neide Vieira da Silva Arraes contra sentença de improcedência proferida em Ação Declaratória Negativa de Débito c/c Indenização por Danos Morais e Materiais, proposta contra o Banco do Brasil S.A., alegando fraude em contrato.&lt;/span&gt;&lt;/p&gt;&lt;p style="line-height: 1.8; text-align: justify; margin-top: 12pt; margin-bottom: 0pt; padding-left: 150px;" dir="ltr"&gt; &lt;span style="font- size: 12pt; font-family: 'Times New Roman',serif; color: #000000; background-color: transparent; font-weight: 400; font-style: normal; font-variant: normal; text-decoration: none; vertical-align: baseline; white-space: pre-wrap;"&gt;</w:t>
              <w:tab/>
              <w:t>&lt;strong&gt;II. Questão em Discussão&lt;/strong&gt; &lt;/span&gt;&lt;/p&gt;&lt;p style="line-height: 1.8; text-align: justify; margin-top: 12pt; margin-bottom: 0pt; padding-left: 150px;" dir="ltr"&gt; &lt;span style="font-size: 12pt; font- family: 'Times New Roman',serif; color: #1a202c; background-color: transparent; font- weight: 400; font-style: normal; font-variant: normal; text-decoration: none; vertical-align: baseline; white-space: pre-wrap;"&gt;2. Consiste em (I) analisar a alegação de cerceamento de defesa; (II) examinar a conformidade do recurso com o princípio da dialeticidade recursal.&lt;/span&gt;&lt;/p&gt;&lt;p style="line-height: 1.8; text-align: justify; margin-top: 12pt; margin- bottom: 0pt; padding-left: 150px;" dir="ltr"&gt; &lt;span style="font-size: 12pt; font-family: 'Times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39" w:val="left" w:leader="none"/>
                <w:tab w:pos="1939" w:val="left" w:leader="none"/>
                <w:tab w:pos="4044" w:val="left" w:leader="none"/>
                <w:tab w:pos="5176" w:val="left" w:leader="none"/>
                <w:tab w:pos="6121" w:val="left" w:leader="none"/>
                <w:tab w:pos="7515" w:val="left" w:leader="none"/>
              </w:tabs>
              <w:spacing w:line="208" w:lineRule="auto" w:before="26"/>
              <w:ind w:right="40"/>
              <w:rPr>
                <w:sz w:val="20"/>
              </w:rPr>
            </w:pPr>
            <w:r>
              <w:rPr>
                <w:sz w:val="20"/>
              </w:rPr>
              <w:t>New Roman',serif; color: #000000; background-color: transparent; font-weight: 400; font- style: normal; font-variant: normal; text-decoration: none; vertical-align: baseline; white- space: pre-wrap;"&gt;</w:t>
              <w:tab/>
              <w:t>&lt;strong&gt;III. Razões de Decidir&lt;/strong&gt; &lt;/span&gt;&lt;/p&gt;&lt;p style="line- height: 1.8; text-align: justify; margin-top: 12pt; margin-bottom: 0pt; padding-left: 150px;" dir="ltr"&gt; &lt;span style="font-size: 12pt; font-family: 'Times New Roman',serif; color: #000000; background-color: transparent; font-weight: 400; font-style: normal; font-variant: normal; text-decoration: none; vertical-align: baseline; white-space: pre-wrap;"&gt;3. No caso, a apelante insurge-se contra a improcedência do pedido, alegando cerceamento de </w:t>
            </w:r>
            <w:r>
              <w:rPr>
                <w:spacing w:val="-3"/>
                <w:sz w:val="20"/>
              </w:rPr>
              <w:t>defesa </w:t>
            </w:r>
            <w:r>
              <w:rPr>
                <w:sz w:val="20"/>
              </w:rPr>
              <w:t>pela não realização de perícia grafotécnica, mas deixa de confrontar a premissa processual de que a insuficiência de provas se operou por sua própria inércia e opção processual.&lt;/span&gt;&lt;/p&gt;&lt;p style="line-height: 1.8; text-align: justify; margin-top: 12pt; margin-bottom: 0pt; padding-left: 150px;" dir="ltr"&gt; &lt;span style="font-size: 12pt; font- family: 'Times New Roman',serif; color: #000000; background-color: transparent; font- weight: 400; font-style: normal; font-variant: normal; text-decoration: none; vertical-align: baseline; white-space: pre-wrap;"&gt;4. O recurso não ataca, portanto, o fundamento real que levou à improcedência do pedido (suficiência da prova documental apresentada pelo banco e preclusão da fase probatória).&amp;#160;&lt;/span&gt;&lt;/p&gt;&lt;p style="line-height: 1.8; text- align: justify; margin-top: 12pt; margin-bottom: 0pt; padding-left: 150px;" dir="ltr"&gt; &lt;span style="font-size: 12pt; background-color: transparent; font-weight: 400; font-style: normal; font-variant: normal; text-decoration: none; vertical-align: baseline; white-space: pre- wrap;"&gt;</w:t>
              <w:tab/>
              <w:t>&lt;span style="color: #000000;"&gt;</w:t>
              <w:tab/>
              <w:t>&lt;span style="font-size: medium;"&gt;</w:t>
              <w:tab/>
              <w:t>&lt;span style="font-family: &amp;quot;times new roman&amp;quot;, times;"&gt;5. A argumentação recursal não atendeu ao princípio da dialeticidade recursal.&lt;/span&gt;</w:t>
              <w:tab/>
              <w:t>&lt;/span&gt;</w:t>
              <w:tab/>
              <w:t>&lt;/span&gt;</w:t>
            </w:r>
          </w:p>
          <w:p>
            <w:pPr>
              <w:pStyle w:val="TableParagraph"/>
              <w:tabs>
                <w:tab w:pos="4199" w:val="left" w:leader="none"/>
                <w:tab w:pos="5119" w:val="left" w:leader="none"/>
              </w:tabs>
              <w:spacing w:line="208" w:lineRule="auto" w:before="0"/>
              <w:ind w:right="20"/>
              <w:rPr>
                <w:sz w:val="20"/>
              </w:rPr>
            </w:pPr>
            <w:r>
              <w:rPr>
                <w:sz w:val="20"/>
              </w:rPr>
              <w:t>&lt;/span&gt;&lt;/p&gt;&lt;p style="line-height: 1.8; text-align: justify; margin-top: 12pt; margin-bottom: 0pt; padding-left: 150px;" dir="ltr"&gt;  &lt;strong&gt;</w:t>
              <w:tab/>
              <w: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pre-wrap;"&gt;IV. Dispositivo&lt;/span&gt; &lt;/strong&gt;&lt;/p&gt;&lt;p style="line-height: 1.8; text- align: justify; margin-top: 12pt; margin-bottom: 0pt; padding-left: 150px;" dir="ltr"&gt; &lt;span style="font-size: 12pt; font-family: 'Times New Roman',serif; color: #000000; background- color: transparent; font-weight: 400; font-style: normal; font-variant: normal; text-decoration: none; vertical-align: baseline; white-space: pre-wrap;"&gt;</w:t>
              <w:tab/>
              <w:t>&lt;strong&gt;6. Recurso não conhecido.&lt;/strong&gt; &lt;/span&gt;&lt;/p&gt;&lt;p style="line-height: 1.8; text-align: justify; margin-top: 12pt; margin-bottom: 0pt; padding-left: 150px;" dir="ltr"&gt; &lt;span style="font-size: medium; font-family: &amp;quot;times new roman&amp;quot;, times;"&gt;ACÓRDÃO:&amp;#160;&lt;/span&gt; &lt;span style="background-color: transparent; font-family: &amp;quot;Times New Roman&amp;quot;, serif; font-size: 12pt; white-space-collapse: preserve;"&gt;Vistos, relatados e discutidos estes </w:t>
            </w:r>
            <w:r>
              <w:rPr>
                <w:spacing w:val="-3"/>
                <w:sz w:val="20"/>
              </w:rPr>
              <w:t>autos, </w:t>
            </w:r>
            <w:r>
              <w:rPr>
                <w:sz w:val="20"/>
              </w:rPr>
              <w:t>acorda a Quinta Câmara Direito Privado, por unanimidade, em NÃO CONHECER o Recurso de Apelação Cível nos termos do voto do Desembargador Relator.&lt;/span&gt;&lt;/p&gt;&lt;p style="line-height: 115%; margin-bottom: 0.21cm; padding-left: 150px;" align="justify"&gt;</w:t>
            </w:r>
          </w:p>
          <w:p>
            <w:pPr>
              <w:pStyle w:val="TableParagraph"/>
              <w:tabs>
                <w:tab w:pos="3084" w:val="left" w:leader="none"/>
                <w:tab w:pos="3288" w:val="left" w:leader="none"/>
                <w:tab w:pos="7214" w:val="left" w:leader="none"/>
              </w:tabs>
              <w:spacing w:line="208" w:lineRule="auto" w:before="0"/>
              <w:ind w:right="37"/>
              <w:rPr>
                <w:sz w:val="20"/>
              </w:rPr>
            </w:pPr>
            <w:r>
              <w:rPr>
                <w:sz w:val="20"/>
              </w:rPr>
              <w:t>&lt;span style="font-size: medium;"&gt;</w:t>
              <w:tab/>
              <w:tab/>
              <w:t>&lt;span style="font-family: &amp;quot;times new roman&amp;quot;, times;"&gt;F&lt;/span&gt;</w:t>
              <w:tab/>
              <w:t>&lt;span style="font-family: &amp;quot;times new roman&amp;quot;, times;"&gt;ortaleza, data registrada no sistema.&lt;/span&gt; &lt;/span&gt; &lt;span style="font-family: &amp;quot;times new roman&amp;quot;, times; font-size: medium; text-align: start;"&gt;&amp;#160;&lt;/span&gt;&lt;/p&gt;&lt;p&gt;&amp;#160;&lt;/p&gt;&lt;p style="line-height: 100%; orphans: 0; </w:t>
            </w:r>
            <w:r>
              <w:rPr>
                <w:spacing w:val="-3"/>
                <w:sz w:val="20"/>
              </w:rPr>
              <w:t>widows: </w:t>
            </w:r>
            <w:r>
              <w:rPr>
                <w:sz w:val="20"/>
              </w:rPr>
              <w:t>0; margin-bottom: 0.21cm;" align="center"&gt;  &lt;span style="font-size: medium;"&gt;</w:t>
              <w:tab/>
              <w:t>&lt;strong&gt;</w:t>
            </w:r>
          </w:p>
          <w:p>
            <w:pPr>
              <w:pStyle w:val="TableParagraph"/>
              <w:tabs>
                <w:tab w:pos="1216" w:val="left" w:leader="none"/>
                <w:tab w:pos="2818" w:val="left" w:leader="none"/>
              </w:tabs>
              <w:spacing w:line="208" w:lineRule="auto" w:before="0"/>
              <w:ind w:right="219"/>
              <w:rPr>
                <w:sz w:val="20"/>
              </w:rPr>
            </w:pPr>
            <w:r>
              <w:rPr>
                <w:sz w:val="20"/>
              </w:rPr>
              <w:t>&lt;span style="font-family: &amp;quot;times new roman&amp;quot;, times;"&gt;MARIA REGINA OLIVEIRA CÂMARA&lt;/span&gt;</w:t>
              <w:tab/>
              <w:t>&lt;/strong&gt; &lt;/span&gt;&lt;/p&gt;&lt;p style="line-height: 115%; orphans: 0; widows: 0; margin-bottom: 0.21cm;" align="center"&gt; &lt;span style="font-size: medium;"&gt;</w:t>
              <w:tab/>
              <w:t>&lt;span style="font-family: &amp;quot;times new roman&amp;quot;, times;"&gt;Desembargadora Presidente do Órgão Julgador&lt;/span&gt; &lt;/span&gt;&lt;/p&gt;&lt;p style="line-height: 100%; orphans: 0; widows: 0; margin-bottom: 0.21cm;"</w:t>
            </w:r>
            <w:r>
              <w:rPr>
                <w:spacing w:val="12"/>
                <w:sz w:val="20"/>
              </w:rPr>
              <w:t> </w:t>
            </w:r>
            <w:r>
              <w:rPr>
                <w:spacing w:val="-2"/>
                <w:sz w:val="20"/>
              </w:rPr>
              <w:t>align="center"&gt;</w:t>
            </w:r>
          </w:p>
          <w:p>
            <w:pPr>
              <w:pStyle w:val="TableParagraph"/>
              <w:tabs>
                <w:tab w:pos="1683" w:val="left" w:leader="none"/>
                <w:tab w:pos="2350" w:val="left" w:leader="none"/>
                <w:tab w:pos="2806" w:val="left" w:leader="none"/>
                <w:tab w:pos="3206" w:val="left" w:leader="none"/>
                <w:tab w:pos="3288" w:val="left" w:leader="none"/>
                <w:tab w:pos="3951" w:val="left" w:leader="none"/>
                <w:tab w:pos="5850" w:val="left" w:leader="none"/>
              </w:tabs>
              <w:spacing w:line="208" w:lineRule="auto" w:before="0"/>
              <w:ind w:right="143"/>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w:t>
            </w:r>
            <w:r>
              <w:rPr>
                <w:spacing w:val="-2"/>
                <w:sz w:val="20"/>
              </w:rPr>
              <w:t>style="font- </w:t>
            </w:r>
            <w:r>
              <w:rPr>
                <w:sz w:val="20"/>
              </w:rPr>
              <w:t>size: medium;"&gt;</w:t>
              <w:tab/>
              <w:t>&lt;strong&gt;</w:t>
              <w:tab/>
              <w:t>&lt;span style="font-family: &amp;quot;times new roman&amp;quot;, times;"&gt;FRANCISCO LUCÍDIO DE QUEIROZ JUNIOR&lt;/span&gt;</w:t>
              <w:tab/>
              <w:t>&lt;/strong&gt;</w:t>
            </w:r>
          </w:p>
          <w:p>
            <w:pPr>
              <w:pStyle w:val="TableParagraph"/>
              <w:tabs>
                <w:tab w:pos="1094" w:val="left" w:leader="none"/>
                <w:tab w:pos="1839" w:val="left" w:leader="none"/>
                <w:tab w:pos="2682" w:val="left" w:leader="none"/>
                <w:tab w:pos="3773" w:val="left" w:leader="none"/>
                <w:tab w:pos="3954" w:val="left" w:leader="none"/>
                <w:tab w:pos="4754" w:val="left" w:leader="none"/>
                <w:tab w:pos="5077" w:val="left" w:leader="none"/>
              </w:tabs>
              <w:spacing w:line="208" w:lineRule="auto" w:before="0"/>
              <w:ind w:right="48"/>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style="line- height: 100%; orphans: 0; widows: 0; margin-bottom: 0.21cm;" align="center"&gt; &lt;span style="font-size: medium;"&gt;</w:t>
              <w:tab/>
              <w:t>&lt;span style="font-family: &amp;quot;times new roman&amp;quot;, times;"&gt;</w:t>
              <w:tab/>
              <w:t>&lt;br /&gt;</w:t>
              <w:tab/>
              <w:t>&lt;/span&gt; &lt;/span&gt;&lt;/p&gt;&lt;p align="center"&gt; &lt;span style="font-family: &amp;quot;times new roman&amp;quot;, times;"&gt;</w:t>
              <w:tab/>
              <w:t>&lt;br /&gt;  &lt;/span&gt;&lt;/p&gt;&lt;p style="text-align: center;"&gt;  &lt;span style="font-size: small;"&gt;</w:t>
              <w:tab/>
              <w:tab/>
              <w:t>&lt;strong&gt;</w:t>
              <w:tab/>
              <w:tab/>
              <w:t>&lt;span style="font-size:</w:t>
            </w:r>
            <w:r>
              <w:rPr>
                <w:spacing w:val="-15"/>
                <w:sz w:val="20"/>
              </w:rPr>
              <w:t> </w:t>
            </w:r>
            <w:r>
              <w:rPr>
                <w:sz w:val="20"/>
              </w:rPr>
              <w:t>medium;"&gt;</w:t>
            </w:r>
          </w:p>
          <w:p>
            <w:pPr>
              <w:pStyle w:val="TableParagraph"/>
              <w:spacing w:line="190" w:lineRule="exact" w:before="0"/>
              <w:rPr>
                <w:sz w:val="20"/>
              </w:rPr>
            </w:pPr>
            <w:r>
              <w:rPr>
                <w:sz w:val="20"/>
              </w:rPr>
              <w:t>&lt;span style="font-family: &amp;quot;times new roman&amp;quot;, times;"&gt;RELATÓRIO&lt;/span&gt;</w:t>
            </w:r>
          </w:p>
          <w:p>
            <w:pPr>
              <w:pStyle w:val="TableParagraph"/>
              <w:tabs>
                <w:tab w:pos="985" w:val="left" w:leader="none"/>
              </w:tabs>
              <w:spacing w:line="208" w:lineRule="auto" w:before="5"/>
              <w:ind w:right="42"/>
              <w:rPr>
                <w:sz w:val="20"/>
              </w:rPr>
            </w:pPr>
            <w:r>
              <w:rPr>
                <w:sz w:val="20"/>
              </w:rPr>
              <w:t>&lt;/span&gt;</w:t>
              <w:tab/>
              <w:t>&lt;/strong&gt; &lt;/span&gt;&lt;/p&gt;&lt;p style="line-height: 1.7999999999999998; text-indent: 70.86614173228347pt; text-align: justify; margin-top: 6pt; margin-bottom: 6pt;" dir="ltr"&gt;&lt;span style="font-size: 12pt; font-family: 'Times New Roman',serif; color: </w:t>
            </w:r>
            <w:r>
              <w:rPr>
                <w:spacing w:val="-3"/>
                <w:sz w:val="20"/>
              </w:rPr>
              <w:t>#000000; </w:t>
            </w:r>
            <w:r>
              <w:rPr>
                <w:sz w:val="20"/>
              </w:rPr>
              <w:t>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text-decoration: none; vertical-align: baseline; white-space: pre-wrap;"&gt;Trata-se de&lt;/span&gt;</w:t>
            </w:r>
          </w:p>
          <w:p>
            <w:pPr>
              <w:pStyle w:val="TableParagraph"/>
              <w:spacing w:line="208" w:lineRule="auto" w:before="9"/>
              <w:rPr>
                <w:sz w:val="20"/>
              </w:rPr>
            </w:pPr>
            <w:r>
              <w:rPr>
                <w:sz w:val="20"/>
              </w:rPr>
              <w:t>&lt;span style="font-size: 12pt; font-family: &amp;quot;Times New Roman&amp;quot;, serif; color: #000000; background-color: transparent; font-style: normal; font-variant: normal; text- decoration: none; vertical-align: baseline; white-space: pre-wrap;"&gt; &lt;strong&gt;Apelação Cível&lt;/strong&gt;&lt;/span&gt; &lt;span style="font-size: 12pt; font-family: 'Times New Roman',serif; color: #000000; background-color: transparent; font-weight: 400; font-style: normal; font- variant: normal; text-decoration: none; vertical-align: baseline; white-space: pre- wrap;"&gt;interposta por&lt;/span&gt; &lt;span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pre-wrap;"&gt;</w:t>
            </w:r>
          </w:p>
          <w:p>
            <w:pPr>
              <w:pStyle w:val="TableParagraph"/>
              <w:tabs>
                <w:tab w:pos="3329" w:val="left" w:leader="none"/>
              </w:tabs>
              <w:spacing w:line="208" w:lineRule="auto" w:before="0"/>
              <w:ind w:right="42"/>
              <w:rPr>
                <w:sz w:val="20"/>
              </w:rPr>
            </w:pPr>
            <w:r>
              <w:rPr>
                <w:sz w:val="20"/>
              </w:rPr>
              <w:t>&lt;strong&gt;Francisca Neide Vieira da Silva Arraes&lt;/strong&gt;&lt;/span&gt;&lt;span style="font-size: 12pt; font-family: 'Times New Roman',serif; color: #000000; background-color: transparent; font-weight: 400; font-style: normal; font-variant: normal; text-decoration: none; vertical- align: baseline; white-space: pre-wrap;"&gt;, com o objetivo de ter reformada&lt;/span&gt;&lt;span style="font-size: 12pt; font-family: &amp;quot;Times New Roman&amp;quot;, serif; color: #000000; background-color: transparent; font-style: normal; font-variant: normal; text-decoration: none; vertical-align: baseline; white-space: pre-wrap;"&gt; &lt;strong&gt;sentença de improcedência&lt;/strong&gt;&lt;/span&gt; &lt;span style="font-size: 12pt; font-family: 'Times New Roman',serif; color: #000000; background-color: transparent; font-weight: 400; font-style: normal; font-variant: normal; text-decoration: none; vertical-align: baseline; white-space: pre-wrap;"&gt;prolatada pelo douto&lt;/span&gt; &lt;span style="font-size: 12pt; font-family: &amp;quot;Times New Roman&amp;quot;, serif; color: #000000; background-color: transparent; </w:t>
            </w:r>
            <w:r>
              <w:rPr>
                <w:spacing w:val="-4"/>
                <w:sz w:val="20"/>
              </w:rPr>
              <w:t>font- </w:t>
            </w:r>
            <w:r>
              <w:rPr>
                <w:sz w:val="20"/>
              </w:rPr>
              <w:t>style: normal; font-variant: normal; text-decoration: none; vertical-align: baseline; white- space: pre-wrap;"&gt; &lt;strong&gt;Juiz de Direito da 2ª Vara Cível da Comarca de Acopiara,&lt;/strong&gt;&lt;/span&gt; &lt;span style="font-size: 12pt; font-family: 'Times New Roman',serif; color: #000000; background-color: transparent; font-weight: 400; font-style: normal; font-variant: normal; text-decoration: none; vertical-align: baseline; white-space: pre-wrap;"&gt;quando do julgamento da&lt;/span&gt; &lt;span style="font-size: 12pt; font-family: &amp;quot;Times New Roman&amp;quot;, serif; color: #000000; background-color: transparent; </w:t>
            </w:r>
            <w:r>
              <w:rPr>
                <w:spacing w:val="-4"/>
                <w:sz w:val="20"/>
              </w:rPr>
              <w:t>font- </w:t>
            </w:r>
            <w:r>
              <w:rPr>
                <w:sz w:val="20"/>
              </w:rPr>
              <w:t>style: normal; font-variant: normal; text-decoration: none; vertical-align: baseline; white- space: pre-wrap;"&gt; &lt;strong&gt;Ação Declaratória Negativa de Débito c/c Condenação a Indenização por Danos Morais e Materiais&lt;/strong&gt;&lt;/span&gt;&lt;span style="font-size: 12pt; font-family: 'Times New Roman',serif; color: #000000; background-color: transparent; font- weight: 400; font-style: normal; font-variant: normal; text-decoration: none; vertical-align: baseline; white-space: pre-wrap;"&gt;, intentada em face do&lt;/span&gt; &lt;span style="font-size: 12pt; font-family: &amp;quot;Times New Roman&amp;quot;, serif; color: #000000; background-color: transparent; font-style: normal; font-variant: normal; text-decoration: none; vertical-align: baseline; white-space: pre-wrap;"&gt; &lt;strong&gt;Banco do Brasil S.A.&lt;/strong&gt;&lt;/span&gt;&lt;/p&gt;&lt;p style="line-height: 1.7999999999999998; text-indent: 70.86614173228347pt; text-align: justify; margin-top: 12pt; margin-bottom: 12pt;" dir="ltr"&gt; &lt;span style="font-size: 12pt; font- family: &amp;quot;Times New Roman&amp;quot;, serif; color: #000000; background-color: transparent; font-style: normal; font-variant: normal; text-decoration: none; vertical-align: baseline; white-space: pre-wrap;"&gt;</w:t>
              <w:tab/>
              <w:t>&lt;strong&gt;Em suas razões de id 27368665&lt;/strong&gt;</w:t>
            </w:r>
          </w:p>
          <w:p>
            <w:pPr>
              <w:pStyle w:val="TableParagraph"/>
              <w:spacing w:line="208" w:lineRule="auto" w:before="0"/>
              <w:ind w:right="18"/>
              <w:rPr>
                <w:sz w:val="20"/>
              </w:rPr>
            </w:pPr>
            <w:r>
              <w:rPr>
                <w:sz w:val="20"/>
              </w:rPr>
              <w:t>&lt;/span&gt;  &lt;span style="font-size: 12pt; font-family: 'Times New Roman',serif; color: #000000; background-color: transparent; font-weight: 400; font-style: normal; font-variant: normal; text-decoration: none; vertical-align: baseline; white-space: pre-wrap;"&gt;, a autora afirma que no caso em tela, o banco juntou um contrato com assinatura a punho que sria da requerente. Entretanto, conforme o próprio documento de análise juntado pelo requerido é possível constatar as divergências da assinatura contratual. Destaca que há a percepção na assinatura contratual, mesmo a olho nu, da condição em que se encontra a assinatura, estando parcialmente apagada, e com diferenciações importantes da assinatura da requerente. É forçoso admitir que todas as assinaturas contidas no instrumento contratual não pertencem à requerente. Neste caso, é evidentemente imprescindível a análise grafotécnica do contrato para aferir sua validade e legalidade, tema central da lide e problema principal do processo. Entende ser evidente o prejuízo causado a apelante por ter sido privada de produzir as demais provas a que pretendia, principalmente pela não determinação de exame por perito grafotécnico, o que, indubitavelmente, é prova imprescindível ao deslinde do feito. Requer que seja dado provimento ao recurso, reformando-se a decisão do Juiz de 1a Grau, condenando a Requerida nos termos do pedido inicial. Roga ainda que seja declarada a insubsistência </w:t>
            </w:r>
            <w:r>
              <w:rPr>
                <w:spacing w:val="-9"/>
                <w:sz w:val="20"/>
              </w:rPr>
              <w:t>da </w:t>
            </w:r>
            <w:r>
              <w:rPr>
                <w:sz w:val="20"/>
              </w:rPr>
              <w:t>sentença e o retorno dos autos para processamento, com a determinação de perícia grafotécnica.&lt;/span&gt;&lt;/p&gt;&lt;p style="line-height: 1.7999999999999998; text-indent: 70.86614173228347pt; text-align: justify; margin-top: 12pt; margin-bottom: 12pt;" dir="ltr"&gt;&lt;span style="font-size: 12pt; font-family: &amp;quot;Times New Roman&amp;quot;, serif; color: #000000; background-color: transparent; font-style: normal; font-variant: normal; text- decoration: none; vertical-align: baseline; white-space: pre-wrap;"&gt;</w:t>
            </w:r>
          </w:p>
          <w:p>
            <w:pPr>
              <w:pStyle w:val="TableParagraph"/>
              <w:spacing w:line="208" w:lineRule="auto" w:before="0"/>
              <w:rPr>
                <w:sz w:val="20"/>
              </w:rPr>
            </w:pPr>
            <w:r>
              <w:rPr>
                <w:sz w:val="20"/>
              </w:rPr>
              <w:t>&lt;strong&gt;C&lt;/strong&gt;&lt;/span&gt;&lt;span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pre-wrap;"&gt;</w:t>
            </w:r>
          </w:p>
          <w:p>
            <w:pPr>
              <w:pStyle w:val="TableParagraph"/>
              <w:spacing w:line="205" w:lineRule="exact" w:before="0"/>
              <w:rPr>
                <w:sz w:val="20"/>
              </w:rPr>
            </w:pPr>
            <w:r>
              <w:rPr>
                <w:sz w:val="20"/>
              </w:rPr>
              <w:t>&lt;strong&gt;ontraminuta da instituição financeira consta ao id 27368669.&lt;/strong&gt;&lt;/span&gt;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pre-wrap;"&gt;Afirma na oportunidade a ausência de pretensão resistida e defende a validade da contratação. Requer que a sentença seja mantida por seus próprios fundamentos.&amp;#160;&lt;/span&gt;&lt;/p&gt;&lt;p style="line-height: 1.7999999999999998; text-indent: 70.86614173228347pt; text-align: justify; margin-top: 12pt; margin-bottom: 12pt;" dir="ltr"&gt;</w:t>
            </w:r>
          </w:p>
          <w:p>
            <w:pPr>
              <w:pStyle w:val="TableParagraph"/>
              <w:spacing w:line="208" w:lineRule="auto" w:before="0"/>
              <w:ind w:right="103"/>
              <w:rPr>
                <w:sz w:val="20"/>
              </w:rPr>
            </w:pPr>
            <w:r>
              <w:rPr>
                <w:sz w:val="20"/>
              </w:rPr>
              <w:t>&lt;span style="font-size: 12pt; font-family: 'Times New Roman',serif; color: #000000; background-color: transparent; font-weight: 400; font-style: normal; font-variant: normal; text-decoration: none; vertical-align: baseline; white-space: pre-wrap;"&gt;Deixei de remeter os autos ao Ministério Público, uma vez que o presente caso não se enquadra nas hipóteses – não envolve interesse de incapazes, nem litígios coletivos – que exigem a intervenção ministerial obrigatória, conforme prevê o art. 178 do Código de Processo Civil.&lt;/span&gt; &lt;span style="font-size: small; text-align: center;"&gt;&amp;#160;&lt;/span&gt;&lt;/p&gt;&lt;p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pre-wrap;"&gt;É o relatório.&lt;/span&gt;&lt;/p&gt;&lt;p style="line-height: 1.7999999999999998; text-indent: 70.86614173228347pt; text-align: justify; margin-top: 12pt; margin-bottom: 12pt;" dir="ltr"&gt; &lt;strong style="font-size: small; text-align: center;"&gt;</w:t>
            </w:r>
          </w:p>
          <w:p>
            <w:pPr>
              <w:pStyle w:val="TableParagraph"/>
              <w:tabs>
                <w:tab w:pos="3288" w:val="left" w:leader="none"/>
              </w:tabs>
              <w:spacing w:line="208" w:lineRule="auto" w:before="0"/>
              <w:ind w:right="584"/>
              <w:rPr>
                <w:sz w:val="20"/>
              </w:rPr>
            </w:pPr>
            <w:r>
              <w:rPr>
                <w:sz w:val="20"/>
              </w:rPr>
              <w:t>&lt;span style="font-size: medium;"&gt;</w:t>
              <w:tab/>
              <w:t>&lt;span style="font-family: &amp;quot;times new roman&amp;quot;, times;"&gt;&amp;#160; &amp;#160; &amp;#160; &amp;#160; &amp;#160; &amp;#160; &amp;#160; &amp;#160; &amp;#160; &amp;#160; &amp;#160; &amp;#160; &amp;#160; &amp;#160; &amp;#160; &amp;#160; &amp;#160; &amp;#160; </w:t>
            </w:r>
            <w:r>
              <w:rPr>
                <w:spacing w:val="-3"/>
                <w:sz w:val="20"/>
              </w:rPr>
              <w:t>&amp;#160; </w:t>
            </w:r>
            <w:r>
              <w:rPr>
                <w:sz w:val="20"/>
              </w:rPr>
              <w:t>&amp;#160; &amp;#160; &amp;#160; &amp;#160; &amp;#160; &amp;#160; &amp;#160; &amp;#160; &amp;#160; &amp;#160; </w:t>
            </w:r>
            <w:r>
              <w:rPr>
                <w:spacing w:val="-3"/>
                <w:sz w:val="20"/>
              </w:rPr>
              <w:t>&amp;#160;</w:t>
            </w:r>
          </w:p>
          <w:p>
            <w:pPr>
              <w:pStyle w:val="TableParagraph"/>
              <w:tabs>
                <w:tab w:pos="4432" w:val="left" w:leader="none"/>
              </w:tabs>
              <w:spacing w:line="208" w:lineRule="auto" w:before="0"/>
              <w:ind w:right="20"/>
              <w:rPr>
                <w:sz w:val="20"/>
              </w:rPr>
            </w:pPr>
            <w:r>
              <w:rPr>
                <w:sz w:val="20"/>
              </w:rPr>
              <w:t>&amp;#160; &amp;#160; &amp;#160; &amp;#160; &amp;#160;&lt;/span&gt;</w:t>
              <w:tab/>
              <w:t>&lt;span style="font-size: large;"&gt;VOTO&lt;/span&gt;&lt;/span&gt; &lt;/strong&gt;&lt;/p&gt;&lt;p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pre-wrap;"&gt;Adianto que a presente Apelação Cível não preenche integralmente os pressupostos de admissibilidade.&lt;/span&gt;&lt;/p&gt;&lt;p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pre-wrap;"&gt;O princípio da dialeticidade exige que o recurso apresente as razões pelas quais a parte recorrente deseja a reforma, invalidação ou integração da decisão recorrida, atacando especificamente os fundamentos lançados pelo juízo&lt;/span&gt; &lt;span style="font-size: 12pt; font-family: 'Times New Roman',serif; color: #000000; background-color: transparent; font- weight: 400; font-style: italic; font-variant: normal; text-decoration: none; vertical-align: baseline; white-space: pre-wrap;"&gt;a quo&lt;/span&gt;&lt;span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pre-wrap;"&gt;.&lt;/span&gt;&lt;/p&gt;&lt;p style="line-height: 1.7999999999999998; text-indent: 70.86614173228347pt; text-align: justify; margin-top: 12pt; margin-bottom: 0pt;" dir="ltr"&gt;</w:t>
            </w:r>
          </w:p>
          <w:p>
            <w:pPr>
              <w:pStyle w:val="TableParagraph"/>
              <w:spacing w:line="208" w:lineRule="auto" w:before="0"/>
              <w:ind w:right="30"/>
              <w:rPr>
                <w:sz w:val="20"/>
              </w:rPr>
            </w:pPr>
            <w:r>
              <w:rPr>
                <w:sz w:val="20"/>
              </w:rPr>
              <w:t>&lt;span style="font-size: 12pt; font-family: 'Times New Roman',serif; color: #000000; background-color: transparent; font-weight: 400; font-style: normal; font-variant: normal; text-decoration: none; vertical-align: baseline; white-space: pre-wrap;"&gt;No caso, a apelante insurge-se contra a improcedência do pedido, alegando que o contrato é fraudulento e que o juiz não determinou a perícia grafotécnica.&lt;/span&gt;&lt;/p&gt;&lt;p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pre-wrap;"&gt;Ocorre que a sentença de mérito baseou-se em uma premissa fática e processual específica que não é devidamente rebatida. O juiz de primeiro grau declarou a total improcedência por ter concluído pela suficiência da prova apresentada pela instituição financeira.&amp;#160;&lt;/span&gt;&lt;/p&gt;&lt;p style="line-height: 1.7999999999999998; text-indent: 70.86614173228347pt; text-align: justify; margin-top: 12pt; margin-bottom: 0pt;" dir="ltr"&gt;</w:t>
            </w:r>
          </w:p>
          <w:p>
            <w:pPr>
              <w:pStyle w:val="TableParagraph"/>
              <w:spacing w:line="208" w:lineRule="auto" w:before="0"/>
              <w:ind w:right="154"/>
              <w:rPr>
                <w:sz w:val="20"/>
              </w:rPr>
            </w:pPr>
            <w:r>
              <w:rPr>
                <w:sz w:val="20"/>
              </w:rPr>
              <w:t>&lt;span style="font-size: 12pt; font-family: 'Times New Roman',serif; color: #000000; background-color: transparent; font-weight: 400; font-style: normal; font-variant: normal; text-decoration: none; vertical-align: baseline; white-space: pre-wrap;"&gt;Na espécie tem-se que a análise da marcha processual revela que a ausência de dilação probatória ocorreu por inércia da própria parte, senão vejamos:&lt;/span&gt;&lt;/p&gt;&lt;p style="line-height: 1.7999999999999998; text-indent: 70.86614173228347pt; text-align: justify; margin-top: 12pt; margin-bottom: 0pt;" dir="ltr"&gt; &lt;span style="background-color: transparent; font- family: &amp;quot;Times New Roman&amp;quot;, serif; font-size: 12pt; white-space-collapse: preserve; text-indent: 70.8661pt;"&gt;1. O banco apelado apresentou sua contestação,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juntando o instrumento contratual impugnado.&lt;/span&gt;&lt;/p&gt;&lt;p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pre-wrap;"&gt;2. O advogado da apelante foi devidamente intimado para apresentar réplica. A réplica é o momento processual oportuno para a parte autora impugnar especificamente </w:t>
            </w:r>
            <w:r>
              <w:rPr>
                <w:spacing w:val="-9"/>
                <w:sz w:val="20"/>
              </w:rPr>
              <w:t>os </w:t>
            </w:r>
            <w:r>
              <w:rPr>
                <w:sz w:val="20"/>
              </w:rPr>
              <w:t>documentos e a defesa de mérito e para ratificar o pedido de perícia ou especificar as provas a produzir.&lt;/span&gt;&lt;/p&gt;&lt;p style="line-height: 1.7999999999999998; text-indent: 70.86614173228347pt; text-align: justify; margin-top: 12pt; margin-bottom: 0pt;" dir="ltr"&gt;</w:t>
            </w:r>
          </w:p>
          <w:p>
            <w:pPr>
              <w:pStyle w:val="TableParagraph"/>
              <w:spacing w:line="208" w:lineRule="auto" w:before="0"/>
              <w:ind w:right="131"/>
              <w:rPr>
                <w:sz w:val="20"/>
              </w:rPr>
            </w:pPr>
            <w:r>
              <w:rPr>
                <w:sz w:val="20"/>
              </w:rPr>
              <w:t>&lt;span style="font-size: 12pt; font-family: 'Times New Roman',serif; color: #000000; background-color: transparent; font-weight: 400; font-style: normal; font-variant: normal; text-decoration: none; vertical-align: baseline; white-space: pre-wrap;"&gt;3. A Certidão processual é clara ao atestar que não houve réplica.&lt;/span&gt;&lt;/p&gt;&lt;p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pre-wrap;"&gt;4. Na Audiência de Conciliação (maio de 2025), o advogado da parte autora/apelante manifestou expressamente o desinteresse na audiência de instrução e </w:t>
            </w:r>
            <w:r>
              <w:rPr>
                <w:spacing w:val="-10"/>
                <w:sz w:val="20"/>
              </w:rPr>
              <w:t>na </w:t>
            </w:r>
            <w:r>
              <w:rPr>
                <w:sz w:val="20"/>
              </w:rPr>
              <w:t>oitiva de depoimento pessoal, requerendo o julgamento antecipado da lide com fundamento no art. 355 do CPC, alegando que as provas documentais seriam suficientes.&lt;/span&gt;&lt;/p&gt;&lt;p style="line-height: 1.7999999999999998; text-indent: 70.86614173228347pt; text-align: justify; margin-top: 12pt; margin-bottom: 0pt;" dir="ltr"&gt;</w:t>
            </w:r>
          </w:p>
          <w:p>
            <w:pPr>
              <w:pStyle w:val="TableParagraph"/>
              <w:spacing w:line="208" w:lineRule="auto" w:before="0"/>
              <w:ind w:right="96"/>
              <w:rPr>
                <w:sz w:val="20"/>
              </w:rPr>
            </w:pPr>
            <w:r>
              <w:rPr>
                <w:sz w:val="20"/>
              </w:rPr>
              <w:t>&lt;span style="font-size: 12pt; font-family: 'Times New Roman',serif; color: #000000; background-color: transparent; font-weight: 400; font-style: normal; font-variant: normal; text-decoration: none; vertical-align: baseline; white-space: pre-wrap;"&gt;Ao requerer o julgamento antecipado da lide, a apelante demonstrou a desnecessidade de dilação probatória, convalidando a ausência de réplica e renunciando tacitamente à produção de provas que poderiam sustentar sua alegação.&lt;/span&gt;&lt;/p&gt;&lt;p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pre-wrap;"&gt;Conforme o direito processual, a preclusão consumativa se verifica quando o ato processual não é realizado no prazo oportuno. A parte autora, devidamente intimada </w:t>
            </w:r>
            <w:r>
              <w:rPr>
                <w:spacing w:val="-18"/>
                <w:sz w:val="20"/>
              </w:rPr>
              <w:t>a </w:t>
            </w:r>
            <w:r>
              <w:rPr>
                <w:sz w:val="20"/>
              </w:rPr>
              <w:t>se manifestar sobre a prova do réu, não o fez. Posteriormente, reforçou seu desinteresse na instrução.&lt;/span&gt;&lt;/p&gt;&lt;p style="line-height: 1.7999999999999998; text-indent: 70.86614173228347pt; text-align: justify; margin-top: 12pt; margin-bottom: 0pt;" dir="ltr"&gt;</w:t>
            </w:r>
          </w:p>
          <w:p>
            <w:pPr>
              <w:pStyle w:val="TableParagraph"/>
              <w:spacing w:line="208" w:lineRule="auto" w:before="0"/>
              <w:ind w:right="98"/>
              <w:rPr>
                <w:sz w:val="20"/>
              </w:rPr>
            </w:pPr>
            <w:r>
              <w:rPr>
                <w:sz w:val="20"/>
              </w:rPr>
              <w:t>&lt;span style="font-size: 12pt; font-family: 'Times New Roman',serif; color: #000000; background-color: transparent; font-weight: 400; font-style: normal; font-variant: normal; text-decoration: none; vertical-align: baseline; white-space: pre-wrap;"&gt;O juízo singular, </w:t>
            </w:r>
            <w:r>
              <w:rPr>
                <w:spacing w:val="-9"/>
                <w:sz w:val="20"/>
              </w:rPr>
              <w:t>ao </w:t>
            </w:r>
            <w:r>
              <w:rPr>
                <w:sz w:val="20"/>
              </w:rPr>
              <w:t>proferir a sentença de improcedência (mérito) com base na análise da prova documental apenas atendeu ao pedido de julgamento antecipado formulado pela própria apelante.&lt;/span&gt;&lt;/p&gt;&lt;p style="line-height: 1.7999999999999998; text-indent: 70.86614173228347pt; text-align: justify; margin-top: 12pt; margin-bottom: 0pt;" dir="ltr"&gt;</w:t>
            </w:r>
          </w:p>
          <w:p>
            <w:pPr>
              <w:pStyle w:val="TableParagraph"/>
              <w:spacing w:line="208" w:lineRule="auto" w:before="0"/>
              <w:ind w:right="54"/>
              <w:rPr>
                <w:sz w:val="20"/>
              </w:rPr>
            </w:pPr>
            <w:r>
              <w:rPr>
                <w:sz w:val="20"/>
              </w:rPr>
              <w:t>&lt;span style="font-size: 12pt; font-family: 'Times New Roman',serif; color: #000000; background-color: transparent; font-weight: 400; font-style: normal; font-variant: normal; text-decoration: none; vertical-align: baseline; white-space: pre-wrap;"&gt;Dessa forma, a alegação de cerceamento de defesa por ausência de prova pericial, neste momento recursal, encontra-se preclusa.&amp;#160;&lt;/span&gt; &lt;span style="background-color: transparent; font-family: &amp;quot;Times New Roman&amp;quot;, serif; font-size: 12pt; white- space-collapse: preserve; text-indent: 70.8661pt;"&gt;Em suma, entendo que a alegação de cerceamento de defesa após a parte ter voluntariamente renunciado à fase instrutória e solicitado o julgamento antecipado, é comportamento contraditório.&amp;#160;&lt;/span&gt;&lt;/p&gt;&lt;p style="line-height: 1.7999999999999998; text-indent: 70.86614173228347pt; text-align: justify; margin-top: 12pt; margin-bottom: 0pt;" dir="ltr"&gt; &lt;span style="font-size: 12pt; font- family: 'Times New Roman',serif; color: #000000; background-color: transparent; font- weight: 400; font-style: normal; font-variant: normal; text-decoration: none; vertical-align: baseline; white-space: pre-wrap;"&gt;A decisão recorrida, portanto, deve ser mantida por </w:t>
            </w:r>
            <w:r>
              <w:rPr>
                <w:spacing w:val="-4"/>
                <w:sz w:val="20"/>
              </w:rPr>
              <w:t>falta </w:t>
            </w:r>
            <w:r>
              <w:rPr>
                <w:sz w:val="20"/>
              </w:rPr>
              <w:t>de impugnação específica da causa de pedir da improcedência, que se funda na ausência de elementos que demandassem instrução, conforme atestado pela própria parte autora.&lt;/span&gt;&lt;/p&gt;&lt;p style="line-height: 1.7999999999999998; text-indent: 70.86614173228347pt; text-align: justify; margin-top: 12pt; margin-bottom: 0pt;" dir="ltr"&gt;</w:t>
            </w:r>
          </w:p>
          <w:p>
            <w:pPr>
              <w:pStyle w:val="TableParagraph"/>
              <w:spacing w:line="208" w:lineRule="auto" w:before="0"/>
              <w:ind w:right="560"/>
              <w:jc w:val="both"/>
              <w:rPr>
                <w:sz w:val="20"/>
              </w:rPr>
            </w:pPr>
            <w:r>
              <w:rPr>
                <w:sz w:val="20"/>
              </w:rPr>
              <w:t>&lt;span style="font-size: 12pt; font-family: &amp;quot;Times New Roman&amp;quot;, serif; color: #000000; background-color: transparent; font-style: normal; font-variant: normal; text- decoration: none; vertical-align: baseline; white-space: pre-wrap;"&gt;</w:t>
            </w:r>
          </w:p>
          <w:p>
            <w:pPr>
              <w:pStyle w:val="TableParagraph"/>
              <w:spacing w:line="208" w:lineRule="auto" w:before="0"/>
              <w:ind w:right="37"/>
              <w:jc w:val="both"/>
              <w:rPr>
                <w:sz w:val="20"/>
              </w:rPr>
            </w:pPr>
            <w:r>
              <w:rPr>
                <w:sz w:val="20"/>
              </w:rPr>
              <w:t>&lt;strong&gt;DISPOSITIVO&lt;/strong&gt; &lt;/span&gt;&lt;/p&gt;&lt;p style="line-height: 1.7999999999999998; text-indent: 70.86614173228347pt; text-align: justify; margin-top: 12pt; margin-bottom: 0pt;" dir="ltr"&gt; &lt;span style="font-size: 12pt; font-family: &amp;quot;Times New Roman&amp;quot;, serif;</w:t>
            </w:r>
          </w:p>
        </w:tc>
      </w:tr>
    </w:tbl>
    <w:p>
      <w:pPr>
        <w:spacing w:after="0" w:line="208" w:lineRule="auto"/>
        <w:jc w:val="both"/>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0204283-50.2023.8.06.0029</w:t>
            </w:r>
          </w:p>
        </w:tc>
      </w:tr>
      <w:tr>
        <w:trPr>
          <w:trHeight w:val="6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164" w:val="left" w:leader="none"/>
              </w:tabs>
              <w:spacing w:line="208" w:lineRule="auto" w:before="26"/>
              <w:ind w:right="31"/>
              <w:rPr>
                <w:sz w:val="20"/>
              </w:rPr>
            </w:pPr>
            <w:r>
              <w:rPr>
                <w:sz w:val="20"/>
              </w:rPr>
              <w:t>color: #000000; background-color: transparent; font-style: normal; font-variant: normal; </w:t>
            </w:r>
            <w:r>
              <w:rPr>
                <w:spacing w:val="-4"/>
                <w:sz w:val="20"/>
              </w:rPr>
              <w:t>text- </w:t>
            </w:r>
            <w:r>
              <w:rPr>
                <w:sz w:val="20"/>
              </w:rPr>
              <w:t>decoration: none; vertical-align: baseline; white-space: pre-wrap;"&gt;</w:t>
              <w:tab/>
              <w:t>&lt;strong&gt;Pelo exposto, me manifesto no sentido de NÃO CONHECER do presente Recurso de Apelação Cível, em razão da ausência de dialeticidade recursal e da preclusão do direito à produção de provas suscitada pela própria apelante no curso do processo.&lt;/strong&gt; &lt;/span&gt;&lt;/p&gt;&lt;p style="line-height: 1.7999999999999998; text-indent: 70.86614173228347pt; text-align: justify; margin-top: 12pt; margin-bottom: 0pt;" dir="ltr"&gt; &lt;span style="font-size: 12pt; font- family: 'Times New Roman',serif; color: #000000; background-color: transparent; font- weight: 400; font-style: normal; font-variant: normal; text-decoration: none; vertical-align: baseline; white-space: pre-wrap;"&gt;Majoro os honorários para o percentual de 15% (quinze por cento) do valor da causa, com as ressalvas de a autora ser beneficiária da justiça gratuita.&lt;/span&gt;&lt;/p&gt;&lt;p style="line-height: 1.7999999999999998; text-indent: 70.86614173228347pt; text-align: justify; margin-top: 12pt; margin-bottom: 0pt;" dir="ltr"&gt;</w:t>
            </w:r>
          </w:p>
          <w:p>
            <w:pPr>
              <w:pStyle w:val="TableParagraph"/>
              <w:spacing w:line="208" w:lineRule="auto" w:before="0"/>
              <w:ind w:right="262"/>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70.86614173228347pt; text-align: justify; margin-top: 12pt; margin-bottom: 0pt;"</w:t>
            </w:r>
            <w:r>
              <w:rPr>
                <w:spacing w:val="-18"/>
                <w:sz w:val="20"/>
              </w:rPr>
              <w:t> </w:t>
            </w:r>
            <w:r>
              <w:rPr>
                <w:sz w:val="20"/>
              </w:rPr>
              <w:t>dir="ltr"&gt;</w:t>
            </w:r>
          </w:p>
          <w:p>
            <w:pPr>
              <w:pStyle w:val="TableParagraph"/>
              <w:tabs>
                <w:tab w:pos="1327" w:val="left" w:leader="none"/>
                <w:tab w:pos="5232" w:val="left" w:leader="none"/>
                <w:tab w:pos="7522" w:val="left" w:leader="none"/>
              </w:tabs>
              <w:spacing w:line="208" w:lineRule="auto" w:before="0"/>
              <w:ind w:right="107"/>
              <w:rPr>
                <w:sz w:val="20"/>
              </w:rPr>
            </w:pPr>
            <w:r>
              <w:rPr>
                <w:sz w:val="20"/>
              </w:rPr>
              <w:t>&lt;span style="font-family: &amp;quot;times new roman&amp;quot;, times; font-size: medium; text- indent: 8%;"&gt;Fortaleza/CE, data registrada no sistema.&lt;/span&gt;&lt;/p&gt;&lt;p style="text-indent: 8%; text-align: justify;"&gt;  &lt;span style="font-size: small;"&gt;</w:t>
              <w:tab/>
              <w:t>&lt;span style="font-size: medium;"&gt;</w:t>
              <w:tab/>
              <w:t>&lt;span style="font-family: &amp;quot;times new roman&amp;quot;, times;"&gt;</w:t>
              <w:tab/>
              <w:t>&lt;br</w:t>
            </w:r>
            <w:r>
              <w:rPr>
                <w:spacing w:val="1"/>
                <w:sz w:val="20"/>
              </w:rPr>
              <w:t> </w:t>
            </w:r>
            <w:r>
              <w:rPr>
                <w:spacing w:val="-9"/>
                <w:sz w:val="20"/>
              </w:rPr>
              <w:t>/&gt;</w:t>
            </w:r>
          </w:p>
          <w:p>
            <w:pPr>
              <w:pStyle w:val="TableParagraph"/>
              <w:tabs>
                <w:tab w:pos="985" w:val="left" w:leader="none"/>
                <w:tab w:pos="2682" w:val="left" w:leader="none"/>
                <w:tab w:pos="3995" w:val="left" w:leader="none"/>
                <w:tab w:pos="4963" w:val="left" w:leader="none"/>
                <w:tab w:pos="5920" w:val="left" w:leader="none"/>
              </w:tabs>
              <w:spacing w:line="208" w:lineRule="auto" w:before="0"/>
              <w:ind w:right="49"/>
              <w:rPr>
                <w:sz w:val="20"/>
              </w:rPr>
            </w:pPr>
            <w:r>
              <w:rPr>
                <w:sz w:val="20"/>
              </w:rPr>
              <w:t>&lt;/span&gt;</w:t>
              <w:tab/>
              <w:t>&lt;/span&gt; &lt;/span&gt;&lt;/p&gt;&lt;p style="text-indent: 8%; text-align: center;"&gt; &lt;span style="font-size: medium;"&gt;</w:t>
              <w:tab/>
              <w:t>&lt;strong style="font-size: small;"&gt;</w:t>
              <w:tab/>
              <w:t>&lt;span style="font-family: &amp;quot;times new roman&amp;quot;, times;"&gt;</w:t>
              <w:tab/>
              <w:t>&lt;br /&gt;</w:t>
              <w:tab/>
              <w:t>&lt;span style="font-size: 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AGIPLAN FINANCEIRA S.A. - CREDITO, FINANCIAMENTO E INVESTIMENTO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RODRIGO SCOPEL - (RS40004-A)</w:t>
            </w:r>
          </w:p>
          <w:p>
            <w:pPr>
              <w:pStyle w:val="TableParagraph"/>
              <w:spacing w:line="215" w:lineRule="exact" w:before="0"/>
              <w:rPr>
                <w:sz w:val="20"/>
              </w:rPr>
            </w:pPr>
            <w:r>
              <w:rPr>
                <w:sz w:val="20"/>
              </w:rPr>
              <w:t>VALERIA ANUNCIACAO DE MELO - (RJ144100-A)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LUCIA GONCALVES DO NASCIMENTO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MARIA MATTOS LANDIM SAMPAIO - (CE41406-A)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&lt;strong&gt;PROCESSO&lt;/strong&gt;:&amp;#160;3002595-91.2024.8.06.0112 -&amp;#160;APELAÇÃO</w:t>
            </w:r>
          </w:p>
          <w:p>
            <w:pPr>
              <w:pStyle w:val="TableParagraph"/>
              <w:tabs>
                <w:tab w:pos="6557" w:val="left" w:leader="none"/>
              </w:tabs>
              <w:spacing w:line="208" w:lineRule="auto" w:before="8"/>
              <w:ind w:right="945"/>
              <w:rPr>
                <w:sz w:val="20"/>
              </w:rPr>
            </w:pPr>
            <w:r>
              <w:rPr>
                <w:sz w:val="20"/>
              </w:rPr>
              <w:t>CÍVEL (198)&lt;/span&gt;  &lt;/span&gt;&lt;/p&gt;&lt;p&gt;  &lt;span style="font-size: small;"&gt;</w:t>
              <w:tab/>
              <w:t>&lt;span style="font-family: &amp;quot;times new roman&amp;quot;, times;"&gt;APELANTE: </w:t>
            </w:r>
            <w:r>
              <w:rPr>
                <w:spacing w:val="-3"/>
                <w:sz w:val="20"/>
              </w:rPr>
              <w:t>AGIPLAN </w:t>
            </w:r>
            <w:r>
              <w:rPr>
                <w:sz w:val="20"/>
              </w:rPr>
              <w:t>FINANCEIRA S.A. - CREDITO, FINANCIAMENTO E INVESTIMENTO&lt;/span&gt;</w:t>
            </w:r>
          </w:p>
          <w:p>
            <w:pPr>
              <w:pStyle w:val="TableParagraph"/>
              <w:tabs>
                <w:tab w:pos="4623" w:val="left" w:leader="none"/>
              </w:tabs>
              <w:spacing w:line="208" w:lineRule="auto" w:before="0"/>
              <w:ind w:right="234"/>
              <w:rPr>
                <w:sz w:val="20"/>
              </w:rPr>
            </w:pPr>
            <w:r>
              <w:rPr>
                <w:sz w:val="20"/>
              </w:rPr>
              <w:t>&lt;/span&gt;&lt;/p&gt;&lt;p&gt;  &lt;span style="font-size: small;"&gt;</w:t>
              <w:tab/>
              <w:t>&lt;span style="font-family: &amp;quot;times new roman&amp;quot;, times;"&gt;APELADO: LUCIA GONCALVES DO NASCIMENTO&lt;/span&gt;</w:t>
            </w:r>
          </w:p>
          <w:p>
            <w:pPr>
              <w:pStyle w:val="TableParagraph"/>
              <w:tabs>
                <w:tab w:pos="3884" w:val="left" w:leader="none"/>
                <w:tab w:pos="4629" w:val="left" w:leader="none"/>
                <w:tab w:pos="4868" w:val="left" w:leader="none"/>
                <w:tab w:pos="6164" w:val="left" w:leader="none"/>
              </w:tabs>
              <w:spacing w:line="208" w:lineRule="auto" w:before="0"/>
              <w:ind w:right="31"/>
              <w:rPr>
                <w:sz w:val="20"/>
              </w:rPr>
            </w:pPr>
            <w:r>
              <w:rPr>
                <w:sz w:val="20"/>
              </w:rPr>
              <w:t>&lt;/span&gt;&lt;/p&gt;&lt;p&gt;  &lt;span style="font-size: medium;"&gt;</w:t>
              <w:tab/>
              <w:t>&lt;span style="font-family: &amp;quot;times new roman&amp;quot;, times;"&gt;</w:t>
              <w:tab/>
              <w:t>&lt;br /&gt;</w:t>
              <w:tab/>
              <w:t>&lt;/span&gt; &lt;/span&gt;&lt;/p&gt;&lt;p style="line- height: 1.8; text-align: justify; margin-top: 12pt; margin-bottom: 0pt; padding-left: 150px;" dir="ltr"&gt; &lt;span style="font-size: 12pt; font-family: &amp;quot;Times New Roman&amp;quot;, serif; color: #000000; background-color: transparent; font-style: normal; font-variant: normal; </w:t>
            </w:r>
            <w:r>
              <w:rPr>
                <w:spacing w:val="-4"/>
                <w:sz w:val="20"/>
              </w:rPr>
              <w:t>text- </w:t>
            </w:r>
            <w:r>
              <w:rPr>
                <w:sz w:val="20"/>
              </w:rPr>
              <w:t>decoration: none; vertical-align: baseline; white-space: pre-wrap;"&gt;</w:t>
              <w:tab/>
              <w:t>&lt;strong&gt;Direito do Consumidor. Processo Civil. Apelação Cível em Ação Anulatória de Cobrança Indevida e Indenização. Instituição financeira não comprovou a regularidade da contratação. Falha na prestação do serviço. Dano material que deve ser restituído na forma dobrada. Danos morais fixados de forma adequada. Autorizada a compensação de valores. Sentença parcialmente reformada. Recurso conhecido e parcialmente provido.&lt;/strong&gt;</w:t>
            </w:r>
          </w:p>
          <w:p>
            <w:pPr>
              <w:pStyle w:val="TableParagraph"/>
              <w:tabs>
                <w:tab w:pos="939" w:val="left" w:leader="none"/>
                <w:tab w:pos="5119" w:val="left" w:leader="none"/>
              </w:tabs>
              <w:spacing w:line="208" w:lineRule="auto" w:before="0"/>
              <w:ind w:right="27"/>
              <w:rPr>
                <w:sz w:val="20"/>
              </w:rPr>
            </w:pPr>
            <w:r>
              <w:rPr>
                <w:sz w:val="20"/>
              </w:rPr>
              <w:t>&lt;/span&gt;&lt;/p&gt;&lt;p style="line-height: 1.8; text-align: justify; margin-top: 12pt; margin-bottom: 0pt; padding-left: 150px;" dir="ltr"&gt; &lt;span style="font-size: 12pt; font-family: &amp;quot;Times New Roman&amp;quot;, serif; color: #000000; background-color: transparent; font-style: normal; font-variant: normal; text-decoration: none; vertical-align: baseline; white-space: pre- wrap;"&gt;</w:t>
              <w:tab/>
              <w:t>&lt;strong&gt;I. Caso em exame&lt;/strong&gt; &lt;/span&gt;&lt;/p&gt;&lt;p style="line-height: 1.8; </w:t>
            </w:r>
            <w:r>
              <w:rPr>
                <w:spacing w:val="-4"/>
                <w:sz w:val="20"/>
              </w:rPr>
              <w:t>text- </w:t>
            </w:r>
            <w:r>
              <w:rPr>
                <w:sz w:val="20"/>
              </w:rPr>
              <w:t>align: justify; margin-top: 12pt; margin-bottom: 0pt; padding-left: 150px;" dir="ltr"&gt; &lt;span style="font-size: 12pt; font-family: 'Times New Roman',serif; color: #000000; background- color: transparent; font-weight: 400; font-style: normal; font-variant: normal; text-decoration: none; vertical-align: baseline; white-space: pre-wrap;"&gt;1. Cuida-se Apelação Cível interposta por Banco Agibank S.A, onde se insurge contra sentença que julgou procedente a Ação Anulatória de Cobrança Indevida e condenou a instituição financeira a restituir em dobro os valores descontados do benefício previdenciário da autora, bem como ao pagamento de indenização por danos morais.&lt;/span&gt;&lt;/p&gt;&lt;p style="line-height: 1.8; text- align: justify; margin-top: 12pt; margin-bottom: 0pt; padding-left: 150px;" dir="ltr"&gt; &lt;span style="font-size: 12pt; font-family: &amp;quot;Times New Roman&amp;quot;, serif; color: #000000; background-color: transparent; font-style: normal; font-variant: normal; text-decoration: none; vertical-align: baseline; white-space: pre-wrap;"&gt;</w:t>
              <w:tab/>
              <w:t>&lt;strong&gt;II. Questão em discussão&lt;/strong&gt; &lt;/span&gt;&lt;/p&gt;&lt;p style="line-height: 1.8; text-align: justify; margin-top: 12pt; margin-bottom: 0pt; padding-left: 150px;" dir="ltr"&gt; &lt;span style="font-size: 12pt; font- family: 'Times New Roman',serif; color: #000000; background-color: transparent; font- weight: 400; font-style: normal; font-variant: normal; text-decoration: none; vertical-align: baseline; white-space: pre-wrap;"&gt;2. Consiste em (I) verificar a validade da contratação do cartão de crédito consignado com reserva de margem consignável; (II) apurar o dever de indenizar e os termos da condenação, incluindo a repetição do indébito e danos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s>
              <w:spacing w:line="208" w:lineRule="auto" w:before="26"/>
              <w:ind w:right="42"/>
              <w:rPr>
                <w:sz w:val="20"/>
              </w:rPr>
            </w:pPr>
            <w:r>
              <w:rPr>
                <w:sz w:val="20"/>
              </w:rPr>
              <w:t>morais.&lt;/span&gt;&lt;/p&gt;&lt;p style="line-height: 1.8; text-align: justify; margin-top: 12pt; margin- bottom: 0pt; padding-left: 150px;" dir="ltr"&gt; &lt;span style="font-size: 12pt; font-family: &amp;quot;Times New Roman&amp;quot;, serif; color: #000000; background-color: transparent; </w:t>
            </w:r>
            <w:r>
              <w:rPr>
                <w:spacing w:val="-4"/>
                <w:sz w:val="20"/>
              </w:rPr>
              <w:t>font- </w:t>
            </w:r>
            <w:r>
              <w:rPr>
                <w:sz w:val="20"/>
              </w:rPr>
              <w:t>style: normal; font-variant: normal; text-decoration: none; vertical-align: baseline; white- space: pre-wrap;"&gt;</w:t>
              <w:tab/>
              <w:t>&lt;strong&gt;III. Razões de decidir&lt;/strong&gt; &lt;/span&gt;&lt;/p&gt;&lt;p style="line- height: 1.8; text-align: justify; margin-top: 12pt; margin-bottom: 12pt; padding-left: 150px;" dir="ltr"&gt; &lt;span style="font-size: 12pt; font-family: 'Times New Roman',serif; color: #000000; background-color: transparent; font-weight: 400; font-style: normal; font-variant: normal; text-decoration: none; vertical-align: baseline; white-space: pre-wrap;"&gt;3. A responsabilidade civil do fornecedor de serviços é objetiva, e a instituição financeira não comprovou a regularidade do contrato eletrônico, não apresentando elementos que confirmem a manifestação inequívoca de vontade da consumidora (Art. 14 do CDC; Súmulas 297 e 479 do STJ).&lt;/span&gt;&lt;/p&gt;&lt;p style="line-height: 1.8; text-align: justify; margin-top: 12pt; margin-bottom: 12pt; padding-left: 150px;" dir="ltr"&gt;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pre-wrap;"&gt;4. A restituição em dobro dos valores descontados indevidamente após 30/03/2021 é devida, em conformidade entedimento firmado quando do julgamento do EAREsp 676.608/RS, outrossim, fica autorizada a compensação entre os valores descontados e os creditados em favor da autora.&lt;/span&gt;&lt;/p&gt;&lt;p style="line-height: 1.8; text-align: justify; margin-top: 12pt; margin- bottom: 12pt; padding-left: 150px;" dir="ltr"&gt;&lt;span style="font-size: 12pt; font-family: 'Times New Roman',serif; color: #000000; background-color: transparent; font-weight: 400; font- style: normal; font-variant: normal; text-decoration: none; vertical-align: baseline; white- space: pre-wrap;"&gt;5. Considerando o dano moral&lt;/span&gt; &lt;span style="font-size: 12pt;</w:t>
            </w:r>
          </w:p>
          <w:p>
            <w:pPr>
              <w:pStyle w:val="TableParagraph"/>
              <w:tabs>
                <w:tab w:pos="5119" w:val="left" w:leader="none"/>
              </w:tabs>
              <w:spacing w:line="208" w:lineRule="auto" w:before="0"/>
              <w:ind w:right="76"/>
              <w:rPr>
                <w:sz w:val="20"/>
              </w:rPr>
            </w:pPr>
            <w:r>
              <w:rPr>
                <w:sz w:val="20"/>
              </w:rPr>
              <w:t>font-family: 'Times New Roman',serif; color: #000000; background-color: transparent; font- weight: 400; font-style: normal; font-variant: normal; text-decoration: none; vertical-align: baseline; white-space: pre-wrap;"&gt;decorrente dos descontos indevidos sobre o benefício previdenciário, a indenização fixada em R$ 5.000,00 (cinco mil reais) neste caso, é mantida, por ser razoável e proporcional à lesão sofrida e estar alinhada com jurisprudência desta Corte de Justiça.&lt;/span&gt;&lt;/p&gt;&lt;p style="line-height: 1.8; text-align: justify; margin-top: 12pt; margin-bottom: 0pt; padding-left: 150px;" dir="ltr"&gt; &lt;span style="font-size: 12pt; font-family: &amp;quot;Times New Roman&amp;quot;, serif; color: #000000; background-color: transparent; font-style: normal; font-variant: normal; text-decoration: none; vertical-align: baseline; white-space: pre-wrap;"&gt;</w:t>
              <w:tab/>
              <w:t>&lt;strong&gt;IV.</w:t>
            </w:r>
            <w:r>
              <w:rPr>
                <w:spacing w:val="-13"/>
                <w:sz w:val="20"/>
              </w:rPr>
              <w:t> </w:t>
            </w:r>
            <w:r>
              <w:rPr>
                <w:sz w:val="20"/>
              </w:rPr>
              <w:t>Dispositivo.&lt;/strong&gt;</w:t>
            </w:r>
          </w:p>
          <w:p>
            <w:pPr>
              <w:pStyle w:val="TableParagraph"/>
              <w:tabs>
                <w:tab w:pos="1885" w:val="left" w:leader="none"/>
                <w:tab w:pos="3862" w:val="left" w:leader="none"/>
                <w:tab w:pos="6592" w:val="left" w:leader="none"/>
              </w:tabs>
              <w:spacing w:line="208" w:lineRule="auto" w:before="0"/>
              <w:ind w:right="21"/>
              <w:rPr>
                <w:sz w:val="20"/>
              </w:rPr>
            </w:pPr>
            <w:r>
              <w:rPr>
                <w:sz w:val="20"/>
              </w:rPr>
              <w:t>&lt;/span&gt;  &lt;strong&gt;</w:t>
              <w:tab/>
              <w:t>&lt;span id="docs-internal-guid-8ddabbc5-7fff-fc66-bba1- 9df0a1b5f9e5"&gt;&amp;#160;&lt;/span&gt; &lt;/strong&gt;&lt;/p&gt;&lt;p style="line-height: 1.8; text-align: justify; margin-top: 12pt; margin-bottom: 0pt; padding-left: 150px;" dir="ltr"&gt; &lt;span style="font- size: 12pt; font-family: &amp;quot;Times New Roman&amp;quot;, serif; color: #000000; background- color: transparent; font-style: normal; font-variant: normal; text-decoration: none; vertical- align: baseline; white-space: pre-wrap;"&gt;</w:t>
              <w:tab/>
              <w:t>&lt;strong&gt;6. Recurso conhecido e parcialmente provido para, tão somente, autorizar a compensação dos valores comprovadamente revertidos a favor da consumidora, a ser apurado na fase de liquidação do julgado.&lt;/strong&gt;  &lt;/span&gt;&lt;/p&gt;&lt;p style="line-height: 1.8; text-align: justify; margin-top: 12pt; margin-bottom: 0pt; padding-left: 150px;" dir="ltr"&gt; &lt;span style="font-size: 12pt; font- family: 'Times New Roman',serif; color: #000000; background-color: transparent; font- weight: 400; font-style: normal; font-variant: normal; text-decoration: none; vertical-align: baseline; white-space: pre-wrap;"&gt;&amp;#160;&lt;/span&gt; &lt;span style="font-size: medium; font- family: &amp;quot;times new roman&amp;quot;, times;"&gt;ACÓRDÃO:&amp;#160;&lt;/span&gt; &lt;span style="background-color: transparent; font-family: &amp;quot;Times New Roman&amp;quot;, serif; font-size: 12pt; white-space-collapse: preserve;"&gt;Vistos, relatados e discutidos estes </w:t>
            </w:r>
            <w:r>
              <w:rPr>
                <w:spacing w:val="-3"/>
                <w:sz w:val="20"/>
              </w:rPr>
              <w:t>autos, </w:t>
            </w:r>
            <w:r>
              <w:rPr>
                <w:sz w:val="20"/>
              </w:rPr>
              <w:t>acorda a Quinta Câmara Direito Privado, por unanimidade, em conhecer o Recurso de Apelação Cível para DAR-LHE PARCIAL PROVIMENTO, nos termos do voto do Desembargador Relator.&lt;/span&gt;&lt;/p&gt;&lt;p style="line-height: 115%; margin-bottom: 0.21cm; padding-left: 150px;" align="justify"&gt;  &lt;span style="font-size: medium;"&gt;</w:t>
              <w:tab/>
              <w:t>&lt;span</w:t>
            </w:r>
          </w:p>
          <w:p>
            <w:pPr>
              <w:pStyle w:val="TableParagraph"/>
              <w:tabs>
                <w:tab w:pos="2682" w:val="left" w:leader="none"/>
                <w:tab w:pos="3805" w:val="left" w:leader="none"/>
                <w:tab w:pos="6251" w:val="left" w:leader="none"/>
                <w:tab w:pos="6307" w:val="left" w:leader="none"/>
              </w:tabs>
              <w:spacing w:line="208" w:lineRule="auto" w:before="0"/>
              <w:ind w:right="139"/>
              <w:rPr>
                <w:sz w:val="20"/>
              </w:rPr>
            </w:pPr>
            <w:r>
              <w:rPr>
                <w:sz w:val="20"/>
              </w:rPr>
              <w:t>style="font-family: &amp;quot;times new roman&amp;quot;, times;"&gt;F&lt;/span&gt;</w:t>
              <w:tab/>
              <w:t>&lt;span style="font- family: &amp;quot;times new roman&amp;quot;, times;"&gt;ortaleza, data registrada no sistema.&lt;/span&gt; &lt;/span&gt; &lt;span style="font-family: &amp;quot;times new roman&amp;quot;, </w:t>
            </w:r>
            <w:r>
              <w:rPr>
                <w:spacing w:val="-4"/>
                <w:sz w:val="20"/>
              </w:rPr>
              <w:t>times; </w:t>
            </w:r>
            <w:r>
              <w:rPr>
                <w:sz w:val="20"/>
              </w:rPr>
              <w:t>font-size: medium; text-align: start;"&gt;&amp;#160;&lt;/span&gt;&lt;/p&gt;&lt;p&gt;&amp;#160;&lt;/p&gt;&lt;p style="line- height: 100%; orphans: 0; widows: 0; margin-bottom: 0.21cm;" align="center"&gt; &lt;span style="font-size: medium;"&gt;</w:t>
              <w:tab/>
              <w:t>&lt;strong&gt;</w:t>
              <w:tab/>
              <w:t>&lt;span style="font-family: &amp;quot;times new roman&amp;quot;, times;"&gt;MARIA REGINA OLIVEIRA CÂMARA&lt;/span&gt;</w:t>
              <w:tab/>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times;"&gt;Desembargadora Presidente do Órgão Julgador&lt;/span&gt;</w:t>
            </w:r>
          </w:p>
          <w:p>
            <w:pPr>
              <w:pStyle w:val="TableParagraph"/>
              <w:tabs>
                <w:tab w:pos="2682" w:val="left" w:leader="none"/>
                <w:tab w:pos="2773" w:val="left" w:leader="none"/>
                <w:tab w:pos="3629" w:val="left" w:leader="none"/>
                <w:tab w:pos="3805" w:val="left" w:leader="none"/>
                <w:tab w:pos="4373" w:val="left" w:leader="none"/>
                <w:tab w:pos="4754"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107" w:val="left" w:leader="none"/>
              </w:tabs>
              <w:spacing w:line="215" w:lineRule="exact"/>
              <w:rPr>
                <w:sz w:val="20"/>
              </w:rPr>
            </w:pPr>
            <w:r>
              <w:rPr>
                <w:sz w:val="20"/>
              </w:rPr>
              <w:t>roman&amp;quot;, times;"&gt;FRANCISCO LUCÍDIO DE QUEIROZ JUNIOR&lt;/span&gt;</w:t>
              <w:tab/>
              <w:t>&lt;/strong&gt;</w:t>
            </w:r>
          </w:p>
          <w:p>
            <w:pPr>
              <w:pStyle w:val="TableParagraph"/>
              <w:tabs>
                <w:tab w:pos="4754" w:val="left" w:leader="none"/>
                <w:tab w:pos="7477" w:val="left" w:leader="none"/>
              </w:tabs>
              <w:spacing w:line="208" w:lineRule="auto" w:before="9"/>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2438" w:val="left" w:leader="none"/>
                <w:tab w:pos="3561" w:val="left" w:leader="none"/>
                <w:tab w:pos="7032" w:val="left" w:leader="none"/>
                <w:tab w:pos="7396" w:val="left" w:leader="none"/>
              </w:tabs>
              <w:spacing w:line="208" w:lineRule="auto" w:before="0"/>
              <w:ind w:right="35"/>
              <w:rPr>
                <w:sz w:val="20"/>
              </w:rPr>
            </w:pPr>
            <w:r>
              <w:rPr>
                <w:sz w:val="20"/>
              </w:rPr>
              <w:t>&lt;/span&gt;&lt;/p&gt;&lt;p style="text-align: center;"&gt;&amp;#160;&lt;/p&gt;&lt;p style="text-align: center;"&gt; &lt;span style="font-size: small;"&gt;</w:t>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20"/>
              <w:rPr>
                <w:sz w:val="20"/>
              </w:rPr>
            </w:pPr>
            <w:r>
              <w:rPr>
                <w:sz w:val="20"/>
              </w:rPr>
              <w:t>&lt;/strong&gt; &lt;/span&gt;&lt;/p&gt;&lt;p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pre-wrap;"&gt;Cuida-se</w:t>
            </w:r>
            <w:r>
              <w:rPr>
                <w:spacing w:val="-18"/>
                <w:sz w:val="20"/>
              </w:rPr>
              <w:t> </w:t>
            </w:r>
            <w:r>
              <w:rPr>
                <w:sz w:val="20"/>
              </w:rPr>
              <w:t>de&lt;/span&gt;</w:t>
            </w:r>
          </w:p>
          <w:p>
            <w:pPr>
              <w:pStyle w:val="TableParagraph"/>
              <w:spacing w:line="208" w:lineRule="auto" w:before="0"/>
              <w:ind w:right="13"/>
              <w:rPr>
                <w:sz w:val="20"/>
              </w:rPr>
            </w:pPr>
            <w:r>
              <w:rPr>
                <w:sz w:val="20"/>
              </w:rPr>
              <w:t>&lt;span style="font-size: 12pt; font-family: &amp;quot;Times New Roman&amp;quot;, serif; color: #000000; background-color: transparent; font-style: normal; font-variant: normal; text- decoration: none; vertical-align: baseline; white-space: pre-wrap;"&gt; &lt;strong&gt;Apelação Cível&lt;/strong&gt;&lt;/span&gt; &lt;span style="font-size: 12pt; font-family: 'Times New Roman',serif; color: #000000; background-color: transparent; font-weight: 400; font-style: normal; font- variant: normal; text-decoration: none; vertical-align: baseline; white-space: pre- wrap;"&gt;apresentada por&lt;/span&gt;&lt;span style="font-size: 12pt; font-family: &amp;quot;Times New Roman&amp;quot;, serif; color: #000000; background-color: transparent; font-style: normal; font- variant: normal; text-decoration: none; vertical-align: baseline; white-space: pre-wrap;"&gt;</w:t>
            </w:r>
          </w:p>
          <w:p>
            <w:pPr>
              <w:pStyle w:val="TableParagraph"/>
              <w:spacing w:line="208" w:lineRule="auto" w:before="0"/>
              <w:ind w:right="20"/>
              <w:rPr>
                <w:sz w:val="20"/>
              </w:rPr>
            </w:pPr>
            <w:r>
              <w:rPr>
                <w:sz w:val="20"/>
              </w:rPr>
              <w:t>&lt;strong&gt;Banco Agibank S.A&lt;/strong&gt;&lt;/span&gt;&lt;span style="font-size: 12pt; font-family: 'Times New Roman',serif; color: #000000; background-color: transparent; font-weight: 400; font-style: normal; font-variant: normal; text-decoration: none; vertical-align: baseline; white- space: pre-wrap;"&gt;, com o objetivo de ter reformada sentença prolatada pelo&lt;/span&gt;</w:t>
            </w:r>
          </w:p>
          <w:p>
            <w:pPr>
              <w:pStyle w:val="TableParagraph"/>
              <w:spacing w:line="208" w:lineRule="auto" w:before="0"/>
              <w:ind w:right="31"/>
              <w:rPr>
                <w:sz w:val="20"/>
              </w:rPr>
            </w:pPr>
            <w:r>
              <w:rPr>
                <w:sz w:val="20"/>
              </w:rPr>
              <w:t>&lt;span style="font-size: 12pt; font-family: &amp;quot;Times New Roman&amp;quot;, serif; color: #000000; background-color: transparent; font-style: normal; font-variant: normal; text- decoration: none; vertical-align: baseline; white-space: pre-wrap;"&gt; &lt;strong&gt;douto Juiz de Direito da 2ª Vara Cível da Comarca de Juazeiro do Norte&lt;/strong&gt;&lt;/span&gt;&lt;span style="font-size: 12pt; font-family: 'Times New Roman',serif; color: #000000; background- color: transparent; font-weight: 400; font-style: normal; font-variant: normal; text-decoration: none; vertical-align: baseline; white-space: pre-wrap;"&gt;, quando do julgamento da&lt;/span&gt;&lt;span style="font-size: 12pt; font-family: &amp;quot;Times New Roman&amp;quot;, serif; color: #000000; background-color: transparent; font-style: normal; font-variant: normal; text- decoration: none; vertical-align: baseline; white-space: pre-wrap;"&gt; &lt;strong&gt;Ação Anulatória de Cobrança Indevida c/c Pedido de Tutela Antecipada e Condenação em Danos Materiais e Morais&lt;/strong&gt;&lt;/span&gt;&lt;span style="font-size: 12pt; font-family: 'Times New Roman',serif; color: #000000; background-color: transparent; font-weight: 400; font- style: normal; font-variant: normal; text-decoration: none; vertical-align: baseline; white- space: pre-wrap;"&gt;, manejada em seu desfavor por&lt;/span&gt; &lt;span style="font-size: 12pt; font-family: &amp;quot;Times New Roman&amp;quot;, serif; color: #000000; background-color: transparent; font-style: normal; font-variant: normal; text-decoration: none; vertical-align: baseline; white-space: pre-wrap;"&gt; &lt;strong&gt;Lúcia Gonçalves do Nascimento.&lt;/strong&gt;&lt;/span&gt;&lt;/p&gt;&lt;p style="line-height: 1.7999999999999998; text-indent: 70.86614173228347pt; text-align: justify; margin-top: 12pt; margin-bottom: 12pt;" dir="ltr"&gt;</w:t>
            </w:r>
          </w:p>
          <w:p>
            <w:pPr>
              <w:pStyle w:val="TableParagraph"/>
              <w:spacing w:line="208" w:lineRule="auto" w:before="0"/>
              <w:ind w:right="64"/>
              <w:rPr>
                <w:sz w:val="20"/>
              </w:rPr>
            </w:pPr>
            <w:r>
              <w:rPr>
                <w:sz w:val="20"/>
              </w:rPr>
              <w:t>&lt;span style="font-size: 12pt; font-family: 'Times New Roman',serif; color: #000000; background-color: transparent; font-weight: 400; font-style: normal; font-variant: normal; text-decoration: none; vertical-align: baseline; white-space: pre-wrap;"&gt;Eis o teor do dispositivo da decisão impugnada (sentença de ID 28839554).&lt;/span&gt;&lt;/p&gt;&lt;p style="line- height: 1.8; text-indent: 70.8661pt; text-align: justify; margin-top: 12pt; margin-bottom: 12pt; padding-left: 150px;" dir="ltr"&gt; &lt;span style="font-size: 12pt; font-family: &amp;quot;Times New Roman&amp;quot;, serif; color: #000000; background-color: transparent; font-weight: 400; font- variant: normal; text-decoration: none; vertical-align: baseline; white-space: pre-wrap;"&gt;</w:t>
            </w:r>
          </w:p>
          <w:p>
            <w:pPr>
              <w:pStyle w:val="TableParagraph"/>
              <w:spacing w:line="208" w:lineRule="auto" w:before="0"/>
              <w:ind w:right="95"/>
              <w:rPr>
                <w:sz w:val="20"/>
              </w:rPr>
            </w:pPr>
            <w:r>
              <w:rPr>
                <w:sz w:val="20"/>
              </w:rPr>
              <w:t>&lt;em&gt;"Isto posto, julgo PROCEDENTE o pleito autoral, extinguindo o feito com julgamento de mérito (art. 487 do CPC), para os devidos fins: a) DECLARAR INEXISTENTE a contração de cartão de crédito com reserva de margem consignável (RMC) em nome da autora junto a instituição promovida, com a cessação imediata de seus efeitos; b) CONDENA o réu a restituir ao autor, em dobro, as parcelas descontadas do seu benefício em razão do contrato objeto da demanda, no valor a ser apurado em fase de liquidação, mediante apresentação dos extratos. c) CONDENAR o réu a compensar os danos morais no valor de R$ 5.000,00 (cinco mil reais). A quantia acima deverá ser liquidada com as devidas correções monetárias, sendo o ressarcimento desde a data de cada desconto (súmula 43, STJ), além de juros de 1% ao mês (taxa SELIC), e os danos morais desde o arbitramento (súmula 362 STJ), corrigidos pelo IPCA-e e juros moratórios de 1% a partir do evento danoso – taxa SELIC (súmula nº 54, STJ). Em razão da sucumbência, condeno a parte requerida ao pagamento as custas processuais e honorários sucumbenciais, que fixo em 20% (vinte por cento) sobre o valor da condenação, nos termos do art. 85, §2° do CPC".&lt;/em&gt; &lt;/span&gt;&lt;/p&gt;&lt;p style="line-height: 1.7999999999999998; text-indent: 70.86614173228347pt; text-align: justify; margin-top: 12pt; margin-bottom: 12pt;" dir="ltr"&gt;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164" w:val="left" w:leader="none"/>
              </w:tabs>
              <w:spacing w:line="208" w:lineRule="auto" w:before="26"/>
              <w:ind w:right="20"/>
              <w:rPr>
                <w:sz w:val="20"/>
              </w:rPr>
            </w:pPr>
            <w:r>
              <w:rPr>
                <w:sz w:val="20"/>
              </w:rPr>
              <w:t>&lt;span style="font-size: 12pt; font-family: &amp;quot;Times New Roman&amp;quot;, serif; color: #000000; background-color: transparent; font-style: normal; font-variant: normal; text- decoration: none; vertical-align: baseline; white-space: pre-wrap;"&gt;</w:t>
              <w:tab/>
              <w:t>&lt;strong&gt;O Banco, em suas razões de ID 28839556&lt;/strong&gt; &lt;/span&gt;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assevera que não há elementos probatórios que indiquem que a parte recorrida não tinha ciência dos termos contratuais, pois não se trata de pessoa analfabeta ou interditada, bem como o contrato apresenta todos aspectos regulares. Assim, resta demonstrado que inexiste qualquer irregularidade com relação a formalização do contrato de forma eletrônica, devendo o presente recurso interposto ser acolhido. Ademais, no presente caso se trata de contrato digital, firmado nos exatos termos do previsto na IN138 do INSS. É evidente que todo procedimento de formalização da operação, condições de pagamento e valores, foi submetido à parte autora, que esteve ciente e de acordo com ele, tanto que o assinou, sem qualquer avença quanto a parcelamento de dívida, mas sim a averbação de 5% da margem consignada para pagamento mínimo do cartão de crédito consignado, nos termos da legislação aplicável à matéria. Requer que seja julgada improcedente a demanda ajuizada ou que seja afastada a condenação. Alternativamente, que seja reduzido o quantum indenizatório, que a correção monetária e os juros tenham incidam desde a data do arbitramento, que a restituição seja na forma simples com incidência de juros da citação, e que seja autorização a compensação entre os créditos e débitos.&lt;/span&gt;&lt;/p&gt;&lt;p style="line-height: 1.7999999999999998; text-indent: 70.86614173228347pt; text-align: justify; margin-top: 12pt; margin-bottom: 12pt;" dir="ltr"&gt;</w:t>
            </w:r>
          </w:p>
          <w:p>
            <w:pPr>
              <w:pStyle w:val="TableParagraph"/>
              <w:tabs>
                <w:tab w:pos="6164" w:val="left" w:leader="none"/>
              </w:tabs>
              <w:spacing w:line="208" w:lineRule="auto" w:before="0"/>
              <w:ind w:right="18"/>
              <w:rPr>
                <w:sz w:val="20"/>
              </w:rPr>
            </w:pPr>
            <w:r>
              <w:rPr>
                <w:sz w:val="20"/>
              </w:rPr>
              <w:t>&lt;span style="font-size: 12pt; font-family: &amp;quot;Times New Roman&amp;quot;, serif; color: #000000; background-color: transparent; font-style: normal; font-variant: normal; text- decoration: none; vertical-align: baseline; white-space: pre-wrap;"&gt;</w:t>
              <w:tab/>
              <w:t>&lt;strong&gt;Ao seu tempo, na contraminuta de ID 28839564&lt;/strong&gt; &lt;/span&gt; &lt;span style="font-size: 12pt; font-family: 'Times New Roman',serif; color: #000000; background-color: transparent; font- weight: 400; font-style: normal; font-variant: normal; text-decoration: none; vertical-align: baseline; white-space: pre-wrap;"&gt;, alega a demandante que a decisão recorrida não merece qualquer reforma porque é justa e foi prolatada em sintonia com as normas vigentes que regem a matéria. Dessa forma, não há qualquer error in iudicando a ensejar </w:t>
            </w:r>
            <w:r>
              <w:rPr>
                <w:spacing w:val="-17"/>
                <w:sz w:val="20"/>
              </w:rPr>
              <w:t>a </w:t>
            </w:r>
            <w:r>
              <w:rPr>
                <w:sz w:val="20"/>
              </w:rPr>
              <w:t>reforma do julgado. Requer que a sentença seja confirmada.&lt;/span&gt;&lt;/p&gt;&lt;p style="line- height: 1.7999999999999998; text-indent: 70.86614173228347pt; text-align: justify; </w:t>
            </w:r>
            <w:r>
              <w:rPr>
                <w:spacing w:val="-3"/>
                <w:sz w:val="20"/>
              </w:rPr>
              <w:t>margin- </w:t>
            </w:r>
            <w:r>
              <w:rPr>
                <w:sz w:val="20"/>
              </w:rPr>
              <w:t>top: 12pt; margin-bottom: 12pt;" dir="ltr"&gt; &lt;span style="font-size: 12pt; font-family: 'Times New Roman',serif; color: #000000; background-color: transparent; font-weight: 400; font- style: normal; font-variant: normal; text-decoration: none; vertical-align: baseline; white- space: pre-wrap;"&gt;Deixei de enviar os autos à digna Procuradoria Geral de Justiça por se tratar de matéria eminentemente de direito patrimonial.&lt;/span&gt; &lt;span style="font-size: small; text-align: center;"&gt;&amp;#160;&lt;/span&gt;&lt;/p&gt;&lt;p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text-indent: 70.86614173228347pt; text-align: justify; margin-top: 12pt; margin-bottom: 12pt;" dir="ltr"&gt;</w:t>
            </w:r>
          </w:p>
          <w:p>
            <w:pPr>
              <w:pStyle w:val="TableParagraph"/>
              <w:tabs>
                <w:tab w:pos="1051" w:val="left" w:leader="none"/>
                <w:tab w:pos="4139" w:val="left" w:leader="none"/>
                <w:tab w:pos="7020" w:val="left" w:leader="none"/>
              </w:tabs>
              <w:spacing w:line="208" w:lineRule="auto" w:before="0"/>
              <w:ind w:right="31"/>
              <w:rPr>
                <w:sz w:val="20"/>
              </w:rPr>
            </w:pPr>
            <w:r>
              <w:rPr>
                <w:sz w:val="20"/>
              </w:rPr>
              <w:t>&lt;strong&gt;</w:t>
              <w:tab/>
              <w:t>&lt;span style="font-size: 12pt; font-family: &amp;quot;Times New Roman&amp;quot;, serif; color: #000000; background-color: transparent; font-style: normal; font-variant: normal; </w:t>
            </w:r>
            <w:r>
              <w:rPr>
                <w:spacing w:val="-4"/>
                <w:sz w:val="20"/>
              </w:rPr>
              <w:t>text- </w:t>
            </w:r>
            <w:r>
              <w:rPr>
                <w:sz w:val="20"/>
              </w:rPr>
              <w:t>decoration: none; vertical-align: baseline; white-space: pre-wrap;"&gt;V&lt;/span&gt;</w:t>
              <w:tab/>
              <w:t>&lt;span style="font-size: small; text-align: center;"&gt;</w:t>
              <w:tab/>
              <w:t>&lt;span style="font-size: medium;"&gt;</w:t>
            </w:r>
          </w:p>
          <w:p>
            <w:pPr>
              <w:pStyle w:val="TableParagraph"/>
              <w:tabs>
                <w:tab w:pos="7279" w:val="left" w:leader="none"/>
              </w:tabs>
              <w:spacing w:line="190" w:lineRule="exact" w:before="0"/>
              <w:rPr>
                <w:sz w:val="20"/>
              </w:rPr>
            </w:pPr>
            <w:r>
              <w:rPr>
                <w:sz w:val="20"/>
              </w:rPr>
              <w:t>&lt;span style="font-family: &amp;quot;times new roman&amp;quot;, times;"&gt;OTO&lt;/span&gt;</w:t>
              <w:tab/>
              <w:t>&lt;/span&gt;</w:t>
            </w:r>
          </w:p>
          <w:p>
            <w:pPr>
              <w:pStyle w:val="TableParagraph"/>
              <w:spacing w:line="208" w:lineRule="auto" w:before="6"/>
              <w:ind w:right="355"/>
              <w:rPr>
                <w:sz w:val="20"/>
              </w:rPr>
            </w:pPr>
            <w:r>
              <w:rPr>
                <w:sz w:val="20"/>
              </w:rPr>
              <w:t>&lt;/span&gt; &lt;/strong&gt;&lt;/p&gt;&lt;p style="line-height: 1.7999999999999998; text-indent: 70.86614173228347pt; text-align: justify; margin-top: 6pt; margin-bottom: 6pt;" dir="ltr"&gt;</w:t>
            </w:r>
          </w:p>
          <w:p>
            <w:pPr>
              <w:pStyle w:val="TableParagraph"/>
              <w:tabs>
                <w:tab w:pos="1328" w:val="left" w:leader="none"/>
                <w:tab w:pos="3662" w:val="left" w:leader="none"/>
              </w:tabs>
              <w:spacing w:line="208" w:lineRule="auto" w:before="0"/>
              <w:ind w:right="18"/>
              <w:rPr>
                <w:sz w:val="20"/>
              </w:rPr>
            </w:pPr>
            <w:r>
              <w:rPr>
                <w:sz w:val="20"/>
              </w:rPr>
              <w:t>&lt;span style="font-size: 12pt; font-family: &amp;quot;Times New Roman&amp;quot;, serif; color: #000000; background-color: transparent; font-style: normal; font-variant: normal; text- decoration-skip-ink: none; vertical-align: baseline; white-space: pre-wrap; text-decoration: underline;"&gt;</w:t>
              <w:tab/>
              <w:t>&lt;strong&gt;1 – Admissibilidade recursal.&lt;/strong&gt; &lt;/span&gt;&lt;/p&gt;&lt;p style="line- height: 1.7999999999999998; text-indent: 70.86614173228347pt; text-align: justify; </w:t>
            </w:r>
            <w:r>
              <w:rPr>
                <w:spacing w:val="-3"/>
                <w:sz w:val="20"/>
              </w:rPr>
              <w:t>margin- </w:t>
            </w:r>
            <w:r>
              <w:rPr>
                <w:sz w:val="20"/>
              </w:rPr>
              <w:t>top: 6pt; margin-bottom: 6pt;" dir="ltr"&gt; &lt;span style="font-size: 12pt; font-family: 'Times New Roman',serif; color: #000000; background-color: transparent; font-weight: 400; font- style: normal; font-variant: normal; text-decoration: none; vertical-align: baseline; white- space: pre-wrap;"&gt;Exercendo o juízo de admissibilidade recursal, constato a presença dos requisitos de admissibilidade extrínsecos e intrínsecos, pelo que conheço o Recurso de Apelação Cível, e passo à análise do mérito.&lt;/span&gt;&lt;/p&gt;&lt;p style="line-height: 1.7999999999999998; text-indent: 70.86614173228347pt; text-align: justify; margin-top: 6pt; margin-bottom: 6pt;" dir="ltr"&gt; &lt;span style="font-size: 12pt; font-family: &amp;quot;Times New Roman&amp;quot;, serif; color: #000000; background-color: transparent; font-style: normal; font-variant: normal; text-decoration-skip-ink: none; vertical-align: baseline; white-space: pre-wrap; text-decoration: underline;"&gt;</w:t>
              <w:tab/>
              <w:t>&lt;strong&gt;2 – Mérito Recursal.&lt;/strong&gt;</w:t>
            </w:r>
          </w:p>
          <w:p>
            <w:pPr>
              <w:pStyle w:val="TableParagraph"/>
              <w:spacing w:line="204" w:lineRule="exact" w:before="0"/>
              <w:rPr>
                <w:sz w:val="20"/>
              </w:rPr>
            </w:pPr>
            <w:r>
              <w:rPr>
                <w:sz w:val="20"/>
              </w:rPr>
              <w:t>&lt;/span&gt;&lt;/p&gt;&lt;p style="line-height: 1.7999999999999998; text-indent:</w:t>
            </w:r>
          </w:p>
        </w:tc>
      </w:tr>
    </w:tbl>
    <w:p>
      <w:pPr>
        <w:spacing w:after="0" w:line="204"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70.86614173228347pt; text-align: justify; margin-top: 6pt; margin-bottom: 6pt;" dir="ltr"&gt;</w:t>
            </w:r>
          </w:p>
          <w:p>
            <w:pPr>
              <w:pStyle w:val="TableParagraph"/>
              <w:tabs>
                <w:tab w:pos="4562" w:val="left" w:leader="none"/>
              </w:tabs>
              <w:spacing w:line="208" w:lineRule="auto" w:before="9"/>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pre-wrap;"&gt;Na primeira instância, a Sra. Lúcia Gonçalves do Nascimento narra que "&lt;/span&gt;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w:t>
              <w:tab/>
              <w:t>&lt;em&gt;possui um benefício previdenciário, qual seja, aposentadoria por idade sob o nº 162.009.324-0. Em ato costumeiro, a promovente dirigiu-se ao Banco Bradesco para realizar o saque de seus benefícios previdenciários, porém, ao retirar o extrato de sua conta bancária, surpreendeu- se ao notar diminuição no valor que estava acostumada a receber. Diante do ocorrido a requerente imediatamente consultou seu extrato de benefício disponível no site MEU INSS e nele pôde perceber que registrava um contrato com desconto referente a cartão de crédito, sob o número 90131061460000000001, que vem gerando nos seus benefícios descontos mensais no valor de R$ 70,60 (setenta reais e sessenta centavos) com data de inclusão em 31/05/2022, conforme histórico em anexo. Ocorre que, a autora não realizou tal contrato e nem autorizou que alguém realizasse em seu nome, sendo o contrato então celebrado de maneira abusiva e ilegal"&lt;/em&gt; &lt;/span&gt; &lt;span style="font-size: 12pt; font- family: 'Times New Roman',serif; color: #000000; background-color: transparent; font- weight: 400; font-style: normal; font-variant: normal; text-decoration: none; vertical-align: baseline; white-space: pre-wrap;"&gt;. Diante disso, requereu a condenação do requerido em restituir os danos morais e materiais que suportou.&lt;/span&gt;&lt;/p&gt;&lt;p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pre-wrap;"&gt;O magistrado da 2ª Vara Cível da Comarca de Juazeiro do Norte concedeu tutela provisória de urgência para determinar ao promovido que suspendesse os descontos referentes ao contrato discutido nesta ação (decisão de id 28839472).&lt;/span&gt;&lt;/p&gt;&lt;p style="line-height: 1.7999999999999998; text-indent: 70.86614173228347pt; text-align: justify; margin-top: 6pt; margin-bottom: 6pt;" dir="ltr"&gt;</w:t>
            </w:r>
          </w:p>
          <w:p>
            <w:pPr>
              <w:pStyle w:val="TableParagraph"/>
              <w:spacing w:line="208" w:lineRule="auto" w:before="0"/>
              <w:ind w:right="220"/>
              <w:rPr>
                <w:sz w:val="20"/>
              </w:rPr>
            </w:pPr>
            <w:r>
              <w:rPr>
                <w:sz w:val="20"/>
              </w:rPr>
              <w:t>&lt;span style="font-size: 12pt; font-family: 'Times New Roman',serif; color: #000000; background-color: transparent; font-weight: 400; font-style: normal; font-variant: normal; text-decoration: none; vertical-align: baseline; white-space: pre-wrap;"&gt;Contestação da instituição financeira consta ao id 28839489. Sustenta que a demanda deve ser julgada improcedente por restar comprovado que o Cartão de Crédito Consignado que a parte autora alega desconhecer foi por ela contratado junto ao banco em 31/05/2022, quando, comparecendo à loja física da instituição e, sendo atendido pela consultora MARIA REGILANIA DO NASCIMENTO ROBERTO BRITO, ela forneceu todos os documentos necessários para tanto e assinou, de forma eletrônica (por meio de biometria facial, a autorização de reserva de margem consignável (RMC), bem como a proposta de </w:t>
            </w:r>
            <w:r>
              <w:rPr>
                <w:spacing w:val="-3"/>
                <w:sz w:val="20"/>
              </w:rPr>
              <w:t>adesão </w:t>
            </w:r>
            <w:r>
              <w:rPr>
                <w:sz w:val="20"/>
              </w:rPr>
              <w:t>nº 12657059.&lt;/span&gt;&lt;/p&gt;&lt;p style="line-height: 1.7999999999999998; text-indent: 70.86614173228347pt; text-align: justify; margin-top: 6pt; margin-bottom: 6pt;" dir="ltr"&gt;</w:t>
            </w:r>
          </w:p>
          <w:p>
            <w:pPr>
              <w:pStyle w:val="TableParagraph"/>
              <w:spacing w:line="208" w:lineRule="auto" w:before="0"/>
              <w:ind w:right="64"/>
              <w:rPr>
                <w:sz w:val="20"/>
              </w:rPr>
            </w:pPr>
            <w:r>
              <w:rPr>
                <w:sz w:val="20"/>
              </w:rPr>
              <w:t>&lt;span style="font-size: 12pt; font-family: 'Times New Roman',serif; color: #000000; background-color: transparent; font-weight: 400; font-style: normal; font-variant: normal; text-decoration: none; vertical-align: baseline; white-space: pre-wrap;"&gt;Sem réplica e sem produção de novas provas. Em seguida sobreveio a sentença de procedência ora impugnada (id 28839554).&lt;/span&gt;&lt;/p&gt;&lt;p style="line-height: 1.7999999999999998; text- 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pre-wrap;"&gt;A controvérsia cinge-se em verificar a validade do contrato de Cartão de Crédito Consignado com Reserva de Margem Consignável (RMC) e, em caso de invalidade, o dever de indenizar e os termos da condenação (repetição do indébito e danos morais).&lt;/span&gt;&lt;/p&gt;&lt;p style="line-height: 1.7999999999999998; text-indent: 70.86614173228347pt; text-align: justify; margin-top: 6pt; margin-bottom: 6pt;" dir="ltr"&gt;</w:t>
            </w:r>
          </w:p>
          <w:p>
            <w:pPr>
              <w:pStyle w:val="TableParagraph"/>
              <w:spacing w:line="208" w:lineRule="auto" w:before="0"/>
              <w:ind w:right="18"/>
              <w:rPr>
                <w:sz w:val="20"/>
              </w:rPr>
            </w:pPr>
            <w:r>
              <w:rPr>
                <w:sz w:val="20"/>
              </w:rPr>
              <w:t>&lt;span style="font-size: 12pt; font-family: 'Times New Roman',serif; color: #000000; background-color: transparent; font-weight: 400; font-style: normal; font-variant: normal; text-decoration: none; vertical-align: baseline; white-space: pre-wrap;"&gt;Inicialmente, impõe- se a aplicação das normas do Código de Defesa do Consumidor (CDC), conforme pacificado na jurisprudência. O banco (apelante) enquadra-se como fornecedor de serviços, e a apelada como consumidora, destinatária final&lt;/span&gt;&lt;/p&gt;&lt;p style="line- height: 1.7999999999999998; text-indent: 70.86614173228347pt; text-align: justify; </w:t>
            </w:r>
            <w:r>
              <w:rPr>
                <w:spacing w:val="-3"/>
                <w:sz w:val="20"/>
              </w:rPr>
              <w:t>margin- </w:t>
            </w:r>
            <w:r>
              <w:rPr>
                <w:sz w:val="20"/>
              </w:rPr>
              <w:t>top: 6pt; margin-bottom: 6pt;" dir="ltr"&gt; &lt;span style="font-size: 12pt; font-family: 'Times New Roman',serif; color: #000000; background-color: transparent; font-weight: 400; font- style: normal; font-variant: normal; text-decoration: none; vertical-align: baseline; white- space: pre-wrap;"&gt;A responsabilidade civil da instituição financeira por falha na prestação do serviço é objetiva (independentemente de culpa), conforme o Art. 14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CDC.&lt;/span&gt;&lt;/p&gt;&lt;p style="line-height: 1.7999999999999998; text-indent: 70.86614173228347pt; text-align: justify; margin-top: 6pt; margin-bottom: 6pt;"</w:t>
            </w:r>
            <w:r>
              <w:rPr>
                <w:spacing w:val="-18"/>
                <w:sz w:val="20"/>
              </w:rPr>
              <w:t> </w:t>
            </w:r>
            <w:r>
              <w:rPr>
                <w:sz w:val="20"/>
              </w:rPr>
              <w:t>dir="ltr"&gt;</w:t>
            </w:r>
          </w:p>
          <w:p>
            <w:pPr>
              <w:pStyle w:val="TableParagraph"/>
              <w:spacing w:line="208" w:lineRule="auto" w:before="0"/>
              <w:ind w:right="186"/>
              <w:rPr>
                <w:sz w:val="20"/>
              </w:rPr>
            </w:pPr>
            <w:r>
              <w:rPr>
                <w:sz w:val="20"/>
              </w:rPr>
              <w:t>&lt;span style="font-size: 12pt; font-family: 'Times New Roman',serif; color: #000000; background-color: transparent; font-weight: 400; font-style: normal; font-variant: normal; text-decoration: none; vertical-align: baseline; white-space: pre-wrap;"&gt;As instituições financeiras respondem objetivamente pelos danos gerados por fortuito interno relativo a fraudes e delitos praticados por terceiros no âmbito de operações bancárias (Súmula </w:t>
            </w:r>
            <w:r>
              <w:rPr>
                <w:spacing w:val="-6"/>
                <w:sz w:val="20"/>
              </w:rPr>
              <w:t>479 </w:t>
            </w:r>
            <w:r>
              <w:rPr>
                <w:sz w:val="20"/>
              </w:rPr>
              <w:t>do STJ).&lt;/span&gt;&lt;/p&gt;&lt;p style="line-height: 1.7999999999999998; text-indent: 70.86614173228347pt; text-align: justify; margin-top: 6pt; margin-bottom: 6pt;" dir="ltr"&gt;</w:t>
            </w:r>
          </w:p>
          <w:p>
            <w:pPr>
              <w:pStyle w:val="TableParagraph"/>
              <w:spacing w:line="208" w:lineRule="auto" w:before="0"/>
              <w:ind w:right="132"/>
              <w:rPr>
                <w:sz w:val="20"/>
              </w:rPr>
            </w:pPr>
            <w:r>
              <w:rPr>
                <w:sz w:val="20"/>
              </w:rPr>
              <w:t>&lt;span style="font-size: 12pt; font-family: 'Times New Roman',serif; color: #000000; background-color: transparent; font-weight: 400; font-style: normal; font-variant: normal; text-decoration: none; vertical-align: baseline; white-space: pre-wrap;"&gt;O juízo de </w:t>
            </w:r>
            <w:r>
              <w:rPr>
                <w:spacing w:val="-3"/>
                <w:sz w:val="20"/>
              </w:rPr>
              <w:t>primeiro </w:t>
            </w:r>
            <w:r>
              <w:rPr>
                <w:sz w:val="20"/>
              </w:rPr>
              <w:t>grau, ao inverter o ônus da prova (Art. 6º, VIII, do CDC), agiu acertadamente em face da hipossuficiência técnica e vulnerabilidade da consumidora, mormente por se tratar de pessoa idosa.&lt;/span&gt;&lt;/p&gt;&lt;p style="line-height: 1.7999999999999998; text-indent: 70.86614173228347pt; text-align: justify; margin-top: 6pt; margin-bottom: 6pt;" dir="ltr"&gt;</w:t>
            </w:r>
          </w:p>
          <w:p>
            <w:pPr>
              <w:pStyle w:val="TableParagraph"/>
              <w:spacing w:line="208" w:lineRule="auto" w:before="0"/>
              <w:ind w:right="174"/>
              <w:rPr>
                <w:sz w:val="20"/>
              </w:rPr>
            </w:pPr>
            <w:r>
              <w:rPr>
                <w:sz w:val="20"/>
              </w:rPr>
              <w:t>&lt;span style="font-size: 12pt; font-family: 'Times New Roman',serif; color: #000000; background-color: transparent; font-weight: 400; font-style: normal; font-variant: normal; text-decoration: none; vertical-align: baseline; white-space: pre-wrap;"&gt;Assim, cabia ao banco réu comprovar a regularidade da contratação e a inexistência de defeito no </w:t>
            </w:r>
            <w:r>
              <w:rPr>
                <w:spacing w:val="-3"/>
                <w:sz w:val="20"/>
              </w:rPr>
              <w:t>serviço </w:t>
            </w:r>
            <w:r>
              <w:rPr>
                <w:sz w:val="20"/>
              </w:rPr>
              <w:t>prestado.&lt;/span&gt;&lt;/p&gt;&lt;p style="line-height: 1.7999999999999998; text-indent: 70.86614173228347pt; text-align: justify; margin-top: 6pt; margin-bottom: 6pt;" dir="ltr"&gt;</w:t>
            </w:r>
          </w:p>
          <w:p>
            <w:pPr>
              <w:pStyle w:val="TableParagraph"/>
              <w:spacing w:line="208" w:lineRule="auto" w:before="0"/>
              <w:ind w:right="30"/>
              <w:rPr>
                <w:sz w:val="20"/>
              </w:rPr>
            </w:pPr>
            <w:r>
              <w:rPr>
                <w:sz w:val="20"/>
              </w:rPr>
              <w:t>&lt;span style="font-size: 12pt; font-family: 'Times New Roman',serif; color: #000000; background-color: transparent; font-weight: 400; font-style: normal; font-variant: normal; text-decoration: none; vertical-align: baseline; white-space: pre-wrap;"&gt;Compulsando os autos, percebe-se que a despeito do ônus da prova que lhe competia, o réu não logrou êxito em fazer prova acerca de fato impeditivo, modificativo ou extintivo da pretensão autoral durante a fase de instrução (art. 373, II, do Código de Processo Civil). Não juntou documentação hábil para mostrar o consentimento da demandante para que fossem realizadas as cobranças.&lt;/span&gt;&lt;/p&gt;&lt;p style="line-height: 1.7999999999999998; text- 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pre-wrap;"&gt;Embora o uso da biometria facial e da assinatura eletrônica seja considerado válido e aceitável (Art. 434 CC, IN 138/2022), nos casos de contratos de RMC (que possuem natureza diversa de um mútuo consignado tradicional), é dever da instituição financeira, de acordo com o Art. 6º, III, do CDC, fornecer informação adequada e clara sobre as características do produto, os riscos e encargos.&lt;/span&gt;&lt;/p&gt;&lt;p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pre-wrap;"&gt;Na hipótese, como reconheceu o magistrado singular de forma acertada:&lt;/span&gt; &lt;em&gt;&lt;span style="font-size: 12pt; font-family: 'Times New Roman',serif; color: #000000; background-color: transparent; font-weight: 400; font-style: normal; font-variant: normal; text-decoration: none; vertical- align: baseline; white-space: pre-wrap;"&gt;"Tratando-se de ação declaratória de inexistência de débito cumulada com indenização por danos morais&lt;/span&gt; &lt;span style="font-size: 12pt; font-family: &amp;quot;Times New Roman&amp;quot;, serif; color: #000000; background-color: transparent; font-weight: 400; font-variant: normal; text-decoration-skip-ink: none; vertical- align: baseline; white-space: pre-wrap; text-decoration: underline;"&gt;é ônus do réu, </w:t>
            </w:r>
            <w:r>
              <w:rPr>
                <w:spacing w:val="-3"/>
                <w:sz w:val="20"/>
              </w:rPr>
              <w:t>pretenso </w:t>
            </w:r>
            <w:r>
              <w:rPr>
                <w:sz w:val="20"/>
              </w:rPr>
              <w:t>credor, provar a existência de vínculo contratual&lt;/span&gt; &lt;span style="font-size: 12pt; font- family: 'Times New Roman',serif; color: #000000; background-color: transparent; font- weight: 400; font-style: normal; font-variant: normal; text-decoration: none; vertical-align: baseline; white-space: pre-wrap;"&gt;apto a justificar os descontos mensais lançados nos rendimentos do autor, bem como de provar a veracidade da assinatura eletrônica constante no contrato, o que não o fez, pois a cópia do contrato apresentando não serve como prova da existência da relação jurídica impugnada pela parte autora, devendo ser reconhecida a inexistência de débito, pois o negócio jurídico celebrado por meio eletrônico, diante de suas especificidades, encampam princípios igualmente singulares à temática, dentre os quais,&lt;/span&gt; &lt;span style="font-size: 12pt; font-family: &amp;quot;Times New Roman&amp;quot;, serif; color: #000000; background-color: transparent; font-weight: 400; font- variant: normal; text-decoration-skip-ink: none; vertical-align: baseline; white-space: pre- wrap; text-decoration: underline;"&gt;destaca-se o da identificação e o da autenticação.&lt;/span&gt; &lt;span style="font-size: 12pt; font-family: 'Times New Roman',serif; color: #000000; background-color: transparent; font-weight: 400; font-style: normal; font- variant: normal; text-decoration: none; vertical-align: baseline; white-space: pre-wrap;"&gt;O primeiro dispõe que&lt;/span&gt; &lt;span style="font-size: 12pt; font-family: &amp;quot;Times New Roman&amp;quot;, serif; color: #000000; background-color: transparent; font-weight: 400; font- variant: normal; text-decoration-skip-ink: none; vertical-align: baseline; white-space: pre-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6"/>
              <w:rPr>
                <w:sz w:val="20"/>
              </w:rPr>
            </w:pPr>
            <w:r>
              <w:rPr>
                <w:sz w:val="20"/>
              </w:rPr>
              <w:t>wrap; text-decoration: underline;"&gt;para que um contrato eletrônico seja válido, os signatários devem estar previamente identificados; o segundo o de que as assinaturas eletrônicas das partes devem ser autenticadas&lt;/span&gt; &lt;span style="font-size: 12pt; font- family: 'Times New Roman',serif; color: #000000; background-color: transparent; font- weight: 400; font-style: normal; font-variant: normal; text-decoration: none; vertical-align: baseline; white-space: pre-wrap;"&gt;por entidades capazes de confirmar a identificação dos contratantes. Com isso, a alegação da ré de que o&lt;/span&gt; &lt;span style="font-size: 12pt; font-family: &amp;quot;Times New Roman&amp;quot;, serif; color: #000000; background-color: transparent; font-weight: 400; font-variant: normal; text-decoration-skip-ink: none; vertical- align: baseline; white-space: pre-wrap; text-decoration: underline;"&gt;contrato teria sido celebrado de forma eletrônica&lt;/span&gt;&lt;span style="font-size: 12pt; font-family: 'Times New Roman',serif; color: #000000; background-color: transparent; font-weight: 400; font-style: normal; font-variant: normal; text-decoration: none; vertical-align: baseline; white-space: pre-wrap;"&gt;,&lt;/span&gt; &lt;span style="font-size: 12pt; font-family: &amp;quot;Times New Roman&amp;quot;, serif; color: #000000; background-color: transparent; font-weight: 400; font- variant: normal; text-decoration-skip-ink: none; vertical-align: baseline; white-space: pre- wrap; text-decoration: underline;"&gt;deve ser acompanhada de documento capaz de comprovar a forma de assinatura/anuência do consumidor&lt;/span&gt;&lt;span style="font-size: 12pt; font-family: 'Times New Roman',serif; color: #000000; background-color: transparent; font-weight: 400; font-style: normal; font-variant: normal; text-decoration: none; vertical- align: baseline; white-space: pre-wrap;"&gt;, como chave "token", utilização de cartão e senha, data e hora da transação ou outros elementos que se fazem necessários à comprovação da regularidade da contratação,&lt;/span&gt; &lt;span style="font-size: 12pt; font- family: &amp;quot;Times New Roman&amp;quot;, serif; color: #000000; background-color: transparent; font-weight: 400; font-variant: normal; text-decoration-skip-ink: none; vertical- align: baseline; white-space: pre-wrap; text-decoration: underline;"&gt;o que não ocorreu no presente feito.&lt;/span&gt; &lt;span style="font-size: 12pt; font-family: 'Times New Roman',serif; color: #000000; background-color: transparent; font-weight: 400; font-style: normal; font- variant: normal; text-decoration: none; vertical-align: baseline; white-space: pre-wrap;"&gt;Da análise dos autos, percebo que a autora é pessoa simples e que não possui conhecimento sobre juros e movimentações bancárias, não conseguindo a promovida comprovar o contrário, porquanto, patente vulnerabilidade. Ademais, não merece prosperar a alegação de que o objeto desta ação fora utilizado pela parte, visto que o próprio promovido juntou as faturas lançadas comprovando claramente que a parte autora em nenhum momento se utilizou dos seus serviços - ID 138789044.&lt;/span&gt; &lt;span style="font-size: 12pt; </w:t>
            </w:r>
            <w:r>
              <w:rPr>
                <w:spacing w:val="-2"/>
                <w:sz w:val="20"/>
              </w:rPr>
              <w:t>font-family: </w:t>
            </w:r>
            <w:r>
              <w:rPr>
                <w:sz w:val="20"/>
              </w:rPr>
              <w:t>&amp;quot;Times New Roman&amp;quot;, serif; color: #000000; background-color: transparent; font- weight: 400; font-variant: normal; text-decoration-skip-ink: none; vertical-align: baseline; white-space: pre-wrap; text-decoration: underline;"&gt;Salienta-se ainda que a modalidade de contrato de cartão de crédito consignado, quando comparada ao contrato de empréstimo consignado convencional, é mais onerosa para o consumidor&lt;/span&gt;&lt;span style="font- size: 12pt; font-family: 'Times New Roman',serif; color: #000000; background-color: transparent; font-weight: 400; font-style: normal; font-variant: normal; text-decoration: none; vertical-align: baseline; white-space: pre-wrap;"&gt;, na medida em que o desconto na conta, por ser limitado ao pagamento mínimo da fatura, faz incidir juros e taxas que, somadas ao valor da parcela do mês subsequente, elevam o valor da fatura a cada mês, gerando a famosa "bola de neve", cuja dívida perpetua ad eternum. In casu, o agente financeiro não se desincumbiu do ônus de comprovar que teria esclarecido a natureza da operação cartão de crédito consignado para a cliente, com seus respectivos encargos, ferindo o direito do consumidor quanto à informação clara e precisa sobre o produto (art. 6º, III, do CDC) (…)".&lt;/span&gt;&lt;/em&gt;&lt;/p&gt;&lt;p style="line-height: 1.7999999999999998; text-indent: 70.86614173228347pt; text-align: justify; margin-top: 6pt; margin-bottom: 6pt;" dir="ltr"&gt;</w:t>
            </w:r>
          </w:p>
          <w:p>
            <w:pPr>
              <w:pStyle w:val="TableParagraph"/>
              <w:spacing w:line="208" w:lineRule="auto" w:before="0"/>
              <w:ind w:right="54"/>
              <w:rPr>
                <w:sz w:val="20"/>
              </w:rPr>
            </w:pPr>
            <w:r>
              <w:rPr>
                <w:sz w:val="20"/>
              </w:rPr>
              <w:t>&lt;span style="font-size: 12pt; font-family: 'Times New Roman',serif; color: #000000; background-color: transparent; font-weight: 400; font-style: normal; font-variant: normal; text-decoration: none; vertical-align: baseline; white-space: pre-wrap;"&gt;Sobre o tema, </w:t>
            </w:r>
            <w:r>
              <w:rPr>
                <w:spacing w:val="-4"/>
                <w:sz w:val="20"/>
              </w:rPr>
              <w:t>trago </w:t>
            </w:r>
            <w:r>
              <w:rPr>
                <w:sz w:val="20"/>
              </w:rPr>
              <w:t>os seguintes precedentes:&lt;/span&gt;&lt;/p&gt;&lt;p style="line-height: 1.7999999999999998;</w:t>
            </w:r>
          </w:p>
          <w:p>
            <w:pPr>
              <w:pStyle w:val="TableParagraph"/>
              <w:spacing w:line="208" w:lineRule="auto" w:before="0"/>
              <w:ind w:right="26"/>
              <w:rPr>
                <w:sz w:val="20"/>
              </w:rPr>
            </w:pPr>
            <w:r>
              <w:rPr>
                <w:sz w:val="20"/>
              </w:rPr>
              <w:t>margin-left: 113.38582677165354pt; text-align: justify; margin-top: 6pt; margin-bottom: </w:t>
            </w:r>
            <w:r>
              <w:rPr>
                <w:spacing w:val="-4"/>
                <w:sz w:val="20"/>
              </w:rPr>
              <w:t>6pt;" </w:t>
            </w:r>
            <w:r>
              <w:rPr>
                <w:sz w:val="20"/>
              </w:rPr>
              <w:t>dir="ltr"&gt; &lt;span style="font-size: 12pt; font-family: 'Times New Roman',serif; color: #000000; background-color: transparent; font-weight: 400; font-style: normal; font-variant: normal; text-decoration: none; vertical-align: baseline; white-space: pre-wrap;"&gt;DIREITO CIVIL E CONSUMIDOR. APELAÇÃO CÍVEL. AÇÃO DECLARATÓRIA DE INEXISTÊNCIA DE RELAÇÃO JURÍDICA C/C DANOS MORAIS. CONTRATAÇÃO BANCÁRIA POR MEIO ELETRÔNICO. AUSÊNCIA DE COMPROVAÇÃO DE AUTENTICIDADE. RESPONSABILIDADE OBJETIVA DO FORNECEDOR. SENTENÇA MANTIDA. RECURSO CONHECIDO E DESPROVIDO. I. CASO EM EXAME 1. Apelação cível</w:t>
            </w:r>
          </w:p>
          <w:p>
            <w:pPr>
              <w:pStyle w:val="TableParagraph"/>
              <w:spacing w:line="208" w:lineRule="auto" w:before="0"/>
              <w:ind w:right="90"/>
              <w:rPr>
                <w:sz w:val="20"/>
              </w:rPr>
            </w:pPr>
            <w:r>
              <w:rPr>
                <w:sz w:val="20"/>
              </w:rPr>
              <w:t>interposta contra sentença que julgou parcialmente procedente ação ajuizada por beneficiário do INSS, que alegou ter tido seu benefício previdenciário transferido de forma fraudulenta para instituição financeira diversa, mediante suposta contratação não realizada. Sentença declarou a inexistência da portabilidade do benefício, determinou o restabelecimento da conta bancária original e fixou indenização por danos morais no valor de R$ 3.000,00. II. QUESTÃO EM DISCUSSÃO 2. A questão em discussão consiste 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9"/>
              <w:rPr>
                <w:sz w:val="20"/>
              </w:rPr>
            </w:pPr>
            <w:r>
              <w:rPr>
                <w:sz w:val="20"/>
              </w:rPr>
              <w:t>saber se a instituição financeira comprovou a regularidade da contratação bancária realizada por meio eletrônico, de modo a afastar a responsabilidade civil pelos danos decorrentes da alegada fraude. III. RAZÕES DE DECIDIR 3. Aplica-se ao caso o Código de Defesa do Consumidor, com inversão do ônus da prova e responsabilidade objetiva do fornecedor, conforme art. 14 do CDC e Súmula 297/STJ. 4. A instituição financeira não comprovou a autenticidade da contratação eletrônica, por ausência de elementos como certificação digital ICP-Brasil, geolocalização, IP, ou qualquer outro dado que garanta a manifestação inequívoca de vontade do consumidor. 5. Conforme jurisprudência consolidada (EAREsp 676.608/RS), é cabível a devolução em dobro dos valores descontados indevidamente após 30/03/2021, e de forma simples para os anteriores. 6. O dano moral, no caso, é in re ipsa, decorrente da própria existência de descontos indevidos sobre benefício de natureza alimentar, prescindindo de demonstração de prejuízo concreto. 7. A indenização fixada pelo juízo de origem, no valor de R$ 3.000,00, revela-se razoável diante das circunstâncias do caso concreto e conforme precedentes desta Corte.</w:t>
            </w:r>
          </w:p>
          <w:p>
            <w:pPr>
              <w:pStyle w:val="TableParagraph"/>
              <w:numPr>
                <w:ilvl w:val="0"/>
                <w:numId w:val="1"/>
              </w:numPr>
              <w:tabs>
                <w:tab w:pos="341" w:val="left" w:leader="none"/>
              </w:tabs>
              <w:spacing w:line="189" w:lineRule="exact" w:before="0" w:after="0"/>
              <w:ind w:left="340" w:right="0" w:hanging="301"/>
              <w:jc w:val="left"/>
              <w:rPr>
                <w:sz w:val="20"/>
              </w:rPr>
            </w:pPr>
            <w:r>
              <w:rPr>
                <w:sz w:val="20"/>
              </w:rPr>
              <w:t>DISPOSITIVO E TESE 8. Apelação cível conhecida e desprovida. Tese de julgamento:</w:t>
            </w:r>
          </w:p>
          <w:p>
            <w:pPr>
              <w:pStyle w:val="TableParagraph"/>
              <w:numPr>
                <w:ilvl w:val="1"/>
                <w:numId w:val="1"/>
              </w:numPr>
              <w:tabs>
                <w:tab w:pos="263" w:val="left" w:leader="none"/>
              </w:tabs>
              <w:spacing w:line="208" w:lineRule="auto" w:before="10" w:after="0"/>
              <w:ind w:left="40" w:right="26" w:firstLine="0"/>
              <w:jc w:val="left"/>
              <w:rPr>
                <w:sz w:val="20"/>
              </w:rPr>
            </w:pPr>
            <w:r>
              <w:rPr>
                <w:sz w:val="20"/>
              </w:rPr>
              <w:t>A instituição financeira responde objetivamente por falha na prestação de serviço quando não comprova, de forma inequívoca, a regularidade da contratação eletrônica de produto ou serviço bancário, especialmente em caso de descontos indevidos em benefício previdenciário. 2. A ausência de comprovação da manifestação de vontade do consumidor invalida o negócio jurídico celebrado por meio eletrônico, ensejando a restituição do indébito e a reparação por danos morais. 3. É devida a restituição em dobro dos valores descontados indevidamente após 30/03/2021, conforme fixado pelo STJ no EAREsp 676.608/RS. Dispositivos relevantes citados: CDC, arts. 6º, VIII, 14, §3º, I e II, e 42, parágrafo único; CC, arts. 186, 187 e 927, parágrafo único; CPC, art. 373, II. Jurisprudência relevante citada: STJ, Súmulas 297 e 479; STJ, EAREsp 676.608/RS. (Apelação Cível - 0200200-81.2023.8.06.0096, Rel. Desembargador(a) MARCOS WILLIAM LEITE DE OLIVEIRA, 3ª Câmara Direito Privado, data do julgamento: 18/06/2025, data da publicação: 18/06/2025).&lt;/span&gt;&lt;/p&gt;&lt;p style="line-height: 1.7999999999999998; margin-left: 113.38582677165354pt; text-align: justify; margin-top: 6pt; margin-bottom: 6pt;" dir="ltr"&gt;&amp;#160;&lt;/p&gt;&lt;p style="line-height: 1.7999999999999998; margin-left: 113.38582677165354pt; text-align: justify; margin-top: 6pt; margin-bottom: </w:t>
            </w:r>
            <w:r>
              <w:rPr>
                <w:spacing w:val="-4"/>
                <w:sz w:val="20"/>
              </w:rPr>
              <w:t>6pt;" </w:t>
            </w:r>
            <w:r>
              <w:rPr>
                <w:sz w:val="20"/>
              </w:rPr>
              <w:t>dir="ltr"&gt; &lt;span style="font-size: 12pt; font-family: 'Times New Roman',serif; color: #000000; background-color: transparent; font-weight: 400; font-style: normal; font-variant: normal; text-decoration: none; vertical-align: baseline; white-space: pre-wrap;"&gt;Direito processual civil. Direito do consumidor. apelação cível. ação declaratória de inexistência de débito c/c indenização por danos morais. empréstimo consignado. descontos indevidos. Contrato eletrônico sem requisitos mínimo de segurança. Contratação inválida. responsabilidade objetiva. efetivação dos descontos demonstrada. prejuízos de ordem material e moral configurados. danos morais presumíveis (in re ipsa). recurso do autor PARCIALMENTE provido. Sentença modificada. I. CASO EM EXAME 1. Recurso de apelação interposto por José Alves de Lima em face de sentença que julgou improcedente o pedido de declaração de inexistência de contrato de empréstimo consignado e indenização por danos morais. II. QUESTÃO EM DISCUSSÃO 2. A controvérsia cinge-se à análise da regularidade ou não da contratação do empréstimo consignado entre as partes e, por conseguinte, à verificação da existência de conduta ilícita decorrente dos descontos efetuados no benefício previdenciário do autor. Busca-se decidir se houve falha na prestação do serviço bancário, que justificaria a declaração de inexistência do contrato e a condenação da instituição financeira ao pagamento de danos morais. III. RAZÕES DE DECIDIR 3. Inicialmente, reconhece-se que a relação estabelecida entre as partes é de consumo, sendo aplicáveis as disposições do Código de Defesa do Consumidor (Lei nº 8.078/1990). Em casos de litígios entre consumidor e fornecedor, é possível a inversão do ônus da prova em favor do consumidor, conforme previsto no art. 6º, inciso VIII, do CDC, especialmente quando há verossimilhança nas alegações do autor. 4. No caso em apreço, verifica-se que a instituição financeira não apresentou provas suficientes para demonstrar a regularidade da contratação. O documento apresentado pelo banco, consistente em uma selfie do contratante, não contém elementos mínimos que garantam a autenticidade do negócio jurídico, como número de IP ou geolocalização do dispositivo utilizado. Dessa forma, resta evidente a falha na prestação do serviço, não sendo possível presumir a validade do contrato com base em prova unilateral e precária. 5. Configurada a falha na prestação do serviço, impõe-se a declaração de inexistência do contrato de empréstimo consignado (nº 216252273), bem como a condenação da instituição financeira ao pagamento de indenização por danos morais, fixados no valor de R$ 3.000,00 (três mil reais). Tal valor deve ser corrigido monetariamente pelo INPC a partir da data de arbitramento e acrescido de juros de mora de 1% ao mês, nos termos da Súmula 54 do STJ. 6. Além disso, determina-se a restituição dos valores descontados indevidamente na forma mista, aplicando-se a correção monetária pelo INPC a partir de cada desconto indevido, conforme a Súmula nº 43 do STJ, e juros de mora desde o evento danoso, conforme o disposto no art. 398 do Código Civil e na Súmula nº 54 do STJ. IV. DISPOSITIVO 7. Apelação do requerido conhecida e parcialmente provida. Sentença modificada. (Apelação Cível - 0200474-52.2023.8.06.0126, Rel. Desembargador(a)</w:t>
            </w:r>
          </w:p>
        </w:tc>
      </w:tr>
    </w:tbl>
    <w:p>
      <w:pPr>
        <w:spacing w:after="0" w:line="208" w:lineRule="auto"/>
        <w:jc w:val="lef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
              <w:rPr>
                <w:sz w:val="20"/>
              </w:rPr>
            </w:pPr>
            <w:r>
              <w:rPr>
                <w:sz w:val="20"/>
              </w:rPr>
              <w:t>FRANCISCO LUCÍDIO DE QUEIROZ JÚNIOR, 3ª Câmara Direito Privado, data do julgamento: 22/01/2025, data da publicação: 22/01/2025).&lt;/span&gt;&lt;/p&gt;&lt;p style="line- height: 1.7999999999999998; text-indent: 70.86614173228347pt; text-align: justify; margin- top: 6pt; margin-bottom: 6pt;" dir="ltr"&gt;&amp;#160;&lt;/p&gt;&lt;p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pre-wrap;"&gt;Reconhecida a falha na prestação do serviço por deficiência no dever de informação sobre a natureza onerosa do Cartão de Crédito Consignado, resta configurado o ato ilícito. Portanto, a declaração de inexistência da contratação deve ser mantida.&lt;/span&gt;&lt;/p&gt;&lt;p style="line-height: 1.7999999999999998; text-indent: 70.86614173228347pt; text-align: justify; margin-top: 12pt; margin-bottom: 12pt;" dir="ltr"&gt;</w:t>
            </w:r>
          </w:p>
          <w:p>
            <w:pPr>
              <w:pStyle w:val="TableParagraph"/>
              <w:spacing w:line="208" w:lineRule="auto" w:before="0"/>
              <w:ind w:right="18"/>
              <w:rPr>
                <w:sz w:val="20"/>
              </w:rPr>
            </w:pPr>
            <w:r>
              <w:rPr>
                <w:sz w:val="20"/>
              </w:rPr>
              <w:t>&lt;span style="font-size: 12pt; font-family: 'Times New Roman',serif; color: #000000; background-color: transparent; font-weight: 400; font-style: normal; font-variant: normal; text-decoration: none; vertical-align: baseline; white-space: pre-wrap;"&gt;Sobre os danos materiais, o Tribunal da Cidadania fixou a tese de que a restituição em dobro independe </w:t>
            </w:r>
            <w:r>
              <w:rPr>
                <w:spacing w:val="-9"/>
                <w:sz w:val="20"/>
              </w:rPr>
              <w:t>da </w:t>
            </w:r>
            <w:r>
              <w:rPr>
                <w:sz w:val="20"/>
              </w:rPr>
              <w:t>natureza volitiva do fornecedor, ou seja, prescinde da comprovação da má-fé quando a cobrança indevida decorrer de serviços não contratados (EAREsp 676.608/RS). Todavia, na decisão paradigma, entendeu que, para demandas que não decorram da prestação de serviços públicos, o acórdão terá eficácia prospectiva, somente aplicável a valores pagos após a sua publicação, qual seja, 30/03/2021. Desta feita, considerando que os descontos ora reputados ilegais se iniciaram após esta data, devem mesmo ser restituídos em dobro, nos termos do art. 42, parágrafo único, do CDC.&lt;/span&gt;&lt;/p&gt;&lt;p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pre-wrap;"&gt;Contudo, para evitar o enriquecimento ilícito da apelada, deve-se autorizar a compensação dos valores, com atualização monetária pelo IPCA desde o dia da transferência/depósito. O valor comprovadamente creditado em benefício da autora deve ser compensado com o total dos descontos consignados.&lt;/span&gt;&lt;/p&gt;&lt;p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pre-wrap;"&gt;Por sua vez, a fraude em operações bancárias que resulta em descontos indevidos em benefício previdenciário (verba de caráter alimentar), bem como a conduta negligente da instituição financeira, ultrapassam o limite do mero aborrecimento. Tais fatos geram insegurança jurídica, constrangimentos e abalos à dignidade do consumidor, configurando dano moral passível de reparação.&lt;/span&gt;&lt;/p&gt;&lt;p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pre-wrap;"&gt;Em relação ao&lt;/span&gt; &lt;span style="font-size: 12pt; font-family: 'Times New Roman',serif; color: #000000; background-color: transparent; font-weight: 400; font-style: italic; font-variant: normal; text-decoration: none; vertical-align: baseline; white-space: pre- wrap;"&gt;quantum&lt;/span&gt; &lt;span style="font-size: 12pt; font-family: 'Times New Roman',serif; color: #000000; background-color: transparent; font-weight: 400; font-style: normal; font-variant: normal; text-decoration: none; vertical-align: baseline; white-space: pre-wrap;"&gt;indenizatório, a fixação deve ser feita com base na equidade e em critérios de proporcionalidade e razoabilidade.&lt;/span&gt;&lt;/p&gt;&lt;p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pre-wrap;"&gt;O Art. 944 do Código Civil estabelece que a indenização se mede pela extensão do dano. A jurisprudência tem adotado o método bifásico para quantificar o dano moral, estabelecendo um valor básico (considerando o interesse jurídico lesado e precedentes) e ajustando-o às peculiaridades do caso (gravidade do fato, culpabilidade do agente, condição econômica das partes).&lt;/span&gt;&lt;/p&gt;&lt;p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pre-wrap;"&gt;Em casos análogos, no âmbito do Tribunal de Justiça do Estado do Ceará, a indenização por danos morais tem sido arbitrada em patamares como R$ 5.000,00 (cinco mil reais). Na hipótese, a demandante vem suportando descontos em seu benefício de aproximadamente R$ 70,60 (setenta reais e sessenta centavos), desde maio de 2022.</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3002595-91.2024.8.06.0112</w:t>
            </w:r>
          </w:p>
        </w:tc>
      </w:tr>
      <w:tr>
        <w:trPr>
          <w:trHeight w:val="13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Ressalto por oportuno, que não verifiquei indícios de abuso do direito de litigar. Desta forma, c&lt;/span&gt;&lt;span style="font-size: 12pt; font-family: 'Times New Roman',serif; color: #000000; background-color: transparent; font-weight: 400; font-style: normal; font-variant: normal; text-decoration: none; vertical-align: baseline; white-space: pre- wrap;"&gt;onsiderando a natureza da lesão e a função pedagógica e compensatória da indenização, e não havendo nos autos elementos que justifiquem a intervenção desta Corte para, neste caso, alteração do valor fixado na origem o&lt;/span&gt; &lt;span style="font- size: 12pt; font-family: 'Times New Roman',serif; color: #000000; background-color: transparent; font-weight: 400; font-style: italic; font-variant: normal; text-decoration: none; vertical-align: baseline; white-space: pre-wrap;"&gt;quantum&lt;/span&gt; &lt;span style="font-size: 12pt; font-family: 'Times New Roman',serif; color: #000000; background-color: transparent; font-weight: 400; font-style: normal; font-variant: normal; text-decoration: none; vertical- align: baseline; white-space: pre-wrap;"&gt;indenizatório fixado deve ser mantido.&lt;/span&gt;&lt;/p&gt;&lt;p style="line-height: 1.8; text-indent: 70.8661pt; text-align: center; margin-top: 12pt; margin-bottom: 0pt;"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pre-wrap;"&gt;&amp;#160;&lt;/span&gt; &lt;span style="background-color: transparent; font- family: &amp;quot;Times New Roman&amp;quot;, serif; font-size: 12pt; white-space-collapse: preserve; text-align: center; text-indent: 70.8661pt; text-decoration: underline;"&gt;</w:t>
            </w:r>
          </w:p>
          <w:p>
            <w:pPr>
              <w:pStyle w:val="TableParagraph"/>
              <w:spacing w:line="208" w:lineRule="auto" w:before="0"/>
              <w:ind w:right="37"/>
              <w:rPr>
                <w:sz w:val="20"/>
              </w:rPr>
            </w:pPr>
            <w:r>
              <w:rPr>
                <w:sz w:val="20"/>
              </w:rPr>
              <w:t>&lt;strong&gt;Dispositivo.&lt;/strong&gt; &lt;/span&gt;&lt;/p&gt;&lt;p style="line-height: 1.7999999999999998; text-indent: 70.86614173228347pt; text-align: justify; margin-top: 12pt;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pre-wrap;"&gt;Por todo o exposto, CONHEÇO o Recurso de Apelação Cível para, no mérito, DAR-LHE PARCIAL PROVIMENTO, somente para autorizar que seja realizada a compensação com os valores que tenham sido comprovadamente revertidos em favor da consumidora, a ser apurado na fase de liquidação do julgado.&lt;/span&gt;&lt;/p&gt;&lt;p style="line-height: 1.7999999999999998;</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18"/>
              <w:rPr>
                <w:sz w:val="20"/>
              </w:rPr>
            </w:pPr>
            <w:r>
              <w:rPr>
                <w:sz w:val="20"/>
              </w:rPr>
              <w:t>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pre-wrap;"&gt;De ofício, determino que fixação dos juros e da correção monetária, siga os ditames da Lei nº 14.905/2024 a partir de sua vigência, por se tratar de matéria de ordem pública, regida pelo princípio&lt;/span&gt; &lt;span style="font-size: 12pt; font-family: &amp;quot;Times New Roman&amp;quot;, serif; color: #000000; background-color: transparent; font-weight: 400; font-variant: normal; text-decoration: none; vertical-align: baseline; white-space: pre-wrap;"&gt; &lt;em&gt;tempus regit actum&lt;/em&gt;&lt;/span&gt;&lt;span style="font-size: 12pt; font-family: 'Times New Roman',serif; color: #000000; background-color: transparent; font-weight: 400; font-style: normal; font- variant: normal; text-decoration: none; vertical-align: baseline; white-space: pre- wrap;"&gt;.&lt;/span&gt;&lt;span style="text-indent: 70.8661pt;"&gt;&amp;#160;&lt;/span&gt;&lt;/p&gt;&lt;p style="line- height: 1.7999999999999998; text-indent: 70.86614173228347pt; text-align: justify; </w:t>
            </w:r>
            <w:r>
              <w:rPr>
                <w:spacing w:val="-3"/>
                <w:sz w:val="20"/>
              </w:rPr>
              <w:t>margin- </w:t>
            </w:r>
            <w:r>
              <w:rPr>
                <w:sz w:val="20"/>
              </w:rPr>
              <w:t>top: 12pt; margin-bottom: 0pt;" dir="ltr"&gt; &lt;span style="font-size: 12pt; font-family: 'Times New Roman',serif; color: #000000; background-color: transparent; font-weight: 400; font- style: normal; font-variant: normal; text-decoration: none; vertical-align: baseline; white- space: pre-wrap;"&gt;É o voto.&lt;/span&gt;&lt;/p&gt;&lt;p style="line-height: 1.7999999999999998; text- 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 wrap;"&gt;&amp;#160;&lt;/span&gt;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91</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Reajuste contratual</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416"/>
              <w:rPr>
                <w:sz w:val="20"/>
              </w:rPr>
            </w:pPr>
            <w:r>
              <w:rPr>
                <w:sz w:val="20"/>
              </w:rPr>
              <w:t>HOSPITAL ANTONIO PRUDENTE LTDA MARCOS ALVES BEZERRA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849"/>
              <w:rPr>
                <w:sz w:val="20"/>
              </w:rPr>
            </w:pPr>
            <w:r>
              <w:rPr>
                <w:sz w:val="20"/>
              </w:rPr>
              <w:t>NELSON WILIANS FRATONI RODRIGUES - (CE16599-A) NELSON WILIANS FRATONI RODRIGUES - (CE16599-A)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MARCOS ALVES BEZERRA</w:t>
            </w:r>
          </w:p>
          <w:p>
            <w:pPr>
              <w:pStyle w:val="TableParagraph"/>
              <w:spacing w:line="215" w:lineRule="exact" w:before="0"/>
              <w:rPr>
                <w:sz w:val="20"/>
              </w:rPr>
            </w:pPr>
            <w:r>
              <w:rPr>
                <w:sz w:val="20"/>
              </w:rPr>
              <w:t>HOSPITAL ANTONIO PRUDENTE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915"/>
              <w:rPr>
                <w:sz w:val="20"/>
              </w:rPr>
            </w:pPr>
            <w:r>
              <w:rPr>
                <w:sz w:val="20"/>
              </w:rPr>
              <w:t>DANIELE DE MORAES LOPES - (CE13288-A) DANIELE DE MORAES LOPES - (CE13288-A)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&lt;strong&gt;PROCESSO&lt;/strong&gt;:&amp;#160;0208905-96.2022.8.06.0001 -&amp;#160;APELAÇÃO</w:t>
            </w:r>
          </w:p>
          <w:p>
            <w:pPr>
              <w:pStyle w:val="TableParagraph"/>
              <w:tabs>
                <w:tab w:pos="6557" w:val="left" w:leader="none"/>
              </w:tabs>
              <w:spacing w:line="208" w:lineRule="auto" w:before="8"/>
              <w:ind w:right="487"/>
              <w:rPr>
                <w:sz w:val="20"/>
              </w:rPr>
            </w:pPr>
            <w:r>
              <w:rPr>
                <w:sz w:val="20"/>
              </w:rPr>
              <w:t>CÍVEL (198)&lt;/span&gt;  &lt;/span&gt;&lt;/p&gt;&lt;p&gt;  &lt;span style="font-size: small;"&gt;</w:t>
              <w:tab/>
              <w:t>&lt;span style="font-family: &amp;quot;times new roman&amp;quot;, times;"&gt;APELANTE: HOSPITAL ANTONIO PRUDENTE LTDA, MARCOS ALVES BEZERRA&lt;/span&gt;</w:t>
            </w:r>
            <w:r>
              <w:rPr>
                <w:spacing w:val="38"/>
                <w:sz w:val="20"/>
              </w:rPr>
              <w:t> </w:t>
            </w:r>
            <w:r>
              <w:rPr>
                <w:sz w:val="20"/>
              </w:rPr>
              <w:t>&lt;/span&gt;&lt;/p&gt;&lt;p&gt;</w:t>
            </w:r>
          </w:p>
          <w:p>
            <w:pPr>
              <w:pStyle w:val="TableParagraph"/>
              <w:tabs>
                <w:tab w:pos="3044" w:val="left" w:leader="none"/>
              </w:tabs>
              <w:spacing w:line="208" w:lineRule="auto" w:before="0"/>
              <w:ind w:right="135"/>
              <w:rPr>
                <w:sz w:val="20"/>
              </w:rPr>
            </w:pPr>
            <w:r>
              <w:rPr>
                <w:sz w:val="20"/>
              </w:rPr>
              <w:t>&lt;span style="font-size: small;"&gt;</w:t>
              <w:tab/>
              <w:t>&lt;span style="font-family: &amp;quot;times new </w:t>
            </w:r>
            <w:r>
              <w:rPr>
                <w:spacing w:val="-2"/>
                <w:sz w:val="20"/>
              </w:rPr>
              <w:t>roman&amp;quot;, </w:t>
            </w:r>
            <w:r>
              <w:rPr>
                <w:sz w:val="20"/>
              </w:rPr>
              <w:t>times;"&gt;APELADO: MARCOS ALVES BEZERRA, HOSPITAL ANTONIO PRUDENTE</w:t>
            </w:r>
          </w:p>
          <w:p>
            <w:pPr>
              <w:pStyle w:val="TableParagraph"/>
              <w:tabs>
                <w:tab w:pos="4518" w:val="left" w:leader="none"/>
                <w:tab w:pos="5263" w:val="left" w:leader="none"/>
                <w:tab w:pos="6213" w:val="left" w:leader="none"/>
              </w:tabs>
              <w:spacing w:line="208" w:lineRule="auto" w:before="0"/>
              <w:ind w:right="21"/>
              <w:rPr>
                <w:sz w:val="20"/>
              </w:rPr>
            </w:pPr>
            <w:r>
              <w:rPr>
                <w:sz w:val="20"/>
              </w:rPr>
              <w:t>LTDA&lt;/span&gt;  &lt;/span&gt;&lt;/p&gt;&lt;p&gt;  &lt;span style="font-size: medium;"&gt;</w:t>
              <w:tab/>
              <w:t>&lt;span style="font- family: &amp;quot;times new roman&amp;quot;, times;"&gt;</w:t>
              <w:tab/>
              <w:t>&lt;br /&gt;</w:t>
              <w:tab/>
              <w:t>&lt;/span&gt; &lt;/span&gt;&lt;/p&gt;&lt;p style="line-height: 1.7999999999999998; text-align: justify; margin-top: 0pt; margin-bottom: 0pt;" dir="ltr"&gt; &lt;span style="font-size: 12pt; font-family: 'Times New Roman',serif; color: #000000; background-color: transparent; font-weight: 700; font-style: normal; font-variant: normal; text-decoration: none; vertical-align: baseline; white-space: pre-wrap;"&gt;APELAÇÃO CÍVEL. AÇÃO DE COBRANÇA. RECONVENÇÃO. REPETIÇÃO DO INDÉBITO EM DOBRO. LITIGÂNCIA DE MÁ-FÉ. DANOS MORAIS E MATERIAIS. RECURSOS</w:t>
            </w:r>
          </w:p>
          <w:p>
            <w:pPr>
              <w:pStyle w:val="TableParagraph"/>
              <w:spacing w:line="208" w:lineRule="auto" w:before="0"/>
              <w:rPr>
                <w:sz w:val="20"/>
              </w:rPr>
            </w:pPr>
            <w:r>
              <w:rPr>
                <w:sz w:val="20"/>
              </w:rPr>
              <w:t>CONHECIDOS E NÃO PROVIDOS.&lt;/span&gt;&lt;/p&gt;&lt;p style="line-height: 1.7999999999999998; text-align: justify; margin-top: 0pt; margin-bottom: 0pt;"</w:t>
            </w:r>
            <w:r>
              <w:rPr>
                <w:spacing w:val="-18"/>
                <w:sz w:val="20"/>
              </w:rPr>
              <w:t> </w:t>
            </w:r>
            <w:r>
              <w:rPr>
                <w:sz w:val="20"/>
              </w:rPr>
              <w:t>dir="ltr"&gt;</w:t>
            </w:r>
          </w:p>
          <w:p>
            <w:pPr>
              <w:pStyle w:val="TableParagraph"/>
              <w:spacing w:line="208" w:lineRule="auto" w:before="0"/>
              <w:ind w:right="19"/>
              <w:rPr>
                <w:sz w:val="20"/>
              </w:rPr>
            </w:pPr>
            <w:r>
              <w:rPr>
                <w:sz w:val="20"/>
              </w:rPr>
              <w:t>&lt;span style="font-size: 12pt; font-family: 'Times New Roman',serif; color: #000000; background-color: transparent; font-weight: 700; font-style: normal; font-variant: normal; text-decoration: none; vertical-align: baseline; white-space: pre-wrap;"&gt;Caso em exame:&lt;/span&gt;&lt;/p&gt;&lt;p style="line-height: 1.7999999999999998; text-align: justify; margin- top: 0pt; margin-bottom: 0pt;" dir="ltr"&gt; &lt;span style="font-size: 12pt; font-family: 'Times New Roman',serif; color: #000000; background-color: transparent; font-weight: 400; font- style: normal; font-variant: normal; text-decoration: none; vertical-align: baseline; white- space: pre-wrap;"&gt;1. Trata-se de Apelação Cível interposta por HOSPITAL ANTÔNIO PRUDENTE LTDA e Recurso Adesivo interposto pelo promovido/reconvinte MARCOS ALVES BEZERRA onde se insurgem contra sentença proferida pelo Juízo da 37ª Vara Cível da Comarca de Fortaleza/CE, que acolheu a preliminar de coisa julgada e extinguiu </w:t>
            </w:r>
            <w:r>
              <w:rPr>
                <w:spacing w:val="-18"/>
                <w:sz w:val="20"/>
              </w:rPr>
              <w:t>o </w:t>
            </w:r>
            <w:r>
              <w:rPr>
                <w:sz w:val="20"/>
              </w:rPr>
              <w:t>feito sem resolução do mérito quanto ao pedido inicial, julgando parcialmente procedente a reconvenção para condenar a promovente ao pagamento em dobro dos valores cobrados indevidamente, além de multa por litigância de má-fé, e indeferindo os pedidos de danos morais e materiais.&lt;/span&gt;&lt;/p&gt;&lt;p style="line-height: 1.7999999999999998; text-align: justify; margin-top: 0pt; margin-bottom: 0pt;" dir="ltr"&gt;&lt;span style="font-size: 12pt; font- family: 'Times New Roman',serif; color: #000000; background-color: transparent; font- weight: 700; font-style: normal; font-variant: normal; text-decoration: none; vertical-align: baseline; white-space: pre-wrap;"&gt;Questão em discussão:&amp;#160; &amp;#160;&lt;/span&gt; &lt;span style="font-size: 12pt; font-family: 'Times New Roman',serif; color: #000000; background- color: transparent; font-weight: 700; font-style: normal; font-variant: normal; text-decoration: none; vertical-align: baseline; white-space: pre-wrap;"&gt; &lt;br /&gt;&lt;/span&gt;&lt;span style="font- size: 12pt; font-family: 'Times New Roman',serif; color: #000000; background-color: transparent; font-weight: 400; font-style: normal; font-variant: normal; text-decoration: none; vertical-align: baseline; white-space: pre-wrap;"&gt;2. Cinge-se a controvérsia recursal 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9"/>
              <w:rPr>
                <w:sz w:val="20"/>
              </w:rPr>
            </w:pPr>
            <w:r>
              <w:rPr>
                <w:sz w:val="20"/>
              </w:rPr>
              <w:t>verificar a correção da sentença quanto: (i) à condenação pela repetição do indébito em dobro; (ii) à configuração da litigância de má-fé; (iii) ao não reconhecimento dos danos morais e materiais pleiteados.&lt;/span&gt;&lt;/p&gt;&lt;p style="line-height: 1.7999999999999998; text-align: justify; margin-top: 0pt; margin-bottom: 0pt;" dir="ltr"&gt;&lt;span style="font-size: 12pt; font-family: 'Times New Roman',serif; color: #000000; background-color: </w:t>
            </w:r>
            <w:r>
              <w:rPr>
                <w:spacing w:val="-2"/>
                <w:sz w:val="20"/>
              </w:rPr>
              <w:t>transparent; </w:t>
            </w:r>
            <w:r>
              <w:rPr>
                <w:sz w:val="20"/>
              </w:rPr>
              <w:t>font-weight: 700; font-style: normal; font-variant: normal; text-decoration: none; vertical- align: baseline; white-space: pre-wrap;"&gt;Razões de decidir:&lt;/span&gt;&lt;span style="font-size: 12pt; font-family: 'Times New Roman',serif; color: #000000; background-color: </w:t>
            </w:r>
            <w:r>
              <w:rPr>
                <w:spacing w:val="-2"/>
                <w:sz w:val="20"/>
              </w:rPr>
              <w:t>transparent; </w:t>
            </w:r>
            <w:r>
              <w:rPr>
                <w:sz w:val="20"/>
              </w:rPr>
              <w:t>font-weight: 700; font-style: normal; font-variant: normal; text-decoration: none; vertical- align: baseline; white-space: pre-wrap;"&gt; &lt;br /&gt;&lt;/span&gt;&lt;span style="font-size: 12pt; font- family: 'Times New Roman',serif; color: #000000; background-color: transparent; font- weight: 400; font-style: normal; font-variant: normal; text-decoration: none; vertical-align:</w:t>
            </w:r>
          </w:p>
          <w:p>
            <w:pPr>
              <w:pStyle w:val="TableParagraph"/>
              <w:spacing w:line="208" w:lineRule="auto" w:before="0"/>
              <w:ind w:right="31"/>
              <w:rPr>
                <w:sz w:val="20"/>
              </w:rPr>
            </w:pPr>
            <w:r>
              <w:rPr>
                <w:sz w:val="20"/>
              </w:rPr>
              <w:t>baseline; white-space: pre-wrap;"&gt;3. A tese recursal do Hospital sustenta a inaplicabilidade do art. 940 do Código Civil, alegando ausência de pagamento pelo requerido e de má-fé na cobrança, além de requerer o afastamento da multa por litigância de má-fé.&amp;#160; &amp;#160; &amp;#160;&lt;/span&gt;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42"/>
              <w:rPr>
                <w:sz w:val="20"/>
              </w:rPr>
            </w:pPr>
            <w:r>
              <w:rPr>
                <w:sz w:val="20"/>
              </w:rPr>
              <w:t>&lt;br /&gt;&lt;/span&gt;&lt;span style="font-size: 12pt; font-family: 'Times New Roman',serif; color: #000000; background-color: transparent; font-weight: 400; font-style: normal; font-variant: normal; text-decoration: none; vertical-align: baseline; white-space: pre-wrap;"&gt;4. Contudo, restou demonstrado que a cobrança versou sobre valores já abrangidos por decisão transitada em julgado, que reconheceu a cobertura dos serviços médicos pelo plano de saúde. Diante das especificidades do caso concreto, tem-se configurada, portanto, a cobrança judicial de contraprestação já paga e a má-fé da demandante, justificando a aplicação do art. 940 do Código Civil e do art. 80, I, do CPC. &amp;#160; &amp;#160;&lt;/span&gt; </w:t>
            </w:r>
            <w:r>
              <w:rPr>
                <w:spacing w:val="-3"/>
                <w:sz w:val="20"/>
              </w:rPr>
              <w:t>&lt;span </w:t>
            </w:r>
            <w:r>
              <w:rPr>
                <w:sz w:val="20"/>
              </w:rPr>
              <w:t>style="font-size: 12pt; font-family: 'Times New Roman',serif; color: #000000; background- color: transparent; font-weight: 400; font-style: normal; font-variant: normal; text-decoration: none; vertical-align: baseline; white-space: pre-wrap;"&gt; &lt;br /&gt;&lt;/span&gt;&lt;span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pre-wrap;"&gt;5. No tocante ao recurso adesivo, não há elementos que evidenciem abalo moral indenizável, inexistindo prova de inscrição em cadastros restritivos, protesto ou exposição vexatória. Também não restou comprovado o alegado dano material, ante a ausência de documentos que comprovem pagamento de honorários contratuais no valor afirmado.&lt;/span&gt;&lt;/p&gt;&lt;p style="line-height: 1.7999999999999998; text-align: justify; margin-top: 0pt; margin-bottom: 0pt;" dir="ltr"&gt;</w:t>
            </w:r>
          </w:p>
          <w:p>
            <w:pPr>
              <w:pStyle w:val="TableParagraph"/>
              <w:spacing w:line="208" w:lineRule="auto" w:before="0"/>
              <w:ind w:right="76"/>
              <w:rPr>
                <w:sz w:val="20"/>
              </w:rPr>
            </w:pPr>
            <w:r>
              <w:rPr>
                <w:sz w:val="20"/>
              </w:rPr>
              <w:t>&lt;span style="font-size: 12pt; font-family: 'Times New Roman',serif; color: #000000; background-color: transparent; font-weight: 700; font-style: normal; font-variant: normal; text-decoration: none; vertical-align: baseline; white-space: pre-wrap;"&gt;Dispositivo:&lt;/span&gt;</w:t>
            </w:r>
          </w:p>
          <w:p>
            <w:pPr>
              <w:pStyle w:val="TableParagraph"/>
              <w:tabs>
                <w:tab w:pos="6553" w:val="left" w:leader="none"/>
              </w:tabs>
              <w:spacing w:line="208" w:lineRule="auto" w:before="0"/>
              <w:ind w:right="243"/>
              <w:rPr>
                <w:sz w:val="20"/>
              </w:rPr>
            </w:pPr>
            <w:r>
              <w:rPr>
                <w:sz w:val="20"/>
              </w:rPr>
              <w:t>&lt;span style="font-size: 12pt; font-family: 'Times New Roman',serif; color: #000000; background-color: transparent; font-weight: 700; font-style: normal; font-variant: normal; text-decoration: none; vertical-align: baseline; white-space: pre-wrap;"&gt;</w:t>
              <w:tab/>
              <w:t>&lt;br /&gt; </w:t>
            </w:r>
            <w:r>
              <w:rPr>
                <w:spacing w:val="3"/>
                <w:sz w:val="20"/>
              </w:rPr>
              <w:t> </w:t>
            </w:r>
            <w:r>
              <w:rPr>
                <w:spacing w:val="-3"/>
                <w:sz w:val="20"/>
              </w:rPr>
              <w:t>&lt;/span&gt;</w:t>
            </w:r>
          </w:p>
          <w:p>
            <w:pPr>
              <w:pStyle w:val="TableParagraph"/>
              <w:tabs>
                <w:tab w:pos="5119" w:val="left" w:leader="none"/>
                <w:tab w:pos="5863" w:val="left" w:leader="none"/>
              </w:tabs>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pre-wrap;"&gt;6. Recursos conhecidos e não providos. Honorários sucumbenciais majorados.&lt;/span&gt; &lt;span style="font-size: 12pt; font-family: 'Times New Roman',serif; color: #000000; background- color: transparent; font-weight: 400; font-style: normal; font-variant: normal; text-decoration: none; vertical-align: baseline; white-space: pre-wrap;"&gt;</w:t>
              <w:tab/>
              <w:t>&lt;br /&gt;</w:t>
              <w:tab/>
              <w:t>&lt;br /&gt; &lt;/span&gt;&lt;/p&gt;&lt;p style="line-height: 2.4; text-align: center; margin-top: 12pt; margin-bottom: 12pt;" dir="ltr"&gt;</w:t>
            </w:r>
          </w:p>
          <w:p>
            <w:pPr>
              <w:pStyle w:val="TableParagraph"/>
              <w:spacing w:line="208" w:lineRule="auto" w:before="0"/>
              <w:ind w:right="53"/>
              <w:rPr>
                <w:sz w:val="20"/>
              </w:rPr>
            </w:pPr>
            <w:r>
              <w:rPr>
                <w:sz w:val="20"/>
              </w:rPr>
              <w:t>&lt;span style="font-size: 13.999999999999998pt; font-family: 'Times New Roman',serif; color: #000000; background-color: transparent; font-weight: 700; font-style: normal; font- variant: normal; text-decoration: none; vertical-align: baseline; white-space: pre- wrap;"&gt;ACÓRDÃO&lt;/span&gt; &lt;span style="background-color: transparent; font-family: &amp;quot;Times New Roman&amp;quot;, serif; font-size: 14pt; font-weight: 700; white-space- collapse: preserve;"&gt;&amp;#160;&lt;/span&gt;&lt;/p&gt;&lt;p style="line-height: 1.7999999999999998; text- indent: 71pt; text-align: justify; margin-top: 6pt; margin-bottom: 12pt;" dir="ltr"&gt;&lt;span style="font-size: 12pt; font-family: 'Times New Roman',serif; color: #000000; background- 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 &lt;span style="font-size: 12pt; font-family: 'Times New Roman',serif; color: #000000; background-color: transparent; font-weight: 700; font-style: normal; font-variant: normal; text-decoration: none; vertical-align: baseline; white-space: pre-wrap;"&gt;CONHECER&lt;/span&gt; &lt;span style="font-size: 12pt; font-family: 'Times New Roman',serif; color: #000000; background-color: transparent; font-weight: 400; font-style: normal; font-variant: normal; text-decoration: none; vertical-align: baseline; white-space: pre-wrap;"&gt;e&lt;/span&gt; &lt;span style="font-size: 12pt; font-family: 'Times New Roman',serif; color: #000000; background-color: transparent; font-weight: 700; font-style: normal;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variant: normal; text-decoration: none; vertical-align: baseline; white-space: pre- wrap;"&gt;NEGAR PROVIMENTO&lt;/span&gt; &lt;span style="font-size: 12pt; font-family: 'Times New Roman',serif; color: #000000; background-color: transparent; font-weight: 400; font- style: normal; font-variant: normal; text-decoration: none; vertical-align: baseline; white- space: pre-wrap;"&gt;aos recursos interpostos, em conformidade com o voto do Relator.&lt;/span&gt;&lt;/p&gt;&lt;p style="line-height: 1.7999999999999998; text-indent: 71pt; text- align: justify; margin-top: 6pt; margin-bottom: 12pt;" dir="ltr"&gt; &lt;span style="font-size: 12pt; font-family: 'Times New Roman',serif; color: #000000; background-color: transparent; font- weight: 400; font-style: normal; font-variant: normal; text-decoration: none; vertical-align: baseline; white-space: pre-wrap;"&gt;Fortaleza, data registrada no sistema.&lt;/span&gt;&lt;/p&gt;&lt;p style="line-height: 1.7999999999999998; text-align: center; margin-top: 12pt; margin- bottom: 12pt;" dir="ltr"&gt; &lt;span style="font-size: 12pt; font-family: 'Times New Roman',serif; color: #000000; background-color: transparent; font-weight: 700; font-style: normal; font- 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white- space: pre-wrap;"&gt;MARIA REGINA OLIVEIRA CÂMARA&lt;/span&gt;&lt;/p&gt;&lt;p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pre-wrap;"&gt;Presidente do Órgão Julgador&lt;/span&gt;&lt;/p&gt;&lt;p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pre-wrap;"&gt;FRANCISCO LUCÍDIO DE QUEIROZ JÚNIOR&lt;/span&gt;&lt;/p&gt;&lt;p style="line-height: 1.7999999999999998; text-align: center;</w:t>
            </w:r>
          </w:p>
          <w:p>
            <w:pPr>
              <w:pStyle w:val="TableParagraph"/>
              <w:spacing w:line="208" w:lineRule="auto" w:before="0"/>
              <w:ind w:right="20"/>
              <w:rPr>
                <w:sz w:val="20"/>
              </w:rPr>
            </w:pPr>
            <w:r>
              <w:rPr>
                <w:sz w:val="20"/>
              </w:rPr>
              <w:t>margin-top: 12pt; margin-bottom: 12pt;" dir="ltr"&gt; &lt;span style="font-size: 12pt; font-family: 'Times New Roman',serif; color: #000000; background-color: transparent; font-weight: 400; font-style: normal; font-variant: normal; text-decoration: none; vertical-align: baseline; white- space: pre-wrap;"&gt;&amp;#160;Desembargador Relator&lt;/span&gt;&lt;/p&gt;&lt;p style="line-height: 1.7999999999999998; text-align: justify;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1.7999999999999998; text-align: justify; margin-top: 12pt; margin-bottom: 12pt;" dir="ltr"&gt; &lt;span style="font-size: 12pt; font-family: 'Times New Roman',serif; color: #000000; background-color: transparent; font-weight: 400; font-style: normal; font-variant: normal; text-decoration: none; vertical-align: baseline; white- space: pre-wrap;"&gt;&amp;#160;&lt;/span&gt;&lt;/p&gt;&lt;p style="line-height: 1.7999999999999998; text- indent: 2pt; text-align: center; margin-top: 12pt; margin-bottom: 12pt;" dir="ltr"&gt; &lt;span style="font-size: 12pt; font-family: 'Times New Roman',serif; color: #000000; background- color: transparent; font-weight: 700; font-style: normal; font-variant: normal; text-decoration: none; vertical-align: baseline; white-space: pre-wrap;"&gt;&amp;#160;&lt;/span&gt;&lt;/p&gt;&lt;p style="line- height: 1.7999999999999998; text-indent: 2pt; text-align: center; margin-top: 12pt; margin- bottom: 12pt;" dir="ltr"&gt; &lt;span style="font-size: 12pt; font-family: 'Times New Roman',serif; color: #000000; background-color: transparent; font-weight: 700; font-style: normal; font- variant: normal; text-decoration: none; vertical-align: baseline; white-space: pre- wrap;"&gt;RELATÓRIO&lt;/span&gt;&lt;/p&gt;&lt;p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preserve;"&gt;Trata- se de &lt;strong&gt;Apelação Cível&lt;/strong&gt; interposta por &lt;strong&gt;HOSPITAL ANTÔNIO PRUDENTE LTDA&lt;/strong&gt; e &lt;strong&gt;Recurso Adesivo&lt;/strong&gt; interposto por</w:t>
            </w:r>
          </w:p>
          <w:p>
            <w:pPr>
              <w:pStyle w:val="TableParagraph"/>
              <w:spacing w:line="208" w:lineRule="auto" w:before="0"/>
              <w:ind w:right="81"/>
              <w:rPr>
                <w:sz w:val="20"/>
              </w:rPr>
            </w:pPr>
            <w:r>
              <w:rPr>
                <w:sz w:val="20"/>
              </w:rPr>
              <w:t>&lt;strong&gt;MARCOS ALVES BEZERRA&lt;/strong&gt; em face da Sentença prolatada pelo juízo da 37ª Vara Cível da Comarca de Fortaleza/CE nos autos de &lt;strong&gt;ação de cobrança.&lt;/strong&gt;&lt;/span&gt;&lt;/p&gt;&lt;p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1"/>
              <w:rPr>
                <w:sz w:val="20"/>
              </w:rPr>
            </w:pPr>
            <w:r>
              <w:rPr>
                <w:sz w:val="20"/>
              </w:rPr>
              <w:t>demanda foi proposta por HOSPITAL ANTÔNIO PRUDENTE LTDA na qual cobra de MARCOS ALVES BEZERRA o pagamento por serviços médicos e hospitalares. Narrou que o promovido possuía plano de saúde, mas os serviços foram prestados dentro do período de carência contratual.&lt;/span&gt;&lt;/p&gt;&lt;p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preserve;"&gt;O promovido, por sua vez, apresentou reconvenção pleiteando a repetição do indébito e indenização por danos morais.&lt;/span&gt;&lt;/p&gt;&lt;p style="text-align: justify; font- family: &amp;quot;Times New Roman&amp;quot;; font-size: medium; line-height: 1.8; text-indent: 56.6929pt; margin-top: 12pt; margin-bottom: 12pt;"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preserve;"&gt;O juízo&lt;/span&gt; &lt;span style="font-size: 12pt; font-family: &amp;quot;Times New Roman&amp;quot;, serif; background-color: transparent; font-style: italic; font- variant-numeric: normal; font-variant-east-asian: normal; font-variant-alternates: normal; font-variant-position: normal; font-variant-emoji: normal; vertical-align: baseline; white- space-collapse: preserve;"&gt;a quo&lt;/span&gt;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preserve;"&gt;julgou o feito, acolhendo a preliminar ao mérito de coisa julgada, extinguindo o feito sem resolução do mérito em face da promovente e julgou parcialmente procedentes os pedidos do reconvinte:&lt;/span&gt;&lt;/p&gt;&lt;p style="text-align: justify; font-family: &amp;quot;Times New Roman&amp;quot;; font-size: medium; line-height: 1.8; margin-left: 113pt; margin-top: 12pt; margin-bottom: 12pt;" dir="ltr"&gt;&lt;span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 Isto posto,&lt;/span&gt; &lt;span style="font-size: 12pt; font-family: &amp;quot;Times New Roman&amp;quot;, serif; background-color: transparent; font-weight: 700; font-style: italic; font-variant-numeric: normal; font-variant-east-asian: normal; font-variant-alternates: normal; font-variant-position: normal; font-variant-emoji: normal; vertical-align: baseline; white-space-collapse: preserve;"&gt;ACOLHO&lt;/span&gt;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preserve;"&gt;a preliminar de coisa julgada, extinguindo o processo sem resolução de mérito, em relação à pretensão autoral, o que faço com fundamento no art. 485, V, do CPC/15.&lt;/span&gt;&lt;/p&gt;&lt;p style="text-align: justify; font-family: &amp;quot;Times New Roman&amp;quot;; font-size: medium; line-height: 1.8; margin-left: 113pt; margin-top: 12pt; margin-bottom: 12pt;" dir="ltr"&gt;&lt;span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preserve;"&gt;Por outro lado,&lt;/span&gt; &lt;span style="font-size: 12pt; font-family: &amp;quot;Times New Roman&amp;quot;, serif; background-color: transparent; font-weight: 700; font-style: italic; font-variant-numeric: normal; font-variant-east-asian: normal; font-variant-alternates: normal; font-variant-position: normal; font-variant-emoji: normal; vertical-align: baseline; white-space-collapse: preserve;"&gt;JULGO PARCIALMENTE PROCEDENTES&lt;/span&gt;</w:t>
            </w:r>
          </w:p>
          <w:p>
            <w:pPr>
              <w:pStyle w:val="TableParagraph"/>
              <w:spacing w:line="208" w:lineRule="auto" w:before="0"/>
              <w:ind w:right="77"/>
              <w:rPr>
                <w:sz w:val="20"/>
              </w:rPr>
            </w:pPr>
            <w:r>
              <w:rPr>
                <w:sz w:val="20"/>
              </w:rPr>
              <w:t>&lt;span style="font-size: 12pt; font-family: &amp;quot;Times New Roman&amp;quot;, serif; background-color: transparent; font-style: italic; font-variant-numeric: normal; font-variant- east-asian: normal; font-variant-alternates: normal; font-variant-position: normal; font- variant-emoji: normal; vertical-align: baseline; white-space-collapse: preserve;"&gt;os pedidos formulados na reconvenção, extinguindo-a com resolução do mérito, o que faço com base no art. 487, I, do CPC, nos seguintes termos:&lt;/span&gt;&lt;/p&gt;&lt;p style="text-align: justify; font- family: &amp;quot;Times New Roman&amp;quot;; font-size: medium; line-height: 1.8; margin-left: 113pt; margin-top: 12pt; margin-bottom: 12pt;" dir="ltr"&gt;&lt;span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preserve;"&gt;a)&lt;/span&gt; &lt;span style="font-size: 12pt; font-family: &amp;quot;Times New Roman&amp;quot;, serif; background-color: transparent; font-weight: 700; font-style: italic; font-variant-numeric: normal; font-variant-east-asian: normal; font-variant- alternates: normal; font-variant-position: normal; font-variant-emoji: normal; vertical-align: baseline; white-space-collapse: preserve;"&gt;CONDENAR&lt;/span&gt; &lt;span style="font-size: 12pt; font-family: &amp;quot;Times New Roman&amp;quot;, serif; background-color: transparent;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font-style: italic; font-variant-numeric: normal; font-variant-east-asian: normal; font-variant- alternates: normal; font-variant-position: normal; font-variant-emoji: normal; vertical-align: baseline; white-space-collapse: preserve;"&gt;o reconvindo HOSPITAL ANTÔNIO PRUDENTE LTDA a pagar ao réu/reconvinte a quantia de R$ 36.093,06 (trinta e seis mil e noventa e três reais e seis centavos), que corresponde ao dobro do valor cobrado indevidamente, nos termos do art. 940 do Código Civil,&lt;/span&gt; &lt;span style="font-size: 12pt; font-family: &amp;quot;Times New Roman&amp;quot;, serif; background-color: transparent; font-style: italic; font-variant-numeric: normal; font-variant-east-asian: normal; font-variant- alternates: normal; font-variant-position: normal; font-variant-emoji: normal; text-decoration- line: underline; text-decoration-skip-ink: none; vertical-align: baseline; white-space- collapse: preserve;"&gt;corrigidos monetariamente&lt;/span&gt;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preserve;"&gt;a partir do ajuizamento da reconvenção, pelo IPCA, e&lt;/span&gt; &lt;span style="font-size: 12pt; font-family: &amp;quot;Times New Roman&amp;quot;, serif; background-color: transparent; font-style: italic; font-variant-numeric: normal; font-variant- east-asian: normal; font-variant-alternates: normal; font-variant-position: normal; font- variant-emoji: normal; text-decoration-line: underline; text-decoration-skip-ink: none; vertical-align: baseline; white-space-collapse: preserve;"&gt;juros de mora&lt;/span&gt; &lt;span style="font-size: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preserve;"&gt;à taxa referencial do SELIC, deduzido o índice de atualização monetária aludido, na forma determinada pelo artigo 406 do Código Civil, a partir da redação imposta pela Lei 14.905/24, a partir da intimação da reconvenção;&lt;/span&gt;&lt;/p&gt;&lt;p style="text-align: justify; font-family: &amp;quot;Times New Roman&amp;quot;; font-size: medium; line-height: 1.8; margin-left: 113pt; margin-top: 12pt; margin-bottom: 12pt;" dir="ltr"&gt;&lt;span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preserve;"&gt;b)&lt;/span&gt; &lt;span style="font-size: 12pt; font-family: &amp;quot;Times New Roman&amp;quot;, serif; background-color: transparent; font-weight: 700; font-style: italic; font- variant-numeric: normal; font-variant-east-asian: normal; font-variant-alternates: normal; font-variant-position: normal; font-variant-emoji: normal; vertical-align: baseline; white- space-collapse: preserve;"&gt;CONDENAR&lt;/span&gt; &lt;span style="font-size: 12pt; font-family: &amp;quot;Times New Roman&amp;quot;, serif; background-color: transparent; font-style: italic; </w:t>
            </w:r>
            <w:r>
              <w:rPr>
                <w:spacing w:val="-4"/>
                <w:sz w:val="20"/>
              </w:rPr>
              <w:t>font- </w:t>
            </w:r>
            <w:r>
              <w:rPr>
                <w:sz w:val="20"/>
              </w:rPr>
              <w:t>variant-numeric: normal; font-variant-east-asian: normal; font-variant-alternates: normal; font-variant-position: normal; font-variant-emoji: normal; vertical-align: baseline; white- space-collapse: preserve;"&gt;o reconvindo HOSPITAL ANTÔNIO PRUDENTE LTDA ao pagamento de multa de litigância de má-fé no percentual de 5% (cinco por cento) do valor atualizado da causa, em favor do réu/reconvinte;&lt;/span&gt;&lt;/p&gt;&lt;p style="text-align: justify; font-family: &amp;quot;Times New Roman&amp;quot;; font-size: medium; line-height: 1.8; margin- left: 113pt; margin-top: 12pt; margin-bottom: 12pt;" dir="ltr"&gt;&lt;span style="font-size: 12pt; font-family: &amp;quot;Times New Roman&amp;quot;, serif; background-color: transparent; font- style: italic; font-variant-numeric: normal; font-variant-east-asian: normal; font-variant- alternates: normal; font-variant-position: normal; font-variant-emoji: normal; vertical-align: baseline; white-space-collapse: preserve;"&gt;c)&lt;/span&gt; &lt;span style="font-size: 12pt; font- family: &amp;quot;Times New Roman&amp;quot;, serif; background-color: transparent; font-weight: 700; font-style: italic; font-variant-numeric: normal; font-variant-east-asian: normal; font- variant-alternates: normal; font-variant-position: normal; font-variant-emoji: normal; vertical- align: baseline; white-space-collapse: preserve;"&gt;INDEFERIR&lt;/span&gt; &lt;span style="font- 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preserve;"&gt;os pedidos de indenização por danos morais e danos materiais.&lt;/span&gt;&lt;/p&gt;&lt;p style="text-align: justify; font-family: &amp;quot;Times New Roman&amp;quot;; font-size: medium; line-height: 1.8; margin-left: 113pt; margin-top: 12pt; margin-bottom: 12pt;" dir="ltr"&gt; &lt;span style="background-color: transparent; font-family: &amp;quot;Times New Roman&amp;quot;, serif; font-size: 12pt; font-style: italic; white-space-collapse: preserve;"&gt;Condeno o autor/reconvindo ao pagamento por inteiro de custas do processo, bem como honorários de advogado, que arbitro em dez por cento (10%) do valor da condenação, com fundamento no art. 85, § 2.º, e art. 86, parágrafo único, do CPC/15. (...)&lt;/span&gt;&lt;/p&gt;&lt;p style="text-align: justify; font-family: &amp;quot;Times New Roman&amp;quot;; font-size: medium; line-height: 1.8; margin-top: 12pt; margin-bottom: 12pt;" dir="ltr"&gt;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
              <w:rPr>
                <w:sz w:val="20"/>
              </w:rPr>
            </w:pPr>
            <w:r>
              <w:rPr>
                <w:sz w:val="20"/>
              </w:rPr>
              <w:t>preserve;"&gt;&amp;#160;&lt;/span&gt;&lt;/p&gt;&lt;p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preserve;"&gt;Irresignado, o autor apresentou apelação e em suas&lt;/span&gt; &lt;span style="font- 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preserve;"&gt;razões&lt;/span&gt;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preserve;"&gt;(id. 22513443), sustentando a inaplicabilidade da devolução em dobro prevista no art. 940 do Código Civil, apontando a ausência de </w:t>
            </w:r>
            <w:r>
              <w:rPr>
                <w:spacing w:val="-5"/>
                <w:sz w:val="20"/>
              </w:rPr>
              <w:t>seus </w:t>
            </w:r>
            <w:r>
              <w:rPr>
                <w:sz w:val="20"/>
              </w:rPr>
              <w:t>requisitos, quais sejam o pagamento pelo demandado e a má-fé. Aponta ainda não ser possível a condenação por litigância de má-fé.&lt;/span&gt;&lt;/p&gt;&lt;p style="text-align: justify; font- family: &amp;quot;Times New Roman&amp;quot;; font-size: medium; line-height: 1.8; text-indent: 56.6929pt; margin-top: 12pt; margin-bottom: 12pt;"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preserve;"&gt;O promovido e reconvinte interpôs recurso adesivo, pleiteando em suas&lt;/span&gt; &lt;span style="font-size: 12pt; font-family: &amp;quot;Times New Roman&amp;quot;, serif; background-color: transparent; font-weight: 700; font-variant-numeric: normal; font- variant-east-asian: normal; font-variant-alternates: normal; font-variant-position: normal; font-variant-emoji: normal; vertical-align: baseline; white-space-collapse: preserve;"&gt;razões&lt;/span&gt;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preserve;"&gt;(id.</w:t>
            </w:r>
          </w:p>
          <w:p>
            <w:pPr>
              <w:pStyle w:val="TableParagraph"/>
              <w:spacing w:line="208" w:lineRule="auto" w:before="0"/>
              <w:ind w:right="28"/>
              <w:rPr>
                <w:sz w:val="20"/>
              </w:rPr>
            </w:pPr>
            <w:r>
              <w:rPr>
                <w:sz w:val="20"/>
              </w:rPr>
              <w:t>22513450) o reconhecimento de danos morais e o pagamento de danos materiais representados pelos honorários advocatícios&lt;/span&gt;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preserve;"&gt;contratuais&lt;/span&gt;&lt;span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preserve;"&gt;.&lt;/span&gt;&lt;/p&gt;&lt;p style="text-align: justify; font-family: &amp;quot;Times </w:t>
            </w:r>
            <w:r>
              <w:rPr>
                <w:spacing w:val="-6"/>
                <w:sz w:val="20"/>
              </w:rPr>
              <w:t>New </w:t>
            </w:r>
            <w:r>
              <w:rPr>
                <w:sz w:val="20"/>
              </w:rPr>
              <w:t>Roman&amp;quot;; font-size: medium; line-height: 1.8; text-indent: 56.6929pt; margin-top: 12pt; margin-bottom: 12pt;"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preserve;"&gt;As&lt;/span&gt;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preserve;"&gt;contrarrazões&lt;/span&gt;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preserve;"&gt;foram apresentadas em id. 22513449 e id. 22513455.&lt;/span&gt;&lt;/p&gt;&lt;p style="text-align: justify;</w:t>
            </w:r>
          </w:p>
          <w:p>
            <w:pPr>
              <w:pStyle w:val="TableParagraph"/>
              <w:spacing w:line="208" w:lineRule="auto" w:before="0"/>
              <w:ind w:right="24"/>
              <w:rPr>
                <w:sz w:val="20"/>
              </w:rPr>
            </w:pPr>
            <w:r>
              <w:rPr>
                <w:sz w:val="20"/>
              </w:rPr>
              <w:t>font-family: &amp;quot;Times New Roman&amp;quot;; font-size: medium; line-height: 1.8; text- indent: 56.6929pt; margin-top: 12pt; margin-bottom: 12pt;" dir="ltr"&gt;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preserve;"&gt;Encaminhados os autos à Douta Procuradoria Geral de Justiça, o órgão ministerial entendeu não ser caso de manifestação meritória da instituição.&lt;/span&gt;&lt;/p&gt;&lt;p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preserve;"&gt;Os autos retornaram conclusos.&lt;/span&gt;&lt;/p&gt;&lt;p style="text-align: justify; font-family: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&amp;quot;Times New Roman&amp;quot;; font-size: medium; line-height: 1.8; text-indent: 56.6929pt; margin-top: 12pt; margin-bottom: 12pt;" dir="ltr"&gt; &lt;span style="background-color: transparent; font-family: &amp;quot;Times New Roman&amp;quot;, serif; font-size: 12pt; text-indent: 56.6929pt; white-space-collapse: preserve;"&gt;É o relatório.&lt;/span&gt;&lt;/p&gt;&lt;p style="line- height: 1.7999999999999998; text-indent: 2pt; text-align: center; margin-top: 12pt; margin- bottom: 12pt;" dir="ltr"&gt; &lt;span style="font-size: 12pt; font-family: 'Times New Roman',serif; color: #000000; background-color: transparent; font-weight: 700; font-style: normal; font- variant: normal; text-decoration: none; vertical-align: baseline; white-space: pre- wrap;"&gt;VOTO&lt;/span&gt;&lt;/p&gt;&lt;p style="line-height: 1.7999999999999998; text-indent: 2pt; text-align: center; margin-top: 12pt; margin-bottom: 12pt;" dir="ltr"&gt; &lt;span style="font-size: 12pt; font-family: 'Times New Roman',serif; color: #000000; background-color: transparent; font-weight: 700; font-style: normal; font-variant: normal; text-decoration: none; vertical- align: baseline; white-space: pre-wrap;"&gt;&amp;#160;&lt;/span&gt;&lt;/p&gt;&lt;p style="line-height: 1.7999999999999998; text-indent: 56.692913385826756pt; text-align: justify; margin-top: 6pt; margin-bottom: 6pt;" dir="ltr"&gt; &lt;span style="font-size: 12pt; font-family: 'Times New Roman',serif; color: #000000; background-color: transparent; font-weight: 700; font-style: normal; font-variant: normal; text-decoration: none; vertical-align: baseline; white-space: pre-wrap;"&gt;1. JUÍZO DE ADMISSIBILIDADE&lt;/span&gt;&lt;/p&gt;&lt;p style="line-height: 1.7999999999999998; text-indent: 56.692913385826756pt; text-align: justify; margin-top: 6pt; margin-bottom: 6pt;" dir="ltr"&gt;&lt;span style="font-size: 12pt; font-family: 'Times New Roman',serif; color: #000000; background-color: transparent; font-weight: 400; font-style: normal; font-variant: normal; text-decoration: none; vertical-align: baseline; white-space: pre-wrap;"&gt;Presentes os pressupostos recursais de admissibilidade intrínsecos (legitimidade, interesse, cabimento e inexistência de fato impeditivo ou extintivo) e extrínsecos (tempestividade, preparo e regularidade formal),&lt;/span&gt; &lt;span style="font- size: 12pt; font-family: 'Times New Roman',serif; color: #000000; background-color: transparent; font-weight: 700; font-style: normal; font-variant: normal; text-decoration: </w:t>
            </w:r>
            <w:r>
              <w:rPr>
                <w:spacing w:val="-4"/>
                <w:sz w:val="20"/>
              </w:rPr>
              <w:t>none; </w:t>
            </w:r>
            <w:r>
              <w:rPr>
                <w:sz w:val="20"/>
              </w:rPr>
              <w:t>vertical-align: baseline; white-space: pre-wrap;"&gt;CONHEÇO EM PARTE&lt;/span&gt; &lt;span style="font-size: 12pt; font-family: 'Times New Roman',serif; color: #000000; background- color: transparent; font-weight: 400; font-style: normal; font-variant: normal; text-decoration: none; vertical-align: baseline; white-space: pre-wrap;"&gt;do recurso interposto e passo a apreciar o mérito deste.&lt;/span&gt;&lt;/p&gt;&lt;p style="line-height: 1.7999999999999998; text- indent: 56.692913385826756pt; text-align: justify; margin-top: 6pt; margin-bottom: 6pt;" dir="ltr"&gt; &lt;span style="font-size: 12pt; font-family: 'Times New Roman',serif; color: #000000; background-color: transparent; font-weight: 700; font-style: normal; font-variant: normal; text-decoration: none; vertical-align: baseline; white-space: pre-wrap;"&gt;2.</w:t>
            </w:r>
          </w:p>
          <w:p>
            <w:pPr>
              <w:pStyle w:val="TableParagraph"/>
              <w:spacing w:line="208" w:lineRule="auto" w:before="0"/>
              <w:rPr>
                <w:sz w:val="20"/>
              </w:rPr>
            </w:pPr>
            <w:r>
              <w:rPr>
                <w:sz w:val="20"/>
              </w:rPr>
              <w:t>MÉRITO&lt;/span&gt;&lt;/p&gt;&lt;p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pre-wrap;"&gt;Os recursos pretendem discutir a correção da sentença que determinou a repetição em dobro do valor pleiteado na ação de cobrança, condenou a promovente em litigância de má-fé, mas não reconheceu a indenização por danos morais.&lt;/span&gt;&lt;/p&gt;&lt;p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pre-wrap;"&gt;As teses recursais concentram-se nos seguintes pontos: i) correção da repetição do indébito em dobro; ii) (in)existência da litigância de má-fé; iii) existência de abalo moral indenizável; iv) reparação por danos materiais.&lt;/span&gt;&lt;/p&gt;&lt;p style="line- height: 1.7999999999999998; text-indent: 56.692913385826756pt; text-align: justify; 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pre-wrap;"&gt;2.1. DA APELAÇÃO&lt;/span&gt;&lt;/p&gt;&lt;p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pre-wrap;"&gt;No apelo do Hospital Antônio Prudente, inicialmente pleiteia-se o afastamento da&lt;/span&gt; &lt;span style="font-size: 12pt; font-family: 'Times New Roman',serif; color: #000000; background-color: transparent; font-weight: 700; font-style: normal; font-variant: normal; text-decoration: none; vertical-align: baseline; white-space: pre-wrap;"&gt;repetição do indébito em dobro&lt;/span&gt;&lt;span style="font-size: 12pt; font-family: 'Times New Roman',serif; color: #000000; background-color: transparent; font-weight: 400; font-style: normal; font-variant: normal; text-decoration: none; vertical-align: baseline; white-space: pre-wrap;"&gt;, baseada no art. 940 do Código Civil.&lt;/span&gt;&lt;/p&gt;&lt;p style="line-height: 1.7999999999999998; text-indent: 56.692913385826756pt; text-align: justify; margin-top: 12pt; margin-bottom: 12pt;" dir="ltr"&gt; &lt;span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1"/>
              <w:rPr>
                <w:sz w:val="20"/>
              </w:rPr>
            </w:pPr>
            <w:r>
              <w:rPr>
                <w:sz w:val="20"/>
              </w:rPr>
              <w:t>Roman',serif; color: #000000; background-color: transparent; font-weight: 400; font-style: normal; font-variant: normal; text-decoration: none; vertical-align: baseline; white-space: pre-wrap;"&gt;Dispõe o regramento legal:&lt;/span&gt;&lt;/p&gt;&lt;p style="line-height: 1.7999999999999998; margin-left: 113pt; text-align: justify; margin-top: 12pt; margin- bottom: 12pt;" dir="ltr"&gt;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39"/>
              <w:rPr>
                <w:sz w:val="20"/>
              </w:rPr>
            </w:pPr>
            <w:r>
              <w:rPr>
                <w:sz w:val="20"/>
              </w:rPr>
              <w:t>&lt;em&gt;CC, Art. 940. Aquele que demandar por dívida já paga, no todo ou em parte, sem ressalvar as quantias recebidas ou pedir mais do que for devido, ficará obrigado a pagar ao devedor, no primeiro caso, o dobro do que houver cobrado e, no segundo, o equivalente do que dele exigir, salvo se houver prescrição.&lt;/em&gt; &lt;/span&gt;&lt;/p&gt;&lt;p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pre-wrap;"&gt;Interpretando o dispositivo, prevalece que existem dois requisitos para sua incidência: a) cobrança judicial; b) má-fé do demandante.&lt;/span&gt;&lt;/p&gt;&lt;p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39"/>
              <w:rPr>
                <w:sz w:val="20"/>
              </w:rPr>
            </w:pPr>
            <w:r>
              <w:rPr>
                <w:sz w:val="20"/>
              </w:rPr>
              <w:t>&lt;span style="font-size: 12pt; font-family: 'Times New Roman',serif; color: #000000; background-color: transparent; font-weight: 400; font-style: normal; font-variant: normal; text-decoration: none; vertical-align: baseline; white-space: pre-wrap;"&gt;No presente caso, restam presentes seus requisitos autorizadores, tendo em vista a presença de relação jurídica prévia entre as partes, referente a prestação de serviço de saúde complementar e a cobrança de valor inexigível, além da contraprestação já paga pelo serviço de saúde suplementar.&lt;/span&gt;&lt;/p&gt;&lt;p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pre-wrap;"&gt;Veja-se que nos autos do processo de nº 3001559-54.2019.8.06.0220 cuidou-se dos mesmos fatos e fora reconhecido que os serviços médicos e hospitalares estavam incluídos na cobertura do plano de saúde, considerando indevida a cobrança de mais quantias por alegado período de carência contratual.&lt;/span&gt;&lt;/p&gt;&lt;p style="line-height: 1.7999999999999998; text- indent: 56.692913385826756pt; text-align: justify; margin-top: 12pt; margin-bottom: 12pt;" dir="ltr"&gt; &lt;span id="docs-internal-guid-6918fc8e-7fff-c05f-cff4- 7e1f441a538b"&gt;&amp;#160;&lt;/span&gt; &lt;span style="background-color: transparent; font-family: &amp;quot;Times New Roman&amp;quot;, serif; font-size: 12pt; white-space-collapse: preserve; text- indent: 56.6929pt;"&gt;Neste citado processo, o promovido (Marcos Bezerra) pleiteou obrigação de fazer e indenização, tendo sido providos os pedidos com fixação de indenização por dano moral. Inclusive, em manifestação de id. 22513426, a própria promovente, ora apelante, reconheceu a coisa julgada.&lt;/span&gt;&lt;/p&gt;&lt;p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pre-wrap;"&gt;Analisando as especificidades do caso concreto, entende-se que a contraprestação paga pelo consumidor a título de mensalidade do plano de saúde aliada à coisa julgada que concluiu que os serviços estavam cobertos pelo pano, consubstanciam o pagamento apontado pelo dispositivo legal. Enquanto ainda persiste discussão jurídica de possibilidade de cobrança de outros valores além da mensalidade de plano de saúde, até pode se falar de inexistência de dívida já paga e de má-fé.&lt;/span&gt;&lt;/p&gt;&lt;p style="line- 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pre-wrap;"&gt;Não obstante, existindo título executivo judicial apontando que os serviços prestados são cobertos pelo plano de saúde, a propositura de nova ação cobrando os mesmos valores não devidos caracteriza demanda buscando contraprestação financeira já paga e clara má-fé.&lt;/span&gt;&lt;/p&gt;&lt;p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pre-wrap;"&gt;Nesse contexto, conclui-se idônea a condenação por&lt;/span&gt; &lt;span style="font-size: 12pt; font- family: 'Times New Roman',serif; color: #000000; background-color: transparent; font- weight: 700; font-style: normal; font-variant: normal; text-decoration: none; vertical-align: baseline; white-space: pre-wrap;"&gt;litigância de má-fé&lt;/span&gt;&lt;span style="font-size: 12pt; font-family: 'Times New Roman',serif; color: #000000; background-color: transparent; font- weight: 400; font-style: normal; font-variant: normal; text-decoration: none; vertical-align: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8"/>
              <w:rPr>
                <w:sz w:val="20"/>
              </w:rPr>
            </w:pPr>
            <w:r>
              <w:rPr>
                <w:sz w:val="20"/>
              </w:rPr>
              <w:t>baseline; white-space: pre-wrap;"&gt;, com fulcro no art. 80, II, do CPC. Em verdade, a situação em tela se adequa com mais precisão ao art. 80, I, do CPC, tendo em vista que a prestadora de serviço de saúde complementar deduziu pretensão contra fato incontroverso, qual seja a inexistência de valores a maior a serem pagos pelo consumidor, fato coberto pelo manto da coisa julgada e, portanto, incontroverso.&lt;/span&gt;&lt;/p&gt;&lt;p style="line-height: 1.7999999999999998; text-indent: 56.692913385826756pt; text-align: justify; margin-top: 12pt; margin-bottom: 12pt;" dir="ltr"&gt; &lt;span style="font-size: 12pt; font- family: 'Times New Roman',serif; color: #000000; background-color: transparent; font- weight: 700; font-style: normal; font-variant: normal; text-decoration: none; vertical-align: baseline; white-space: pre-wrap;"&gt;2.2. DO RECURSO ADESIVO&lt;/span&gt;&lt;/p&gt;&lt;p style="line-height: 1.7999999999999998; text-indent: 56.692913385826756pt; text-align: justify; margin-top: 12pt; margin-bottom: 12pt;" dir="ltr"&gt;&lt;span style="font-size: 12pt; font- family: 'Times New Roman',serif; color: #000000; background-color: transparent; font- weight: 400; font-style: normal; font-variant: normal; text-decoration: none; vertical-align: baseline; white-space: pre-wrap;"&gt;Em que pese as alegações do recorrente adesivo, não se observa&lt;/span&gt; &lt;span style="font-size: 12pt; font-family: 'Times New Roman',serif; color: #000000; background-color: transparent; font-weight: 700; font-style: normal; font- variant: normal; text-decoration: none; vertical-align: baseline; white-space: pre- wrap;"&gt;abalo moral&lt;/span&gt; &lt;span style="font-size: 12pt; font-family: 'Times New Roman',serif; color: #000000; background-color: transparent; font-weight: 400; font-style: normal; font-variant: normal; text-decoration: none; vertical-align: baseline; white-space: pre-wrap;"&gt;indenizável no presente caso.&lt;/span&gt;&lt;/p&gt;&lt;p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pre-wrap;"&gt;Nessa perspectiva&lt;/span&gt;&lt;span style="font-size: 12pt; font-family: 'Times New Roman',serif; color: #000000; background-color: transparent; font-weight: 400; font-style: italic; font-variant: normal; text-decoration: none; vertical-align: baseline; white-space: pre- wrap;"&gt;, “a verificação do dano moral não reside exatamente na simples ocorrência do ilícito, de sorte que nem todo ato desconforme o ordenamento jurídico enseja indenização por dano moral. O importante é que o ato ilícito seja capaz de irradiar-se para a esfera da dignidade da pessoa, ofendendo-a de maneira relevante."&lt;/span&gt; &lt;span style="font-size: 12pt; font-family: 'Times New Roman',serif; color: #000000; background-color: transparent; font-weight: 400; font-style: normal; font-variant: normal; text-decoration: none; vertical- align: baseline; white-space: pre-wrap;"&gt;(AgRg no REsp 1.269.246/RS, Rel. Ministro LUIS FELIPE SALOMÃO, QUARTATURMA, julgado em 20/05/2014, DJe de</w:t>
            </w:r>
          </w:p>
          <w:p>
            <w:pPr>
              <w:pStyle w:val="TableParagraph"/>
              <w:spacing w:line="208" w:lineRule="auto" w:before="0"/>
              <w:ind w:right="24"/>
              <w:rPr>
                <w:sz w:val="20"/>
              </w:rPr>
            </w:pPr>
            <w:r>
              <w:rPr>
                <w:sz w:val="20"/>
              </w:rPr>
              <w:t>27/05/2014).&lt;/span&gt;&lt;/p&gt;&lt;p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pre-wrap;"&gt;Como bem apontado pelo juízo&lt;/span&gt; &lt;span style="font-size: 12pt; font-family: 'Times New Roman',serif; color: #000000; background-color: transparent; font-weight: 400; font-style: italic; font-variant: normal; text-decoration: none; vertical-align: baseline; white-space: pre- wrap;"&gt;a quo&lt;/span&gt;&lt;span style="font-size: 12pt; font-family: 'Times New Roman',serif; color: #000000; background-color: transparent; font-weight: 400; font-style: normal; font- variant: normal; text-decoration: none; vertical-align: baseline; white-space: pre-wrap;"&gt;, em que pese a cobrança indevida, não se demonstrou de que forma esse ato ilícito afetou aspectos da personalidade do promovido. Não há notícias, por exemplo, de inscrição em cadastros de inadimplentes, de promoção de atos vexatórios em face do consumidor ou existência de protesto.&lt;/span&gt;&lt;/p&gt;&lt;p style="line-height: 1.7999999999999998; </w:t>
            </w:r>
            <w:r>
              <w:rPr>
                <w:spacing w:val="-2"/>
                <w:sz w:val="20"/>
              </w:rPr>
              <w:t>text-indent: </w:t>
            </w:r>
            <w:r>
              <w:rPr>
                <w:sz w:val="20"/>
              </w:rPr>
              <w:t>57pt; text-align: justify; margin-top: 12pt; margin-bottom: 12pt;" dir="ltr"&gt; &lt;span style="font- size: 12pt; font-family: 'Times New Roman',serif; color: #000000; background-color: transparent; font-weight: 400; font-style: normal; font-variant: normal; text-decoration: none; vertical-align: baseline; white-space: pre-wrap;"&gt;Veja-se que o dano moral pela negativa de cobertura já foi fixado no processo de nº 3001559- 54.2019.8.06.0220 com trânsito em julgado, conforme anteriormente citado. Dessa forma, o pedido do reconvinte cinge-se à alegação de dano moral em razão tão apenas do ajuizamento da presente ação.&lt;/span&gt;&lt;/p&gt;&lt;p style="line-height: 1.7999999999999998; text-indent: 56.692913385826756pt; text-align: justify; margin-top: 12pt; margin-bottom: 12pt;" dir="ltr"&gt;</w:t>
            </w:r>
          </w:p>
          <w:p>
            <w:pPr>
              <w:pStyle w:val="TableParagraph"/>
              <w:spacing w:line="208" w:lineRule="auto" w:before="0"/>
              <w:ind w:right="165"/>
              <w:rPr>
                <w:sz w:val="20"/>
              </w:rPr>
            </w:pPr>
            <w:r>
              <w:rPr>
                <w:sz w:val="20"/>
              </w:rPr>
              <w:t>&lt;span style="font-size: 12pt; font-family: 'Times New Roman',serif; color: #000000; background-color: transparent; font-weight: 400; font-style: normal; font-variant: normal; text-decoration: none; vertical-align: baseline; white-space: pre-wrap;"&gt;Assim, não há que se falar em indenização por abalo moral, quando ausente demonstração de um pressuposto central da responsabilidade civil, o dano.&lt;/span&gt;&lt;/p&gt;&lt;p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
              <w:rPr>
                <w:sz w:val="20"/>
              </w:rPr>
            </w:pPr>
            <w:r>
              <w:rPr>
                <w:sz w:val="20"/>
              </w:rPr>
              <w:t>pre-wrap;"&gt;Em paralelo, tampouco assiste razão ao recorrente quando pleiteia a indenização por&lt;/span&gt; &lt;span style="font-size: 12pt; font-family: 'Times New Roman',serif; color: #000000; background-color: transparent; font-weight: 700; font-style: normal; font- variant: normal; text-decoration: none; vertical-align: baseline; white-space: pre- wrap;"&gt;danos materiais&lt;/span&gt;&lt;span style="font-size: 12pt; font-family: 'Times New Roman',serif; color: #000000; background-color: transparent; font-weight: 400; font-style: normal; font-variant: normal; text-decoration: none; vertical-align: baseline; white-space: pre-wrap;"&gt;.&lt;/span&gt;&lt;/p&gt;&lt;p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39"/>
              <w:rPr>
                <w:sz w:val="20"/>
              </w:rPr>
            </w:pPr>
            <w:r>
              <w:rPr>
                <w:sz w:val="20"/>
              </w:rPr>
              <w:t>&lt;span style="font-size: 12pt; font-family: 'Times New Roman',serif; color: #000000; background-color: transparent; font-weight: 400; font-style: normal; font-variant: normal; text-decoration: none; vertical-align: baseline; white-space: pre-wrap;"&gt;O dano material, quando direto e imediato, represente a perda patrimonial do lesado em decorrência de um ato danoso. Dessa forma, deve o lesado demonstrar o efetivo prejuízo, o que não ocorreu no presente caso.&lt;/span&gt;&lt;/p&gt;&lt;p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103"/>
              <w:rPr>
                <w:sz w:val="20"/>
              </w:rPr>
            </w:pPr>
            <w:r>
              <w:rPr>
                <w:sz w:val="20"/>
              </w:rPr>
              <w:t>&lt;span style="font-size: 12pt; font-family: 'Times New Roman',serif; color: #000000; background-color: transparent; font-weight: 400; font-style: normal; font-variant: normal; text-decoration: none; vertical-align: baseline; white-space: pre-wrap;"&gt;Nas razões recursais, apresenta-se o pedido de indenização com base na tabela de honorários da Ordem dos Advogados do Brasil – OAB / Seccional Ceará, sem que se demonstre que o promovido de fato pagou tais montantes em prol do seu patrono.&lt;/span&gt;&lt;/p&gt;&lt;p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pre-wrap;"&gt;Não há qualquer documento nos autos, seja um contrato de serviços advocatícios ou um comprovante de pagamento, que demonstre o pagamento de tais valores, de forma que igualmente não há lastro para fixação de indenização.&lt;/span&gt;&lt;/p&gt;&lt;p style="line-height: 1.7999999999999998; text-indent: 56.692913385826756pt; text-align: justify; margin-top: 6pt; margin-bottom: 6pt;" dir="ltr"&gt;</w:t>
            </w:r>
          </w:p>
          <w:p>
            <w:pPr>
              <w:pStyle w:val="TableParagraph"/>
              <w:spacing w:line="208" w:lineRule="auto" w:before="0"/>
              <w:ind w:right="32"/>
              <w:rPr>
                <w:sz w:val="20"/>
              </w:rPr>
            </w:pPr>
            <w:r>
              <w:rPr>
                <w:sz w:val="20"/>
              </w:rPr>
              <w:t>&lt;span style="font-size: 12pt; font-family: 'Times New Roman',serif; color: #000000; background-color: transparent; font-weight: 700; font-style: normal; font-variant: normal; text-decoration: none; vertical-align: baseline; white-space: pre- wrap;"&gt;DISPOSITIVO&lt;/span&gt;&lt;/p&gt;&lt;p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pre-wrap;"&gt;Diante do que acima foi exposto e fundamentado,&lt;/span&gt; &lt;span style="font-size: 12pt; font-family: </w:t>
            </w:r>
            <w:r>
              <w:rPr>
                <w:spacing w:val="-3"/>
                <w:sz w:val="20"/>
              </w:rPr>
              <w:t>'Times </w:t>
            </w:r>
            <w:r>
              <w:rPr>
                <w:sz w:val="20"/>
              </w:rPr>
              <w:t>New Roman',serif; color: #000000; background-color: transparent; font-weight: 700; font- style: normal; font-variant: normal; text-decoration: none; vertical-align: baseline; white- space: pre-wrap;"&gt;CONHEÇO&lt;/span&gt; &lt;span style="font-size: 12pt; font-family: 'Times New Roman',serif; color: #000000; background-color: transparent; font-weight: 700; font- style: normal; font-variant: normal; text-decoration: none; vertical-align: baseline; white- space: pre-wrap;"&gt;DOS RECURSOS PARA&lt;/span&gt; &lt;span style="font-size: 12pt; font- family: 'Times New Roman',serif; color: #000000; background-color: transparent; font- weight: 700; font-style: normal; font-variant: normal; text-decoration: none; vertical-align: baseline; white-space: pre-wrap;"&gt;NEGAR-LHES PROVIMENTO,&lt;/span&gt; &lt;span style="font-size: 12pt; font-family: 'Times New Roman',serif; color: #000000; background- color: transparent; font-weight: 400; font-style: normal; font-variant: normal; text-decoration: none; vertical-align: baseline; white-space: pre-wrap;"&gt;mantendo a sentença inalterada.&lt;/span&gt;&lt;/p&gt;&lt;p style="line-height: 1.7999999999999998; text-indent: 56.692913385826756pt; text-align: justify; margin-top: 12pt; margin-bottom: 0pt;"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pre-wrap;"&gt;Majoro os honorários advocatícios sucumbenciais para 12% sobre o valor da condenação.&lt;/span&gt;&lt;/p&gt;&lt;p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80"/>
              <w:rPr>
                <w:sz w:val="20"/>
              </w:rPr>
            </w:pPr>
            <w:r>
              <w:rPr>
                <w:sz w:val="20"/>
              </w:rPr>
              <w:t>&lt;span style="font-size: 12pt; font-family: 'Times New Roman',serif; color: #000000; background-color: transparent; font-weight: 400; font-style: normal; font-variant: normal; text-decoration: none; vertical-align: baseline; white-space: pre-wrap;"&gt;Fortaleza, data registrada no sistema.&lt;/span&gt;&lt;/p&gt;&lt;p style="line-height: 1.7999999999999998; text-align: justify; margin-top: 12pt; margin-bottom: 0pt;" dir="ltr"&gt;  &lt;span style="font-size: 12pt;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0208905-96.2022.8.06.0001</w:t>
            </w:r>
          </w:p>
        </w:tc>
      </w:tr>
      <w:tr>
        <w:trPr>
          <w:trHeight w:val="2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family: 'Times New Roman',serif; color: #000000; background-color: transparent; font- weight: 400; font-style: normal; font-variant: normal; text-decoration: none; vertical-align: baseline; white-space: pre-wrap;"&gt;&amp;#160;&lt;/span&gt;&lt;/p&gt;&lt;p style="line-height: 1.7999999999999998; text-align: center; margin-top: 12pt; margin-bottom: 0pt;" dir="ltr"&gt;&lt;span style="font-size: 12pt; font-family: 'Times New Roman',serif; color: #000000; background-color: transparent; font-weight: 700; font-style: normal; font-variant: normal; text-decoration: none; vertical-align: baseline; white-space: pre-wrap;"&gt;FRANCISCO LUCÍDIO DE QUEIROZ JÚNIOR&lt;/span&gt;&amp;#160;&lt;/p&gt;&lt;p style="line-height: 1.7999999999999998; text-align: center; margin-top: 12pt; margin-bottom: 0pt;" dir="ltr"&gt;</w:t>
            </w:r>
          </w:p>
          <w:p>
            <w:pPr>
              <w:pStyle w:val="TableParagraph"/>
              <w:tabs>
                <w:tab w:pos="4199" w:val="left" w:leader="none"/>
              </w:tabs>
              <w:spacing w:line="208" w:lineRule="auto" w:before="0"/>
              <w:ind w:right="375"/>
              <w:rPr>
                <w:sz w:val="20"/>
              </w:rPr>
            </w:pPr>
            <w:r>
              <w:rPr>
                <w:sz w:val="20"/>
              </w:rPr>
              <w:t>&lt;span style="font-size: 12pt; font-family: 'Times New Roman',serif; color: #000000; background-color: transparent; font-weight: 400; font-style: normal; font-variant: </w:t>
            </w:r>
            <w:r>
              <w:rPr>
                <w:spacing w:val="-3"/>
                <w:sz w:val="20"/>
              </w:rPr>
              <w:t>normal; </w:t>
            </w:r>
            <w:r>
              <w:rPr>
                <w:sz w:val="20"/>
              </w:rPr>
              <w:t>text-decoration: none; vertical-align: baseline; white-space: pre-wrap;"&gt;Desembargador Relator&lt;/span&gt;&lt;/p&gt;&lt;br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Fixação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WILLIAM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RODRIGO CESAR MORAES AMARAL - (CE53417-A)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F. A. S. C.</w:t>
            </w:r>
          </w:p>
          <w:p>
            <w:pPr>
              <w:pStyle w:val="TableParagraph"/>
              <w:spacing w:line="215" w:lineRule="exact" w:before="0"/>
              <w:rPr>
                <w:sz w:val="20"/>
              </w:rPr>
            </w:pPr>
            <w:r>
              <w:rPr>
                <w:sz w:val="20"/>
              </w:rPr>
              <w:t>M. I. C. D. 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ALINE MAYRA DE SOUSA - (CE30691-A)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FRANCISCA MAIARA CANDIDO</w:t>
            </w:r>
          </w:p>
          <w:p>
            <w:pPr>
              <w:pStyle w:val="TableParagraph"/>
              <w:spacing w:line="215" w:lineRule="exact" w:before="0"/>
              <w:rPr>
                <w:sz w:val="20"/>
              </w:rPr>
            </w:pPr>
            <w:r>
              <w:rPr>
                <w:sz w:val="20"/>
              </w:rPr>
              <w:t>MINISTERIO PUBLICO DO ESTADO DO CEARA</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&lt;strong&gt;PROCESSO&lt;/strong&gt;:&amp;#160;3011496-59.2025.8.06.0000 -&amp;#160;AGRAVO DE</w:t>
            </w:r>
          </w:p>
          <w:p>
            <w:pPr>
              <w:pStyle w:val="TableParagraph"/>
              <w:tabs>
                <w:tab w:pos="7235" w:val="left" w:leader="none"/>
                <w:tab w:pos="7446" w:val="left" w:leader="none"/>
              </w:tabs>
              <w:spacing w:line="208" w:lineRule="auto" w:before="8"/>
              <w:ind w:right="46"/>
              <w:rPr>
                <w:sz w:val="20"/>
              </w:rPr>
            </w:pPr>
            <w:r>
              <w:rPr>
                <w:sz w:val="20"/>
              </w:rPr>
              <w:t>INSTRUMENTO (202)&lt;/span&gt;  &lt;/span&gt;&lt;/p&gt;&lt;p&gt;  &lt;span style="font-size: small;"&gt;</w:t>
              <w:tab/>
              <w:tab/>
              <w:t>&lt;span style="font-family: &amp;quot;times new roman&amp;quot;, times;"&gt;AGRAVANTE: ANTONIO WILLIAM DA SILVA&lt;/span&gt;  &lt;/span&gt;&lt;/p&gt;&lt;p&gt;  &lt;span style="font-size: small;"&gt;</w:t>
              <w:tab/>
              <w:t>&lt;span style="font-family: &amp;quot;times new roman&amp;quot;, times;"&gt;AGRAVADO: F. A. S. C., M. I. </w:t>
            </w:r>
            <w:r>
              <w:rPr>
                <w:spacing w:val="-9"/>
                <w:sz w:val="20"/>
              </w:rPr>
              <w:t>C.</w:t>
            </w:r>
          </w:p>
          <w:p>
            <w:pPr>
              <w:pStyle w:val="TableParagraph"/>
              <w:tabs>
                <w:tab w:pos="4518" w:val="left" w:leader="none"/>
                <w:tab w:pos="5263" w:val="left" w:leader="none"/>
                <w:tab w:pos="6146" w:val="left" w:leader="none"/>
              </w:tabs>
              <w:spacing w:line="208" w:lineRule="auto" w:before="0"/>
              <w:ind w:right="21"/>
              <w:rPr>
                <w:sz w:val="20"/>
              </w:rPr>
            </w:pPr>
            <w:r>
              <w:rPr>
                <w:sz w:val="20"/>
              </w:rPr>
              <w:t>D. S.&lt;/span&gt;  &lt;/span&gt;&lt;/p&gt;&lt;p&gt;  &lt;span style="font-size: medium;"&gt;</w:t>
              <w:tab/>
              <w:t>&lt;span style="font- family: &amp;quot;times new roman&amp;quot;, times;"&gt;</w:t>
              <w:tab/>
              <w:t>&lt;br /&gt;</w:t>
              <w:tab/>
              <w:t>&lt;/span&gt; &lt;/span&gt;&lt;/p&gt;&lt;p style="line-height:1.38;text-align: justify;margin-top:4pt;margin-bottom:0pt;" dir="ltr"&gt; </w:t>
            </w:r>
            <w:r>
              <w:rPr>
                <w:spacing w:val="-3"/>
                <w:sz w:val="20"/>
              </w:rPr>
              <w:t>&lt;span </w:t>
            </w:r>
            <w:r>
              <w:rPr>
                <w:sz w:val="20"/>
              </w:rPr>
              <w:t>style="font-size:12pt;font-family:'Times New Roman',serif;color:#131314;background- color:#ffffff;font-weight:400;font-style:normal;font-variant:normal;text- decoration:none;vertical-align:baseline;white-space:pre;white-space:pre-wrap;"&gt;EMENTA: DIREITO DE FAMÍLIA E PROCESSUAL CIVIL AGRAVO DE INSTRUMENTO. AÇÃO DE ALIMENTOS. FIXAÇÃO DE ALIMENTOS PROVISÓRIOS COM OBSERVÂNCIA AO BINÔMIO NECESSIDADE/POSSIBILIDADE BEM COMO DO VETOR DA PROPORCIONALIDADE. RECURSO CONHECIDO E DESPROVIDO.&lt;/span&gt;&lt;/p&gt;&lt;p style="line-height:1.38;text-align: justify;margin-top:4pt;margin-bottom:0pt;" dir="ltr"&gt; </w:t>
            </w:r>
            <w:r>
              <w:rPr>
                <w:spacing w:val="-3"/>
                <w:sz w:val="20"/>
              </w:rPr>
              <w:t>&lt;span </w:t>
            </w:r>
            <w:r>
              <w:rPr>
                <w:sz w:val="20"/>
              </w:rPr>
              <w:t>style="font-size:12pt;font-family:'Times New Roman',serif;color:#131314;background- color:#ffffff;font-weight:700;font-style:normal;font-variant:normal;text- decoration:none;vertical-align:baseline;white-space:pre;white-space:pre-wrap;"&gt;I. Caso em Exame:&lt;/span&gt;&lt;/p&gt;&lt;p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space:pre-wrap;"&gt;1. Agravo de Instrumento contra decisão interlocutória que fixou alimentos provisórios em 40% do salário-mínimo vigente, no contexto de uma ação de alimentos envolvendo três filhos menores, sendo um deles portador de microcefalia.&amp;#160;&lt;/span&gt;&lt;/p&gt;&lt;p style="line-height:1.38;text-align: justify;margin- top:4pt;margin-bottom:0pt;" dir="ltr"&gt; &lt;span style="font-size:12pt;font-family:'Times New Roman',serif;color:#131314;background-color:#ffffff;font-weight:700;font-style:normal;font- variant:normal;text-decoration:none;vertical-align:baseline;white-space:pre;white- space:pre-wrap;"&gt;II. Questão em Discussão:&lt;/span&gt;&lt;/p&gt;&lt;p style="line-height:1.38;text- align: justify;margin-top:4pt;margin-bottom:0pt;" dir="ltr"&gt; &lt;span style="font-size:12pt;font- family:'Times New Roman',serif;color:#131314;background-color:#ffffff;font-weight:400;font- style:normal;font-variant:normal;text-decoration:none;vertical-align:baseline;white- space:pre;white-space:pre-wrap;"&gt;2. A questão em discussão consiste em (i) verificar a adequação do valor fixado a título de alimentos provisórios; (ii) analisar a alegada impossibilidade do agravante em arcar com o valor fixado, em razão de sua alegada situação econômica.&lt;/span&gt;&lt;/p&gt;&lt;p style="line-height:1.38;text-align: justify;margin- top:4pt;margin-bottom:0pt;" dir="ltr"&gt; &lt;span style="font-size:12pt;font-family:'Times New Roman',serif;color:#131314;background-color:#ffffff;font-weight:700;font-style:normal;font- variant:normal;text-decoration:none;vertical-align:baseline;white-space:pre;white-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space:pre-wrap;"&gt;III. Razões de Decidir:&lt;/span&gt;&lt;/p&gt;&lt;p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space:pre;white-space:pre-wrap;"&gt;3. Nos termos do Art. 1.694, § 1º, do Código Civil, a fixação dos alimentos deve observar o binômio necessidade-possibilidade e ainda o vetor da proporcionalidade, o que foi respeitado pelo juízo de primeiro grau.&lt;/span&gt;&lt;/p&gt;&lt;p style="line-height:1.38;text-align: justify;margin-top:4pt;margin-bottom:0pt;" dir="ltr"&gt; &lt;span style="font-size:12pt;font-family:'Times New Roman',serif;color:#131314;background- color:#ffffff;font-weight:400;font-style:normal;font-variant:normal;text- decoration:none;vertical-align:baseline;white-space:pre;white-space:pre-wrap;"&gt;4. A necessidade dos filhos menores é presumida. Por outro lado, o agravante não apresentou provas robustas que demonstrem sua alegada incapacidade de arcar com o valor fixado, limitando-se a alegar sua situação econômica precária e a existência de outra filha.&lt;/span&gt;&lt;/p&gt;&lt;p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space:pre-wrap;"&gt;5. O montante fixado, 40% do salário-mínimo, é considerado razoável e proporcional às necessidades dos alimentandos e às alegadas possibilidades do alimentante, em fase de cognição sumária.&lt;/span&gt;&lt;/p&gt;&lt;p style="line-height:1.38;text- align: justify;margin-top:4pt;margin-bottom:0pt;" dir="ltr"&gt; &lt;span style="font-size:12pt;font- family:'Times New Roman',serif;color:#131314;background-color:#ffffff;font-weight:700;font- style:normal;font-variant:normal;text-decoration:none;vertical-align:baseline;white- space:pre;white-space:pre-wrap;"&gt;IV. Dispositivo e Tese:&lt;/span&gt;&lt;/p&gt;&lt;p style="line- height:1.38;text-align: justify;margin-top:4pt;margin-bottom:0pt;" dir="ltr"&gt; &lt;span style="font-size:12pt;font-family:'Times New Roman',serif;color:#131314;background- color:#ffffff;font-weight:400;font-style:normal;font-variant:normal;text- decoration:none;vertical-align:baseline;white-space:pre;white-space:pre-wrap;"&gt;6. Recurso conhecido e desprovido.&lt;/span&gt;&lt;/p&gt;&lt;p style="line-height:1.38;text-align: justify;margin- top:4pt;margin-bottom:0pt;" dir="ltr"&gt;&lt;span style="font-size:12pt;font-family:'Times New Roman',serif;color:#131314;background-color:#ffffff;font-weight:700;font-style:normal;font- variant:normal;text-decoration:none;vertical-align:baseline;white-space:pre;white- space:pre-wrap;"&gt;Tese de julgamento:&lt;/span&gt; &lt;span style="font-size:12pt;font- family:'Times New Roman',serif;color:#131314;background-color:#ffffff;font-weight:400;font- style:normal;font-variant:normal;text-decoration:none;vertical-align:baseline;white- space:pre;white-space:pre-wrap;"&gt;"A fixação de alimentos provisórios deve observar o trinômio necessidade-possibilidade-proporcionalidade, considerando-se a necessidade presumida dos menores e a insuficiência de provas robustas por parte do alimentante para redução do valor fixado."&lt;/span&gt;&lt;/p&gt;&lt;p style="line-height:1.38;text-align: justify;margin- top:4pt;margin-bottom:0pt;" dir="ltr"&gt; &lt;span style="font-size:12pt;font-family:'Times New Roman',serif;color:#131314;background-color:#ffffff;font-weight:400;font-style:normal;font- variant:normal;text-decoration:none;vertical-align:baseline;white-space:pre;white- space:pre-wrap;"&gt;Dispositivos relevantes citados: - Código Civil, art. 1.694, § 1º.&lt;/span&gt;&lt;/p&gt;&lt;p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 Estatuto da Criança e do Adolescente, art. 22.&lt;/span&gt;&lt;/p&gt;&lt;p style="line-height: 100%; orphans: 0; widows: 0; margin-bottom: 0.21cm;" align="justify"&gt;</w:t>
            </w:r>
          </w:p>
          <w:p>
            <w:pPr>
              <w:pStyle w:val="TableParagraph"/>
              <w:tabs>
                <w:tab w:pos="2350" w:val="left" w:leader="none"/>
                <w:tab w:pos="3095" w:val="left" w:leader="none"/>
                <w:tab w:pos="3288" w:val="left" w:leader="none"/>
                <w:tab w:pos="3773" w:val="left" w:leader="none"/>
              </w:tabs>
              <w:spacing w:line="208" w:lineRule="auto" w:before="0"/>
              <w:ind w:right="233"/>
              <w:rPr>
                <w:sz w:val="20"/>
              </w:rPr>
            </w:pPr>
            <w:r>
              <w:rPr>
                <w:sz w:val="20"/>
              </w:rPr>
              <w:t>&lt;span style="font-size: medium;"&gt;</w:t>
              <w:tab/>
              <w:tab/>
              <w:t>&lt;span style="font-family: &amp;quot;times new roman&amp;quot;, times;"&gt;</w:t>
              <w:tab/>
              <w:t>&lt;br /&gt;</w:t>
              <w:tab/>
              <w:t>&lt;/span&gt; &lt;/span&gt;&lt;/p&gt;&lt;p style="line-height: 150%; orphans: 0; widows: 0; margin-bottom: 0.21cm;" align="justify"&gt; &lt;span style="font-family: &amp;quot;times new roman&amp;quot;, times;"&gt;</w:t>
              <w:tab/>
              <w:t>&lt;span style="font-size: medium;"&gt;ACÓRDÃO: Vistos, relatados e discutidos estes autos, acorda a Quinta Câmara de Direito Privado Tribunal de Justiça do Estado do Ceará, por unanimidade em</w:t>
            </w:r>
          </w:p>
          <w:p>
            <w:pPr>
              <w:pStyle w:val="TableParagraph"/>
              <w:tabs>
                <w:tab w:pos="5220" w:val="left" w:leader="none"/>
              </w:tabs>
              <w:spacing w:line="208" w:lineRule="auto" w:before="0"/>
              <w:ind w:right="730"/>
              <w:rPr>
                <w:sz w:val="20"/>
              </w:rPr>
            </w:pPr>
            <w:r>
              <w:rPr>
                <w:sz w:val="20"/>
              </w:rPr>
              <w:t>&lt;strong&gt;conhecer&lt;/strong&gt; do recurso interposto, para</w:t>
              <w:tab/>
              <w:t>&lt;strong&gt;negar-lhe provimento&lt;/strong&gt;, nos termos do voto do relator, parte integrante</w:t>
            </w:r>
            <w:r>
              <w:rPr>
                <w:spacing w:val="8"/>
                <w:sz w:val="20"/>
              </w:rPr>
              <w:t> </w:t>
            </w:r>
            <w:r>
              <w:rPr>
                <w:spacing w:val="-2"/>
                <w:sz w:val="20"/>
              </w:rPr>
              <w:t>deste.&lt;/span&gt;</w:t>
            </w:r>
          </w:p>
          <w:p>
            <w:pPr>
              <w:pStyle w:val="TableParagraph"/>
              <w:tabs>
                <w:tab w:pos="1828" w:val="left" w:leader="none"/>
                <w:tab w:pos="2682" w:val="left" w:leader="none"/>
                <w:tab w:pos="2773" w:val="left" w:leader="none"/>
                <w:tab w:pos="3629" w:val="left" w:leader="none"/>
                <w:tab w:pos="4373" w:val="left" w:leader="none"/>
                <w:tab w:pos="4709" w:val="left" w:leader="none"/>
              </w:tabs>
              <w:spacing w:line="208" w:lineRule="auto" w:before="0"/>
              <w:ind w:right="20"/>
              <w:rPr>
                <w:sz w:val="20"/>
              </w:rPr>
            </w:pPr>
            <w:r>
              <w:rPr>
                <w:sz w:val="20"/>
              </w:rPr>
              <w:t>&lt;/span&gt;&lt;/p&gt;&lt;p style="line-height: 115%; orphans: 0; widows: 0; margin-bottom: 0.21cm;" align="justify"&gt;  &lt;span style="font-size: medium;"&gt;</w:t>
              <w:tab/>
              <w:t>&lt;span style="font-family: &amp;quot;times new roman&amp;quot;, times;"&gt;</w:t>
              <w:tab/>
              <w:tab/>
              <w:t>&lt;br /&gt;</w:t>
              <w:tab/>
              <w:t>&lt;br /&gt;</w:t>
              <w:tab/>
              <w:t>&lt;/span&gt; &lt;/span&gt;&lt;/p&gt;&lt;p style="line- height: 115%; orphans: 0; widows: 0; margin-bottom: 0.21cm;" align="justify"&gt; &lt;span style="font-size: medium;"&gt;</w:t>
              <w:tab/>
              <w:t>&lt;span style="font-family: &amp;quot;times new roman&amp;quot;, times;"&gt;F&lt;/span&gt;</w:t>
              <w:tab/>
              <w:t>&lt;span style="font-family: &amp;quot;times new roman&amp;quot;, times;"&gt;ortaleza, data registrada no sistema.&lt;/span&gt; &lt;/span&gt;&lt;/p&gt;&lt;p style="color: #000000; font-family: Arial, Verdana, sans-serif; font-size: 11px; font-style: normal; font- variant-ligatures: normal; font-variant-caps: normal; font-weight: 400; letter-spacing: </w:t>
            </w:r>
            <w:r>
              <w:rPr>
                <w:spacing w:val="-3"/>
                <w:sz w:val="20"/>
              </w:rPr>
              <w:t>normal; </w:t>
            </w:r>
            <w:r>
              <w:rPr>
                <w:sz w:val="20"/>
              </w:rPr>
              <w:t>orphans: 2; text-align: start; text-indent: 0px; text-transform: none; widows: 2; </w:t>
            </w:r>
            <w:r>
              <w:rPr>
                <w:spacing w:val="-2"/>
                <w:sz w:val="20"/>
              </w:rPr>
              <w:t>word-spacing: </w:t>
            </w:r>
            <w:r>
              <w:rPr>
                <w:sz w:val="20"/>
              </w:rPr>
              <w:t>0px; -webkit-text-stroke-width: 0px; white-space: normal; text-decoration-thickness: initial; text-decoration-style: initial; text-decoration-color: initial;"&gt; &lt;span style="font-size: small;"&gt;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400" w:val="left" w:leader="none"/>
                <w:tab w:pos="3596" w:val="left" w:leader="none"/>
              </w:tabs>
              <w:spacing w:line="208" w:lineRule="auto" w:before="26"/>
              <w:ind w:right="219"/>
              <w:rPr>
                <w:sz w:val="20"/>
              </w:rPr>
            </w:pPr>
            <w:r>
              <w:rPr>
                <w:sz w:val="20"/>
              </w:rPr>
              <w:t>&lt;span style="font-size: medium;"&gt;</w:t>
              <w:tab/>
              <w:t>&lt;span style="font-family: &amp;quot;times new roman&amp;quot;, times;"&gt;&amp;#160;&lt;/span&gt;</w:t>
              <w:tab/>
              <w:tab/>
              <w:t>&lt;/span&gt; &lt;/span&gt;&lt;/p&gt;&lt;p&gt;&amp;#160;&lt;/p&gt;&lt;p style="line-height: 100%; orphans: 0; widows: 0; margin-bottom: 0.21cm;"</w:t>
            </w:r>
            <w:r>
              <w:rPr>
                <w:spacing w:val="11"/>
                <w:sz w:val="20"/>
              </w:rPr>
              <w:t> </w:t>
            </w:r>
            <w:r>
              <w:rPr>
                <w:spacing w:val="-2"/>
                <w:sz w:val="20"/>
              </w:rPr>
              <w:t>align="center"&gt;</w:t>
            </w:r>
          </w:p>
          <w:p>
            <w:pPr>
              <w:pStyle w:val="TableParagraph"/>
              <w:tabs>
                <w:tab w:pos="3288" w:val="left" w:leader="none"/>
                <w:tab w:pos="4411" w:val="left" w:leader="none"/>
                <w:tab w:pos="6307" w:val="left" w:leader="none"/>
              </w:tabs>
              <w:spacing w:line="208" w:lineRule="auto" w:before="0"/>
              <w:ind w:right="23"/>
              <w:rPr>
                <w:sz w:val="20"/>
              </w:rPr>
            </w:pPr>
            <w:r>
              <w:rPr>
                <w:sz w:val="20"/>
              </w:rPr>
              <w:t>&lt;span style="font-size: medium;"&gt;</w:t>
              <w:tab/>
              <w:t>&lt;strong&gt;</w:t>
              <w:tab/>
              <w:t>&lt;span style="font-family: &amp;quot;times </w:t>
            </w:r>
            <w:r>
              <w:rPr>
                <w:spacing w:val="-6"/>
                <w:sz w:val="20"/>
              </w:rPr>
              <w:t>new </w:t>
            </w:r>
            <w:r>
              <w:rPr>
                <w:sz w:val="20"/>
              </w:rPr>
              <w:t>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times;"&gt;Presidente do Órgão Julgador&lt;/span&gt; &lt;/span&gt;&lt;/p&gt;&lt;p style="line-height: 100%; orphans: 0; widows: 0; margin-bottom: 0.21cm;" align="center"&gt;</w:t>
            </w:r>
          </w:p>
          <w:p>
            <w:pPr>
              <w:pStyle w:val="TableParagraph"/>
              <w:tabs>
                <w:tab w:pos="1216" w:val="left" w:leader="none"/>
                <w:tab w:pos="2350" w:val="left" w:leader="none"/>
                <w:tab w:pos="3095" w:val="left" w:leader="none"/>
                <w:tab w:pos="3288" w:val="left" w:leader="none"/>
                <w:tab w:pos="7300" w:val="left" w:leader="none"/>
              </w:tabs>
              <w:spacing w:line="208" w:lineRule="auto" w:before="0"/>
              <w:ind w:right="329"/>
              <w:rPr>
                <w:sz w:val="20"/>
              </w:rPr>
            </w:pPr>
            <w:r>
              <w:rPr>
                <w:sz w:val="20"/>
              </w:rPr>
              <w:t>&lt;span style="font-size: medium;"&gt;</w:t>
              <w:tab/>
              <w:tab/>
              <w:t>&lt;span style="font-family: &amp;quot;times new roman&amp;quot;, times;"&gt;</w:t>
              <w:tab/>
              <w:t>&lt;br /&gt;</w:t>
              <w:tab/>
              <w:t>&lt;/span&gt; &lt;/span&gt;&lt;/p&gt;&lt;p style="line-height: 100%; orphans: 0; widows: 0; margin-bottom: 0.21cm;" align="center"&gt; &lt;span style="font-size: medium;"&gt;</w:t>
              <w:tab/>
              <w:t>&lt;span style="font-family: &amp;quot;times new roman&amp;quot;, times;"&gt;</w:t>
              <w:tab/>
              <w:t>&lt;br</w:t>
            </w:r>
            <w:r>
              <w:rPr>
                <w:spacing w:val="1"/>
                <w:sz w:val="20"/>
              </w:rPr>
              <w:t> </w:t>
            </w:r>
            <w:r>
              <w:rPr>
                <w:spacing w:val="-9"/>
                <w:sz w:val="20"/>
              </w:rPr>
              <w:t>/&gt;</w:t>
            </w:r>
          </w:p>
          <w:p>
            <w:pPr>
              <w:pStyle w:val="TableParagraph"/>
              <w:tabs>
                <w:tab w:pos="2696" w:val="left" w:leader="none"/>
                <w:tab w:pos="5592" w:val="left" w:leader="none"/>
                <w:tab w:pos="6714" w:val="left" w:leader="none"/>
              </w:tabs>
              <w:spacing w:line="208" w:lineRule="auto" w:before="0"/>
              <w:ind w:right="59"/>
              <w:rPr>
                <w:sz w:val="20"/>
              </w:rPr>
            </w:pPr>
            <w:r>
              <w:rPr>
                <w:sz w:val="20"/>
              </w:rPr>
              <w:t>&lt;/span&gt; &lt;/span&gt;&lt;/p&gt;&lt;p style="line-height: 100%; orphans: 0; widows: 0; margin-bottom: 0.21cm;" align="center"&gt;  &lt;span style="font-size: medium;"&gt;</w:t>
              <w:tab/>
              <w:t>&lt;strong&gt;</w:t>
              <w:tab/>
              <w:t>&lt;span style="font-family: &amp;quot;times new roman&amp;quot;, times;"&gt;FRANCISCO LUCÍDIO DE QUEIROZ JUNIOR&lt;/span&gt;</w:t>
              <w:tab/>
              <w:t>&lt;/strong&gt; &lt;/span&gt;&lt;/p&gt;&lt;p style="line-height: 100%; </w:t>
            </w:r>
            <w:r>
              <w:rPr>
                <w:spacing w:val="-3"/>
                <w:sz w:val="20"/>
              </w:rPr>
              <w:t>orphans: </w:t>
            </w:r>
            <w:r>
              <w:rPr>
                <w:sz w:val="20"/>
              </w:rPr>
              <w:t>0; widows: 0; margin-bottom: 0.21cm;" align="center"&gt; &lt;span style="font-size: medium;"&gt;</w:t>
            </w:r>
          </w:p>
          <w:p>
            <w:pPr>
              <w:pStyle w:val="TableParagraph"/>
              <w:tabs>
                <w:tab w:pos="2239" w:val="left" w:leader="none"/>
                <w:tab w:pos="2905" w:val="left" w:leader="none"/>
                <w:tab w:pos="2973" w:val="left" w:leader="none"/>
                <w:tab w:pos="3918" w:val="left" w:leader="none"/>
                <w:tab w:pos="5476" w:val="left" w:leader="none"/>
                <w:tab w:pos="6512" w:val="left" w:leader="none"/>
                <w:tab w:pos="6599" w:val="left" w:leader="none"/>
              </w:tabs>
              <w:spacing w:line="208" w:lineRule="auto" w:before="0"/>
              <w:ind w:right="45"/>
              <w:rPr>
                <w:sz w:val="20"/>
              </w:rPr>
            </w:pPr>
            <w:r>
              <w:rPr>
                <w:sz w:val="20"/>
              </w:rPr>
              <w:t>&lt;span style="font-family: &amp;quot;times new roman&amp;quot;, times;"&gt;Desembargador Relator&lt;/span&gt; &lt;/span&gt;&lt;/p&gt;&lt;p align="center"&gt; &lt;span style="font-family: &amp;quot;times </w:t>
            </w:r>
            <w:r>
              <w:rPr>
                <w:spacing w:val="-6"/>
                <w:sz w:val="20"/>
              </w:rPr>
              <w:t>new </w:t>
            </w:r>
            <w:r>
              <w:rPr>
                <w:sz w:val="20"/>
              </w:rPr>
              <w:t>roman&amp;quot;, times;"&gt;</w:t>
              <w:tab/>
              <w:t>&lt;br /&gt; &lt;/span&gt;&lt;/p&gt;&lt;p style="text-align: center;"&gt;&amp;#160;&lt;/p&gt;&lt;p style="text-align: center;"&gt;  &lt;span style="font-size: small;"&gt;</w:t>
              <w:tab/>
              <w:t>&lt;strong&gt;</w:t>
              <w:tab/>
              <w:tab/>
              <w:t>&lt;span style="font-size: medium;"&gt;</w:t>
              <w:tab/>
              <w:t>&lt;span style="font-family: &amp;quot;times new roman&amp;quot;, times;"&gt;RELATÓRIO&lt;/span&gt;</w:t>
              <w:tab/>
              <w:tab/>
              <w:t>&lt;/span&gt;</w:t>
              <w:tab/>
              <w:t>&lt;/strong&gt; &lt;/span&gt;&lt;/p&gt;&lt;p style="text-align: center;"&gt;&amp;#160;&lt;/p&gt;&lt;p style="text-align: center;"&gt; &lt;strong id="docs-internal-guid- be3313eb-7fff-8685-c689-2c76138053d1" style="font-weight:normal;"&gt;</w:t>
              <w:tab/>
              <w:t>&lt;br /&gt;</w:t>
            </w:r>
          </w:p>
          <w:p>
            <w:pPr>
              <w:pStyle w:val="TableParagraph"/>
              <w:spacing w:line="208" w:lineRule="auto" w:before="0"/>
              <w:ind w:right="361"/>
              <w:rPr>
                <w:sz w:val="20"/>
              </w:rPr>
            </w:pPr>
            <w:r>
              <w:rPr>
                <w:sz w:val="20"/>
              </w:rPr>
              <w:t>&lt;/strong&gt;&lt;/p&gt;&lt;p style="line-height:1.7999999999999998;text-indent: 56.692913385826756pt;text-align: justify;margin-top:8pt;margin-bottom:8pt;" dir="ltr"&gt;&lt;span style="font-size:12pt;font-family:'Times New Roman',serif;color:#131314;background-color:transparent;font-weight:400;font- style:normal;font-variant:normal;text-decoration:none;vertical-align:baseline;white- space:pre;white-space:pre-wrap;"&gt;Trata-se de&lt;/span&gt; &lt;span style="font-size:12pt;font- family:'Times New Roman',serif;color:#131314;background-color:transparent;font- weight:700;font-style:normal;font-variant:normal;text-decoration:none;vertical- align:baseline;white-space:pre;white-space:pre-wrap;"&gt;Agravo de Instrumento&lt;/span&gt;</w:t>
            </w:r>
          </w:p>
          <w:p>
            <w:pPr>
              <w:pStyle w:val="TableParagraph"/>
              <w:spacing w:line="208" w:lineRule="auto" w:before="0"/>
              <w:ind w:right="160"/>
              <w:rPr>
                <w:sz w:val="20"/>
              </w:rPr>
            </w:pPr>
            <w:r>
              <w:rPr>
                <w:sz w:val="20"/>
              </w:rPr>
              <w:t>&lt;span style="font-size:12pt;font-family:'Times New Roman',serif;color:#131314;background-color:transparent;font-weight:400;font- style:normal;font-variant:normal;text-decoration:none;vertical-align:baseline;white- space:pre;white-space:pre-wrap;"&gt;interposto por&lt;/span&gt; &lt;span style="font-size:12pt;font- family:'Times New Roman',serif;color:#131314;background-color:transparent;font- weight:700;font-style:normal;font-variant:normal;text-decoration:none;vertical- align:baseline;white-space:pre;white-space:pre-wrap;"&gt;Antônio William da Silva&lt;/span&gt;</w:t>
            </w:r>
          </w:p>
          <w:p>
            <w:pPr>
              <w:pStyle w:val="TableParagraph"/>
              <w:spacing w:line="208" w:lineRule="auto" w:before="0"/>
              <w:ind w:right="197"/>
              <w:rPr>
                <w:sz w:val="20"/>
              </w:rPr>
            </w:pPr>
            <w:r>
              <w:rPr>
                <w:sz w:val="20"/>
              </w:rPr>
              <w:t>&lt;span style="font-size:12pt;font-family:'Times New Roman',serif;color:#131314;background-color:transparent;font-weight:400;font- style:normal;font-variant:normal;text-decoration:none;vertical-align:baseline;white- space:pre;white-space:pre-wrap;"&gt;contra decisão interlocutória proferida pelo Juízo da Vara Única da Comarca de Uruoca e Vinculada de Martinópole-CE, nos autos da&lt;/span&gt;</w:t>
            </w:r>
          </w:p>
          <w:p>
            <w:pPr>
              <w:pStyle w:val="TableParagraph"/>
              <w:spacing w:line="208" w:lineRule="auto" w:before="0"/>
              <w:ind w:right="125"/>
              <w:rPr>
                <w:sz w:val="20"/>
              </w:rPr>
            </w:pPr>
            <w:r>
              <w:rPr>
                <w:sz w:val="20"/>
              </w:rPr>
              <w:t>&lt;span style="font-size:12pt;font-family:'Times New Roman',serif;color:#131314;background-color:transparent;font-weight:700;font- style:normal;font-variant:normal;text-decoration:none;vertical-align:baseline;white- space:pre;white-space:pre-wrap;"&gt;Ação de Alimentos&lt;/span&gt; &lt;span style="font- size:12pt;font-family:'Times New Roman',serif;color:#131314;background- color:transparent;font-weight:400;font-style:normal;font-variant:normal;text- decoration:none;vertical-align:baseline;white-space:pre;white-space:pre-wrap;"&gt;nº 3000510-94.2025.8.06.0179, ajuizada por&lt;/span&gt; &lt;span style="font-size:12pt;font- family:'Times New Roman',serif;color:#131314;background-color:transparent;font- weight:700;font-style:normal;font-variant:normal;text-decoration:none;vertical- align:baseline;white-space:pre;white-space:pre-wrap;"&gt;Francisco Alessandro Silva Cândido, Emilly Victória Cândido da Silva e Maria Izabella Cândido da Silva&lt;/span&gt;&lt;span style="font-size:12pt;font-family:'Times New Roman',serif;color:#131314;background- color:transparent;font-weight:400;font-style:normal;font-variant:normal;text- decoration:none;vertical-align:baseline;white-space:pre;white-space:pre-wrap;"&gt;, representados por sua genitora Francisca Maiara Cândido.&lt;/span&gt;&lt;/p&gt;&lt;p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space:pre-wrap;"&gt;Na referida ação de alimentos, os autores, ora agravados, pleitearam a condenação do alimentante ao pagamento de 40% (quarenta por cento) de 1 (um) salário mínimo mensais, a ser pago no 5ª (quinto) dia útil, em conta bancária de titularidade 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representante dos autores.&amp;#160;&lt;/span&gt;&lt;/p&gt;&lt;p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space:pre-wrap;"&gt;O Juízo de primeira instância&lt;/span&gt; &lt;span style="font-size:12pt;font- family:'Times New Roman',serif;color:#131314;background-color:#ffffff;font-weight:700;font- style:normal;font-variant:normal;text-decoration:none;vertical-align:baseline;white- space:pre;white-space:pre-wrap;"&gt;deferiu a tutela de urgência&lt;/span&gt;&lt;span style="font- size:12pt;font-family:'Times New Roman',serif;color:#131314;background-color:#ffffff;font- weight:400;font-style:normal;font-variant:normal;text-decoration:none;vertical- align:baseline;white-space:pre;white-space:pre-wrap;"&gt;, fixando os alimentos provisórios no valor de&lt;/span&gt; &lt;span style="font-size:12pt;font-family:'Times New Roman',serif;color:#131314;background-color:#ffffff;font-weight:700;font-style:normal;font- variant:normal;text-decoration:none;vertical-align:baseline;white-space:pre;white- space:pre-wrap;"&gt;40% (quarenta por cento) do salário-mínimo vigente&lt;/span&gt;&lt;span style="font-size:12pt;font-family:'Times New Roman',serif;color:#131314;background- color:#ffffff;font-weight:400;font-style:normal;font-variant:normal;text- decoration:none;vertical-align:baseline;white-space:pre;white-space:pre- wrap;"&gt;.&lt;/span&gt;&lt;/p&gt;&lt;p style="line-height:1.7999999999999998;text-indent: 56.692913385826756pt;text-align: justify;margin-top:4pt;margin-bottom:0pt;" dir="ltr"&gt;</w:t>
            </w:r>
          </w:p>
          <w:p>
            <w:pPr>
              <w:pStyle w:val="TableParagraph"/>
              <w:spacing w:line="208" w:lineRule="auto" w:before="0"/>
              <w:ind w:right="129"/>
              <w:rPr>
                <w:sz w:val="20"/>
              </w:rPr>
            </w:pPr>
            <w:r>
              <w:rPr>
                <w:sz w:val="20"/>
              </w:rPr>
              <w:t>&lt;span style="font-size:12pt;font-family:'Times New Roman',serif;color:#131314;background-color:#ffffff;font-weight:400;font-style:normal;font- variant:normal;text-decoration:none;vertical-align:baseline;white-space:pre;white- space:pre-wrap;"&gt;O alimentante interpôs o presente agravo de instrumento em que defende a necessidade de redução da pensão para 20% do salário-mínimo, correspondente a R$ 303,60, alegando difícil situação econômica e a existência de outra filha, além do risco iminente de prisão civil.&lt;/span&gt;&lt;/p&gt;&lt;p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w:t>
            </w:r>
          </w:p>
          <w:p>
            <w:pPr>
              <w:pStyle w:val="TableParagraph"/>
              <w:spacing w:line="208" w:lineRule="auto" w:before="0"/>
              <w:ind w:right="21"/>
              <w:rPr>
                <w:sz w:val="20"/>
              </w:rPr>
            </w:pPr>
            <w:r>
              <w:rPr>
                <w:sz w:val="20"/>
              </w:rPr>
              <w:t>space:pre-wrap;"&gt;Em análise liminar, este Relator&lt;/span&gt; &lt;span style="font-size:12pt;font- family:'Times New Roman',serif;color:#131314;background-color:#ffffff;font-weight:700;font- style:normal;font-variant:normal;text-decoration:none;vertical-align:baseline;white- space:pre;white-space:pre-wrap;"&gt;indeferiu&lt;/span&gt; &lt;span style="font-size:12pt;font- family:'Times New Roman',serif;color:#131314;background-color:#ffffff;font-weight:400;font- style:normal;font-variant:normal;text-decoration:none;vertical-align:baseline;white- space:pre;white-space:pre-wrap;"&gt;o pedido de concessão de efeito suspensivo (ID 26584819), por entender que não restou demonstrada, em juízo de cognição sumária, a&lt;/span&gt; &lt;span style="font-size:12pt;font-family:'Times New Roman',serif;color:#131314;background-color:#ffffff;font-weight:700;font-style:normal;font- variant:normal;text-decoration:none;vertical-align:baseline;white-space:pre;white- space:pre-wrap;"&gt;probabilidade de provimento do recurso&lt;/span&gt; &lt;span style="font- size:12pt;font-family:'Times New Roman',serif;color:#131314;background-color:#ffffff;font- weight:400;font-style:normal;font-variant:normal;text-decoration:none;vertical- align:baseline;white-space:pre;white-space:pre-wrap;"&gt;(&lt;/span&gt;&lt;span style="font- size:12pt;font-family:'Times New Roman',serif;color:#131314;background-color:#ffffff;font- weight:400;font-style:italic;font-variant:normal;text-decoration:none;vertical- align:baseline;white-space:pre;white-space:pre-wrap;"&gt;fumus boni iuris&lt;/span&gt;&lt;span style="font-size:12pt;font-family:'Times New Roman',serif;color:#131314;background- color:#ffffff;font-weight:400;font-style:normal;font-variant:normal;text- decoration:none;vertical-align:baseline;white-space:pre;white-space:pre-wrap;"&gt;), dado o valor fixado ser proporcional às reais necessidades dos três menores.&lt;/span&gt;&lt;/p&gt;&lt;p style="line-height:1.7999999999999998;text-indent: 56.692913385826756pt;text-align: justify;margin-top:4pt;margin-bottom:0pt;" dir="ltr"&gt;&lt;span style="font-size:12pt;font- family:'Times New Roman',serif;color:#131314;background-color:#ffffff;font-weight:400;font- style:normal;font-variant:normal;text-decoration:none;vertical-align:baseline;white- space:pre;white-space:pre-wrap;"&gt;Apesar de intimados, os agravados&amp;#160;&lt;/span&gt;</w:t>
            </w:r>
          </w:p>
          <w:p>
            <w:pPr>
              <w:pStyle w:val="TableParagraph"/>
              <w:spacing w:line="208" w:lineRule="auto" w:before="0"/>
              <w:ind w:right="129"/>
              <w:rPr>
                <w:sz w:val="20"/>
              </w:rPr>
            </w:pPr>
            <w:r>
              <w:rPr>
                <w:sz w:val="20"/>
              </w:rPr>
              <w:t>&lt;span style="font-size:12pt;font-family:'Times New Roman',serif;color:#131314;background-color:#ffffff;font-weight:700;font-style:normal;font- variant:normal;text-decoration:none;vertical-align:baseline;white-space:pre;white- space:pre-wrap;"&gt;não apresentaram contrarrazões&lt;/span&gt;&lt;span style="font- size:12pt;font-family:'Times New Roman',serif;color:#131314;background-color:#ffffff;font- weight:400;font-style:normal;font-variant:normal;text-decoration:none;vertical- align:baseline;white-space:pre;white-space:pre-wrap;"&gt;.&lt;/span&gt;&lt;/p&gt;&lt;p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49" w:val="left" w:leader="none"/>
                <w:tab w:pos="4922" w:val="left" w:leader="none"/>
              </w:tabs>
              <w:spacing w:line="208" w:lineRule="auto" w:before="26"/>
              <w:ind w:right="21"/>
              <w:rPr>
                <w:sz w:val="20"/>
              </w:rPr>
            </w:pPr>
            <w:r>
              <w:rPr>
                <w:sz w:val="20"/>
              </w:rPr>
              <w:t>space:pre-wrap;"&gt;Os autos foram remetidos à&lt;/span&gt; &lt;span style="font-size:12pt;font- family:'Times New Roman',serif;color:#131314;background-color:#ffffff;font-weight:700;font- style:normal;font-variant:normal;text-decoration:none;vertical-align:baseline;white- space:pre;white-space:pre-wrap;"&gt;Procuradoria Geral de Justiça,&lt;/span&gt; &lt;span style="font-size:12pt;font-family:'Times New Roman',serif;color:#131314;background- color:#ffffff;font-weight:400;font-style:normal;font-variant:normal;text- decoration:none;vertical-align:baseline;white-space:pre;white-space:pre-wrap;"&gt;que, em parecer, manifestou-se pelo&lt;/span&gt; &lt;span style="font-size:12pt;font-family:'Times New Roman',serif;color:#131314;background-color:#ffffff;font-weight:700;font-style:normal;font- variant:normal;text-decoration:none;vertical-align:baseline;white-space:pre;white- space:pre-wrap;"&gt;conhecimento e desprovimento&lt;/span&gt; &lt;span style="font-size:12pt;font- family:'Times New Roman',serif;color:#131314;background-color:#ffffff;font-weight:400;font- style:normal;font-variant:normal;text-decoration:none;vertical-align:baseline;white- space:pre;white-space:pre-wrap;"&gt;do Agravo de Instrumento, mantendo-se a decisão vergastada, por entender que o Juízo singular observou o trinômio norteador da obrigação alimentar.&amp;#160;&lt;/span&gt;&lt;/p&gt;&lt;p style="text-align: center;"&gt; &lt;span id="docs-internal-guid- 0ecfa423-7fff-b269-e458-ed4cee6e4663"&gt;&amp;#160;&lt;/span&gt;&lt;/p&gt;&lt;p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space:pre-wrap;"&gt;É o relatório.&lt;/span&gt;&lt;/p&gt;&lt;p style="text-align: center;"&gt; &lt;strong style="font-weight:normal;"&gt;</w:t>
              <w:tab/>
              <w:t>&lt;br /&gt; &lt;/strong&gt;&lt;/p&gt;&lt;p style="line-height: 1.71429; text- align: center; margin-top: 0pt; margin-bottom: 0pt;" dir="ltr"&gt; &lt;span style="font- size:12pt;font-family:'Times New Roman',serif;color:#131314;background-color:#ffffff;font- weight:700;font-style:normal;font-variant:normal;text-decoration:none;vertical- align:baseline;white-space:pre;white-space:pre-wrap;"&gt;VOTO&lt;/span&gt;&lt;/p&gt;&lt;p style="text- align: center;"&gt;  &lt;strong style="font-weight:normal;"&gt;</w:t>
              <w:tab/>
              <w:t>&lt;br /&gt; &lt;/strong&gt;&lt;/p&gt;&lt;p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space:pre-wrap;"&gt;I - Admissibilidade&lt;/span&gt;&lt;/p&gt;&lt;p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space:pre-wrap;"&gt;O recurso de Agravo de Instrumento é tempestivo e preenche os requisitos de admissibilidade intrínsecos e extrínsecos, conforme a análise preliminar já realizada. Portanto,&lt;/span&gt; &lt;span style="font-size:12pt;font-family:'Times New Roman',serif;color:#131314;background-color:#ffffff;font-weight:700;font-style:normal;font- variant:normal;text-decoration:none;vertical-align:baseline;white-space:pre;white- space:pre-wrap;"&gt;conheço&lt;/span&gt; &lt;span style="font-size:12pt;font-family:'Times New Roman',serif;color:#131314;background-color:#ffffff;font-weight:400;font-style:normal;font- variant:normal;text-decoration:none;vertical-align:baseline;white-space:pre;white- space:pre-wrap;"&gt;do recurso.&lt;/span&gt;&lt;/p&gt;&lt;p style="line-height:1.7999999999999998;text- indent: 56.692913385826756pt;text-align: justify;margin-top:4pt;margin-bottom:0pt;" dir="ltr"&gt; &lt;span style="font-size:12pt;font-family:'Times New Roman',serif;color:#131314;background-color:#ffffff;font-weight:700;font-style:normal;font- variant:normal;text-decoration:none;vertical-align:baseline;white-space:pre;white- space:pre-wrap;"&gt;II - Mérito&lt;/span&gt;&lt;/p&gt;&lt;p style="line-height:1.7999999999999998;text- 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space:pre-wrap;"&gt;De início, ressalto que a análise deste recurso restringe-se à matéria relativa aos alimentos provisórios fixados na origem, em razão da estreita via do agravo de instrumento. Assim, não se procederá a análise aprofundada e definitiva no mérito da ação originária, sob pena de incidir em indevida supressão de uma instância jurisdicional.&amp;#160;&lt;/span&gt;&lt;/p&gt;&lt;p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space:pre-wrap;"&gt;Infere-se dos autos que os agravados ingressaram com pedido de alimentos em desfavor do agravante. Através da decisão de ID 159758492, dos autos originários, o juízo&lt;/span&gt; &lt;span style="font-size:12pt;font-family:'Times New Roman',serif;color:#131314;background-color:#ffffff;font-weight:400;font-style:italic;font- variant:normal;text-decoration:none;vertical-align:baseline;white-space:pre;white- space:pre-wrap;"&gt;a quo&lt;/span&gt; &lt;span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9"/>
              <w:rPr>
                <w:sz w:val="20"/>
              </w:rPr>
            </w:pPr>
            <w:r>
              <w:rPr>
                <w:sz w:val="20"/>
              </w:rPr>
              <w:t>Roman',serif;color:#131314;background-color:#ffffff;font-weight:400;font-style:normal;font- variant:normal;text-decoration:none;vertical-align:baseline;white-space:pre;white- space:pre-wrap;"&gt;fixou alimentos em favor dos menores no montante de 40% do salário- mínimo, a ser pago até o 5º dia útil de cada mês, na conta bancária informada.&lt;/span&gt;&lt;/p&gt;&lt;p style="line-height:1.7999999999999998;text-indent: 56.692913385826756pt;text-align: justify;margin-top:4pt;margin-bottom:0pt;" dir="ltr"&gt;</w:t>
            </w:r>
          </w:p>
          <w:p>
            <w:pPr>
              <w:pStyle w:val="TableParagraph"/>
              <w:spacing w:line="208" w:lineRule="auto" w:before="0"/>
              <w:ind w:right="42"/>
              <w:rPr>
                <w:sz w:val="20"/>
              </w:rPr>
            </w:pPr>
            <w:r>
              <w:rPr>
                <w:sz w:val="20"/>
              </w:rPr>
              <w:t>&lt;span style="font-size:12pt;font-family:'Times New Roman',serif;color:#131314;background-color:#ffffff;font-weight:400;font-style:normal;font- variant:normal;text-decoration:none;vertical-align:baseline;white-space:pre;white- space:pre-wrap;"&gt;Conforme relatado, o agravante sustenta a sua impossibilidade de arcar com os alimentos fixados e pleiteia a redução para 20% do salário mínimo. ressalta que já vem contribuindo com o sustento dos filhos com o valor mensal de R$ 300,00 (trezentos) reais, que trabalha de forma autônoma como ajudante de pedreiro, que atualmente vive em união estável e tem outra filha, de apenas 04 (quatro) anos.&lt;/span&gt;&lt;/p&gt;&lt;p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space:pre-wrap;"&gt;A controvérsia, portanto, cinge-se à adequação do valor fixado a título de alimentos provisórios, diante das alegações de menor capacidade econômica do genitor.&lt;/span&gt;&lt;/p&gt;&lt;p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space:pre-wrap;"&gt;A fixação da pensão alimentícia deve, por preceito legal e </w:t>
            </w:r>
            <w:r>
              <w:rPr>
                <w:spacing w:val="-2"/>
                <w:sz w:val="20"/>
              </w:rPr>
              <w:t>constitucional, </w:t>
            </w:r>
            <w:r>
              <w:rPr>
                <w:sz w:val="20"/>
              </w:rPr>
              <w:t>observar o&lt;/span&gt; &lt;span style="font-size:12pt;font-family:'Times New Roman',serif;color:#131314;background-color:#ffffff;font-weight:700;font-style:normal;font- variant:normal;text-decoration:none;vertical-align:baseline;white-space:pre;white- space:pre-wrap;"&gt;trinômio necessidade-possibilidade-proporcionalidade&lt;/span&gt;&lt;span style="font-size:12pt;font-family:'Times New Roman',serif;color:#131314;background- color:#ffffff;font-weight:400;font-style:normal;font-variant:normal;text- decoration:none;vertical-align:baseline;white-space:pre;white-space:pre-wrap;"&gt;, conforme os artigos 1.694 e 1.695 do Código Civil e o artigo 22 do Estatuto da Criança e do Adolescente. Este trinômio não exige prova exaustiva na fase de fixação de alimentos provisórios, mas indícios suficientes para assegurar o sustento dos alimentandos e evitar onerar em demasia o alimentante.&lt;/span&gt;&lt;/p&gt;&lt;p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space:pre-wrap;"&gt;Em que pese os argumentos suscitados pelo agravado, infere-se que razão não lhe assiste.&lt;/span&gt;&lt;/p&gt;&lt;p style="line-height:1.7999999999999998;text-indent: 56.692913385826756pt;text-align: justify;margin-top:4pt;margin-bottom:0pt;" dir="ltr"&gt;</w:t>
            </w:r>
          </w:p>
          <w:p>
            <w:pPr>
              <w:pStyle w:val="TableParagraph"/>
              <w:spacing w:line="208" w:lineRule="auto" w:before="0"/>
              <w:ind w:right="60"/>
              <w:rPr>
                <w:sz w:val="20"/>
              </w:rPr>
            </w:pPr>
            <w:r>
              <w:rPr>
                <w:sz w:val="20"/>
              </w:rPr>
              <w:t>&lt;span style="font-size:12pt;font-family:'Times New Roman',serif;color:#131314;background-color:#ffffff;font-weight:400;font-style:normal;font- variant:normal;text-decoration:none;vertical-align:baseline;white-space:pre;white- space:pre-wrap;"&gt;No caso, o montante fixado destina-se a 3 (três) crianças, cuja necessidade é presumida, sendo uma delas acometida de microcefalia, condição que demanda maiores cuidados e assistência. Por outro lado, o agravante não demonstrou demonstrou, de forma suficiente, a impossibilidade de arcar com o encargo fixado.&lt;/span&gt;&lt;/p&gt;&lt;p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space:pre-wrap;"&gt;Assim, o montante fixado pelo Juízo&lt;/span&gt; &lt;span style="font- size:12pt;font-family:'Times New Roman',serif;color:#131314;background-color:#ffffff;font- weight:400;font-style:italic;font-variant:normal;text-decoration:none;vertical- align:baseline;white-space:pre;white-space:pre-wrap;"&gt;a quo&lt;/span&gt; &lt;span style="font- size:12pt;font-family:'Times New Roman',serif;color:#131314;background-color:#ffffff;font- weight:400;font-style:normal;font-variant:normal;text-decoration:none;vertical- align:baseline;white-space:pre;white-space:pre-wrap;"&gt;deve ser&lt;/span&gt; &lt;span </w:t>
            </w:r>
            <w:r>
              <w:rPr>
                <w:spacing w:val="-2"/>
                <w:sz w:val="20"/>
              </w:rPr>
              <w:t>style="font- </w:t>
            </w:r>
            <w:r>
              <w:rPr>
                <w:sz w:val="20"/>
              </w:rPr>
              <w:t>size:12pt;font-family:'Times New Roman',serif;color:#131314;background-color:#ffffff;font- weight:700;font-style:normal;font-variant:normal;text-decoration:none;vertical- align:baseline;white-space:pre;white-space:pre-wrap;"&gt;mantido&lt;/span&gt;&lt;span style="font- size:12pt;font-family:'Times New Roman',serif;color:#131314;background-color:#ffffff;font- weight:400;font-style:normal;font-variant:normal;text-decoration:none;vertical- align:baseline;white-space:pre;white-space:pre-wrap;"&gt;, pois respeita o trinômio legal neste momento processual.&lt;/span&gt;&lt;/p&gt;&lt;p style="line-height:1.7999999999999998;text-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9"/>
              <w:rPr>
                <w:sz w:val="20"/>
              </w:rPr>
            </w:pPr>
            <w:r>
              <w:rPr>
                <w:sz w:val="20"/>
              </w:rPr>
              <w:t>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space:pre-wrap;"&gt;Acerca da fixação dos alimentos provisórios, colaciono os seguintes julgados:&lt;/span&gt;&lt;/p&gt;&lt;p style="line-height:1.7999999999999998;text-indent: 56.692913385826756pt;text-align: justify;margin-top:4pt;margin-bottom:0pt;" dir="ltr"&gt;</w:t>
            </w:r>
          </w:p>
          <w:p>
            <w:pPr>
              <w:pStyle w:val="TableParagraph"/>
              <w:tabs>
                <w:tab w:pos="1883" w:val="left" w:leader="none"/>
              </w:tabs>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w:t>
              <w:tab/>
              <w:t>&lt;br /&gt; &lt;/span&gt;&lt;/p&gt;&lt;p style="line-height:1.38;margin-left: 113.38582677165354pt;text-align: justify;margin-top:0pt;margin-bottom:0pt;" dir="ltr"&gt;</w:t>
            </w:r>
          </w:p>
          <w:p>
            <w:pPr>
              <w:pStyle w:val="TableParagraph"/>
              <w:spacing w:line="208" w:lineRule="auto" w:before="0"/>
              <w:ind w:right="56"/>
              <w:rPr>
                <w:sz w:val="20"/>
              </w:rPr>
            </w:pPr>
            <w:r>
              <w:rPr>
                <w:sz w:val="20"/>
              </w:rPr>
              <w:t>&lt;span style="font-size:12pt;font-family:'Times New Roman',serif;color:#131314;background-color:#ffffff;font-weight:400;font-style:normal;font- variant:normal;text-decoration:none;vertical-align:baseline;white-space:pre;white- space:pre-wrap;"&gt;EMENTA: AGRAVO DE INSTRUMENTO. DIREITO DE FAMÍLIA.&amp;#160; VERBA ALIMENTAR PROVISÓRIA FIXADA EM 30% DO SALÁRIO MÍNIMO, MENSALMENTE. PRETENSÃO DE REDUÇÃO. DESCABIMENTO. ALIMENTANTE QUE NÃO DEMONSTROU A IMPOSSIBILIDADE DE PAGAMENTO E, POR VIA DE CONSEQUÊNCIA, A PROBABILIDADE DO SEU DIREITO NÃO RESULTOU EVIDENCIADA. RECURSO CONHECIDO E DESPROVIDO. DECISÃO</w:t>
            </w:r>
          </w:p>
          <w:p>
            <w:pPr>
              <w:pStyle w:val="TableParagraph"/>
              <w:spacing w:line="208" w:lineRule="auto" w:before="0"/>
              <w:ind w:right="540"/>
              <w:rPr>
                <w:sz w:val="20"/>
              </w:rPr>
            </w:pPr>
            <w:r>
              <w:rPr>
                <w:sz w:val="20"/>
              </w:rPr>
              <w:t>PRESERVADA.&lt;/span&gt;&lt;/p&gt;&lt;p style="line-height:1.38;margin-left: 113.38582677165354pt;text-align: justify;margin-top:0pt;margin-bottom:0pt;" dir="ltr"&gt;</w:t>
            </w:r>
          </w:p>
          <w:p>
            <w:pPr>
              <w:pStyle w:val="TableParagraph"/>
              <w:spacing w:line="208" w:lineRule="auto" w:before="0"/>
              <w:ind w:right="125"/>
              <w:rPr>
                <w:sz w:val="20"/>
              </w:rPr>
            </w:pPr>
            <w:r>
              <w:rPr>
                <w:sz w:val="20"/>
              </w:rPr>
              <w:t>&lt;span style="font-size:12pt;font-family:'Times New Roman',serif;color:#131314;background-color:#ffffff;font-weight:400;font-style:normal;font- variant:normal;text-decoration:none;vertical-align:baseline;white-space:pre;white- space:pre-wrap;"&gt;1. Cinge-se a controvérsia ao exame do adimplemento dos pressupostos do artigo 300, do Código de Processo Civil, aptos ao deferimento da tutela provisória de urgência, no sentido de reduzir a verba alimentar provisória fixada pelo Juízo&amp;#160; a quo, cujo cotejo se dará em relação a possibilidade do alimentante, ora agravante.&lt;/span&gt;&lt;/p&gt;&lt;p style="line-height:1.38;margin-left: 113.38582677165354pt;text- align: justify;margin-top:0pt;margin-bottom:0pt;" dir="ltr"&gt;  &lt;span</w:t>
            </w:r>
            <w:r>
              <w:rPr>
                <w:spacing w:val="-18"/>
                <w:sz w:val="20"/>
              </w:rPr>
              <w:t> </w:t>
            </w:r>
            <w:r>
              <w:rPr>
                <w:sz w:val="20"/>
              </w:rPr>
              <w:t>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space:pre;white-space:pre-wrap;"&gt;2. De acordo com o artigo 4º da Lei de Alimentos (Lei Nº 5.478/68), os alimentos provisórios são aqueles fixados liminarmente pelo juízo, sem ouvir a parte contrária, para que não haja prejuízo ao alimentando na pendência do julgamento definitivo da ação que postula alimentos e, para a sua fixação, o Julgador toma por base a prova inequívoca de parentesco entre aqueles que requerem os alimentos e aquele que prestará a referida obrigação.&lt;/span&gt;&lt;/p&gt;&lt;p style="line-height:1.38;margin- left: 113.38582677165354pt;text-align: justify;margin-top:0pt;margin-bottom:0pt;" dir="ltr"&gt;</w:t>
            </w:r>
          </w:p>
          <w:p>
            <w:pPr>
              <w:pStyle w:val="TableParagraph"/>
              <w:spacing w:line="208" w:lineRule="auto" w:before="0"/>
              <w:ind w:right="41"/>
              <w:rPr>
                <w:sz w:val="20"/>
              </w:rPr>
            </w:pPr>
            <w:r>
              <w:rPr>
                <w:sz w:val="20"/>
              </w:rPr>
              <w:t>&lt;span style="font-size:12pt;font-family:'Times New Roman',serif;color:#131314;background-color:#ffffff;font-weight:400;font-style:normal;font- variant:normal;text-decoration:none;vertical-align:baseline;white-space:pre;white- space:pre-wrap;"&gt;3. Por sua vez dispõe o artigo 1.694, § 1º, do Código Civil, que são critérios legais para a fixação do&amp;#160; quantum alimentar, não somente a aferição das necessidades de quem vai recebê-lo, mas também a possibilidade econômica de quem vai prestá-lo, ressurgindo daí o binômio necessidade-possibilidade, em que pai e mãe são igualmente responsáveis economicamente pela manutenção dos seus filhos.&lt;/span&gt;&lt;/p&gt;&lt;p style="line-height:1.38;margin-left: 113.38582677165354pt;text-align: justify;margin-top:0pt;margin-bottom:0pt;" dir="ltr"&gt; &lt;span 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space:pre;white-space:pre-wrap;"&gt;4. Quanto a necessidade do alimentando, sabe-se, que os filhos menores de idade que pedem alimentos é presumida, ou seja, não precisa ser comprovada. No caso vertente, trata-se de uma criança, logo, somente a busca aos alimentos já constitui prova das suas necessidades, tratando a legislação como necessidade presumida, ou seja, aquela de goza de presunção&amp;#160; juris tantum (artigo 4º, da Lei Nº 5.478/68).&lt;/span&gt;&lt;/p&gt;&lt;p style="line-height:1.38;margin-left: 113.38582677165354pt;text-align: justify;margin-top:0pt;margin-bottom:0pt;" dir="ltr"&gt;</w:t>
            </w:r>
          </w:p>
          <w:p>
            <w:pPr>
              <w:pStyle w:val="TableParagraph"/>
              <w:spacing w:line="208" w:lineRule="auto" w:before="0"/>
              <w:ind w:right="74"/>
              <w:rPr>
                <w:sz w:val="20"/>
              </w:rPr>
            </w:pPr>
            <w:r>
              <w:rPr>
                <w:sz w:val="20"/>
              </w:rPr>
              <w:t>&lt;span style="font-size:12pt;font-family:'Times New Roman',serif;color:#131314;background-color:#ffffff;font-weight:400;font-style:normal;font- variant:normal;text-decoration:none;vertical-align:baseline;white-space:pre;white- space:pre-wrap;"&gt;5. No respeitante à possibilidade de pagamento da verba alimentar pelo alimentante, não consta dos fólios provas de que o mesmo não disponha de condições financeiras de colaborar para o sustento do filho no importe fixado na decisão agravada, uma vez que ainda não foi perfectibilizado o devido contraditório no processo em trâmite no 1º grau de jurisdição e neste recurso o recorrente não colacionou nenhum documento que denote a alegada impossibilidade de fornecer a verba alimentar estipulada, sendo que a documentação colacionada se resume a Declaração de Hipossuficiência de Recursos,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1"/>
              <w:rPr>
                <w:sz w:val="20"/>
              </w:rPr>
            </w:pPr>
            <w:r>
              <w:rPr>
                <w:sz w:val="20"/>
              </w:rPr>
              <w:t>documento de identidade, comprovante de endereço, declaração de renda subscrita ao próprio punho e certidão de nascimento de outra filha (ID 22549362, 22549364, 22549361, 22549368, 22549363 E 22549365).&lt;/span&gt;&lt;/p&gt;&lt;p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space:pre-wrap;"&gt;6. Nessa esteira, não se vislumbram demonstrados a probabilidade do direito apto a ensejar o deferimento do pedido de redução dos alimentos, bem como o perigo de dano ou risco ao resultado útil do processo, razão pela qual, mantém-se incólume a decisão recorrida.&lt;/span&gt;&lt;/p&gt;&lt;p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space:pre-wrap;"&gt;7. Recurso conhecido e desprovido. Decisão Inalterada. (AGRAVO DE INSTRUMENTO - 06223606120258060000, Relator(a): MARIA DE FATIMA DE MELO</w:t>
            </w:r>
          </w:p>
          <w:p>
            <w:pPr>
              <w:pStyle w:val="TableParagraph"/>
              <w:tabs>
                <w:tab w:pos="1750" w:val="left" w:leader="none"/>
              </w:tabs>
              <w:spacing w:line="208" w:lineRule="auto" w:before="0"/>
              <w:ind w:right="540"/>
              <w:rPr>
                <w:sz w:val="20"/>
              </w:rPr>
            </w:pPr>
            <w:r>
              <w:rPr>
                <w:sz w:val="20"/>
              </w:rPr>
              <w:t>LOUREIRO, 2ª Câmara de Direito Privado, Data do julgamento: 25/06/2025)&lt;/span&gt;&lt;/p&gt;&lt;p style="text-align: center;"&gt; &lt;strong style="font- weight:normal;"&gt;</w:t>
              <w:tab/>
              <w:t>&lt;br /&gt; &lt;/strong&gt;&lt;/p&gt;&lt;p style="line-height:1.38;margin-left: 113.38582677165354pt;text-align: justify;margin-top:0pt;margin-bottom:0pt;"</w:t>
            </w:r>
            <w:r>
              <w:rPr>
                <w:spacing w:val="-16"/>
                <w:sz w:val="20"/>
              </w:rPr>
              <w:t> </w:t>
            </w:r>
            <w:r>
              <w:rPr>
                <w:sz w:val="20"/>
              </w:rPr>
              <w:t>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space:pre-wrap;"&gt;Ementa: DIREITO CIVIL E PROCESSUAL CIVIL. AGRAVO DE</w:t>
            </w:r>
          </w:p>
          <w:p>
            <w:pPr>
              <w:pStyle w:val="TableParagraph"/>
              <w:spacing w:line="208" w:lineRule="auto" w:before="0"/>
              <w:ind w:right="4"/>
              <w:rPr>
                <w:sz w:val="20"/>
              </w:rPr>
            </w:pPr>
            <w:r>
              <w:rPr>
                <w:sz w:val="20"/>
              </w:rPr>
              <w:t>INSTRUMENTO. AÇÃO DE ALIMENTOS COM PEDIDO DE ALIMENTOS PROVISÓRIOS. FIXAÇÃO DOS ALIMENTOS PROVISÓRIOS EM VALOR COMPATÍVEL COM A CONDIÇÃO SOCIAL DO ALIMENTANTE. PRESUNÇÃO DE NECESSIDADE DO MENOR. AUSÊNCIA DE PROVA DE INCAPACIDADE FINANCEIRA. RECURSO</w:t>
            </w:r>
          </w:p>
          <w:p>
            <w:pPr>
              <w:pStyle w:val="TableParagraph"/>
              <w:spacing w:line="208" w:lineRule="auto" w:before="0"/>
              <w:ind w:right="540"/>
              <w:rPr>
                <w:sz w:val="20"/>
              </w:rPr>
            </w:pPr>
            <w:r>
              <w:rPr>
                <w:sz w:val="20"/>
              </w:rPr>
              <w:t>DESPROVIDO.&lt;/span&gt;&lt;/p&gt;&lt;p style="line-height:1.38;margin-left: 113.38582677165354pt;text-align: justify;margin-top:0pt;margin-bottom:0pt;"</w:t>
            </w:r>
            <w:r>
              <w:rPr>
                <w:spacing w:val="-18"/>
                <w:sz w:val="20"/>
              </w:rPr>
              <w:t> </w:t>
            </w:r>
            <w:r>
              <w:rPr>
                <w:sz w:val="20"/>
              </w:rPr>
              <w:t>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space:pre-wrap;"&gt;I. CASO EM EXAME&lt;/span&gt;&lt;/p&gt;&lt;p style="line-height:1.38;margin-left: 113.38582677165354pt;text-align: justify;margin-top:0pt;margin-bottom:0pt;" dir="ltr"&gt;</w:t>
            </w:r>
          </w:p>
          <w:p>
            <w:pPr>
              <w:pStyle w:val="TableParagraph"/>
              <w:spacing w:line="208" w:lineRule="auto" w:before="0"/>
              <w:ind w:right="65"/>
              <w:rPr>
                <w:sz w:val="20"/>
              </w:rPr>
            </w:pPr>
            <w:r>
              <w:rPr>
                <w:sz w:val="20"/>
              </w:rPr>
              <w:t>&lt;span style="font-size:12pt;font-family:'Times New Roman',serif;color:#131314;background-color:#ffffff;font-weight:400;font-style:normal;font- variant:normal;text-decoration:none;vertical-align:baseline;white-space:pre;white- space:pre-wrap;"&gt;1. Agravo de Instrumento interposto por M. B. V. R. L. contra decisão da 17ª Vara de Família da Comarca de Fortaleza que fixou alimentos provisórios em favor do menor M. P. V. R., representado por sua genitora L. P. M. A., no valor de R$ 2.118,00 mensais, a serem pagos até o dia 30 de cada mês. O agravante alega impossibilidade de arcar com o valor arbitrado e requer sua redução, sustentando que sua remuneração líquida não comporta o montante fixado, além de afirmar que a genitora do menor possui renda para contribuir com as despesas da criança.&lt;/span&gt;&lt;/p&gt;&lt;p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space:pre-wrap;"&gt;II. QUESTÃO EM DISCUSSÃO&lt;/span&gt;&lt;/p&gt;&lt;p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space:pre-wrap;"&gt;2. Há duas questões em discussão: (i) definir se o valor arbitrado a título de alimentos provisórios é compatível com o binômio necessidade/possibilidade; (ii) determinar se a existência de renda por parte da genitora justifica a redução da pensão alimentícia provisória fixada em desfavor do genitor.&lt;/span&gt;&lt;/p&gt;&lt;p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space:pre-wrap;"&gt;III. RAZÕES DE DECIDIR&lt;/span&gt;&lt;/p&gt;&lt;p style="line-height:1.38;margin- 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space:pre-wrap;"&gt;3. A fixação dos alimentos deve observar o binômio necessidade do</w:t>
            </w:r>
          </w:p>
          <w:p>
            <w:pPr>
              <w:pStyle w:val="TableParagraph"/>
              <w:spacing w:line="205" w:lineRule="exact" w:before="0"/>
              <w:rPr>
                <w:sz w:val="20"/>
              </w:rPr>
            </w:pPr>
            <w:r>
              <w:rPr>
                <w:sz w:val="20"/>
              </w:rPr>
              <w:t>alimentando e possibilidade do alimentante, nos termos do art. 1.694, § 1º, do Código Civil,</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sendo incabível a imposição de valor que comprometa a subsistência de quem presta alimentos.&lt;/span&gt;&lt;/p&gt;&lt;p style="line-height:1.38;margin-left: 113.38582677165354pt;text- align: justify;margin-top:0pt;margin-bottom:0pt;" dir="ltr"&gt; &lt;span style="font-size:12pt;font- family:'Times New Roman',serif;color:#131314;background-color:#ffffff;font-weight:400;font- style:normal;font-variant:normal;text-decoration:none;vertical-align:baseline;white- space:pre;white-space:pre-wrap;"&gt;4. As necessidades do menor são presumidas, sendo indevida, em sede de cognição sumária, a exigência de prova documental minuciosa de cada gasto alegado pela genitora.&lt;/span&gt;&lt;/p&gt;&lt;p style="line-height:1.38;margin-left: 113.38582677165354pt;text-align: justify;margin-top:0pt;margin-bottom:0pt;" dir="ltr"&gt;</w:t>
            </w:r>
          </w:p>
          <w:p>
            <w:pPr>
              <w:pStyle w:val="TableParagraph"/>
              <w:spacing w:line="208" w:lineRule="auto" w:before="0"/>
              <w:ind w:right="47"/>
              <w:rPr>
                <w:sz w:val="20"/>
              </w:rPr>
            </w:pPr>
            <w:r>
              <w:rPr>
                <w:sz w:val="20"/>
              </w:rPr>
              <w:t>&lt;span style="font-size:12pt;font-family:'Times New Roman',serif;color:#131314;background-color:#ffffff;font-weight:400;font-style:normal;font- variant:normal;text-decoration:none;vertical-align:baseline;white-space:pre;white- space:pre-wrap;"&gt;5. O agravante não comprova de forma idônea sua alegada incapacidade financeira, limitando-se a apresentar contracheques com valores inferiores aos efetivamente movimentados em sua conta bancária.&lt;/span&gt;&lt;/p&gt;&lt;p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space:pre-wrap;"&gt;6. A análise dos extratos bancários revela movimentação financeira mensal superior àquela informada, atingindo média de R$ 11.231,87, o que demonstra a viabilidade do pagamento da quantia fixada a título de alimentos provisórios.&lt;/span&gt;&lt;/p&gt;&lt;p style="line-height:1.38;margin-left: 113.38582677165354pt;text- align: justify;margin-top:0pt;margin-bottom:0pt;" dir="ltr"&gt; &lt;span 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space:pre;white-space:pre-wrap;"&gt;7. A mera existência de renda pela genitora do menor não autoriza a redução dos alimentos, pois ambos os genitores têm o dever de contribuir proporcionalmente à manutenção dos filhos, exigindo-se instrução probatória mais aprofundada para eventual redimensionamento da obrigação.&lt;/span&gt;&lt;/p&gt;&lt;p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space:pre-wrap;"&gt;8. O valor arbitrado mostra-se compatível com a capacidade econômica do alimentante e com o padrão social da criança, devendo ser mantido até que sobrevenha decisão em cognição exauriente.&lt;/span&gt;&lt;/p&gt;&lt;p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space:pre-wrap;"&gt;9. O agravo interno interposto contra a decisão que indeferiu a liminar recursal resta prejudicado, em razão do julgamento do mérito do agravo de instrumento que o substitui integralmente.&lt;/span&gt;&lt;/p&gt;&lt;p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w:t>
            </w:r>
          </w:p>
          <w:p>
            <w:pPr>
              <w:pStyle w:val="TableParagraph"/>
              <w:spacing w:line="208" w:lineRule="auto" w:before="0"/>
              <w:ind w:right="21"/>
              <w:rPr>
                <w:sz w:val="20"/>
              </w:rPr>
            </w:pPr>
            <w:r>
              <w:rPr>
                <w:sz w:val="20"/>
              </w:rPr>
              <w:t>space:pre-wrap;"&gt;IV. DISPOSITIVO E TESE&lt;/span&gt;&lt;/p&gt;&lt;p style="line-height:1.38;margin- left: 113.38582677165354pt;text-align: justify;margin-top:0pt;margin-bottom:0pt;" dir="ltr"&gt;</w:t>
            </w:r>
          </w:p>
          <w:p>
            <w:pPr>
              <w:pStyle w:val="TableParagraph"/>
              <w:spacing w:line="208" w:lineRule="auto" w:before="0"/>
              <w:ind w:right="102"/>
              <w:rPr>
                <w:sz w:val="20"/>
              </w:rPr>
            </w:pPr>
            <w:r>
              <w:rPr>
                <w:sz w:val="20"/>
              </w:rPr>
              <w:t>&lt;span style="font-size:12pt;font-family:'Times New Roman',serif;color:#131314;background-color:#ffffff;font-weight:400;font-style:normal;font- variant:normal;text-decoration:none;vertical-align:baseline;white-space:pre;white- space:pre-wrap;"&gt;10. Agravo de instrumento desprovido. Agravo interno não conhecido.&lt;/span&gt;&lt;/p&gt;&lt;p style="line-height:1.38;margin-left: 113.38582677165354pt;text- align: justify;margin-top:0pt;margin-bottom:0pt;" dir="ltr"&gt;  &lt;span 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space:pre;white-space:pre-wrap;"&gt;Tese de julgamento:&lt;/span&gt;&lt;/p&gt;&lt;p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space:pre-wrap;"&gt;1. A fixação de alimentos provisórios deve observar o binômio necessidade do alimentando e possibilidade do alimentante, cabendo a este o ônus da prova quanto à sua eventual incapacidade financeira.&lt;/span&gt;&lt;/p&gt;&lt;p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08"/>
              <w:rPr>
                <w:sz w:val="20"/>
              </w:rPr>
            </w:pPr>
            <w:r>
              <w:rPr>
                <w:sz w:val="20"/>
              </w:rPr>
              <w:t>space:pre-wrap;"&gt;2. As necessidades do menor são presumidas, sendo admitida a manutenção da pensão arbitrada em sede liminar quando compatível com a condição econômica do genitor.&lt;/span&gt;&lt;/p&gt;&lt;p style="line-height:1.38;margin-left: 113.38582677165354pt;text-align: justify;margin-top:0pt;margin-bottom:0pt;" dir="ltr"&gt;</w:t>
            </w:r>
          </w:p>
          <w:p>
            <w:pPr>
              <w:pStyle w:val="TableParagraph"/>
              <w:spacing w:line="208" w:lineRule="auto" w:before="0"/>
              <w:ind w:right="79"/>
              <w:rPr>
                <w:sz w:val="20"/>
              </w:rPr>
            </w:pPr>
            <w:r>
              <w:rPr>
                <w:sz w:val="20"/>
              </w:rPr>
              <w:t>&lt;span style="font-size:12pt;font-family:'Times New Roman',serif;color:#131314;background-color:#ffffff;font-weight:400;font-style:normal;font- variant:normal;text-decoration:none;vertical-align:baseline;white-space:pre;white- space:pre-wrap;"&gt;3. A existência de renda pela genitora não afasta, por si só, o dever do genitor de arcar com a pensão fixada provisoriamente, sendo necessária dilação probatória para eventual redistribuição da obrigação. (AGRAVO DE INSTRUMENTO - 06371221920248060000, Relator(a): CARLOS AUGUSTO GOMES CORREIA, 1ª Câmara</w:t>
            </w:r>
          </w:p>
          <w:p>
            <w:pPr>
              <w:pStyle w:val="TableParagraph"/>
              <w:tabs>
                <w:tab w:pos="4388" w:val="left" w:leader="none"/>
              </w:tabs>
              <w:spacing w:line="208" w:lineRule="auto" w:before="0"/>
              <w:ind w:right="159"/>
              <w:rPr>
                <w:sz w:val="20"/>
              </w:rPr>
            </w:pPr>
            <w:r>
              <w:rPr>
                <w:sz w:val="20"/>
              </w:rPr>
              <w:t>de Direito Privado, Data do julgamento: 07/08/2025)&lt;/span&gt;&lt;/p&gt;&lt;p style="text-align: center;"&gt;  &lt;strong style="font-weight:normal;"&gt;</w:t>
              <w:tab/>
              <w:t>&lt;br /&gt; &lt;/strong&gt;&lt;/p&gt;&lt;p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space:pre-wrap;"&gt;EMENTA: DIREITO PROCESSUAL CIVIL E FAMÍLIA. AGRAVO DE INSTRUMENTO. AÇÃO DE ALIMENTOS. FIXAÇÃO DE ALIMENTOS PROVISÓRIOS. PRETENSÃO DE REDUÇÃO. AUSÊNCIA DE PROVA DAS ALEGAÇÕES. RECURSO</w:t>
            </w:r>
          </w:p>
          <w:p>
            <w:pPr>
              <w:pStyle w:val="TableParagraph"/>
              <w:spacing w:line="208" w:lineRule="auto" w:before="0"/>
              <w:ind w:right="540"/>
              <w:rPr>
                <w:sz w:val="20"/>
              </w:rPr>
            </w:pPr>
            <w:r>
              <w:rPr>
                <w:sz w:val="20"/>
              </w:rPr>
              <w:t>CONHECIDO E NÃO PROVIDO.&lt;/span&gt;&lt;/p&gt;&lt;p style="line-height:1.38;margin-left: 113.38582677165354pt;text-align: justify;margin-top:0pt;margin-bottom:0pt;"</w:t>
            </w:r>
            <w:r>
              <w:rPr>
                <w:spacing w:val="-18"/>
                <w:sz w:val="20"/>
              </w:rPr>
              <w:t> </w:t>
            </w:r>
            <w:r>
              <w:rPr>
                <w:sz w:val="20"/>
              </w:rPr>
              <w:t>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space:pre-wrap;"&gt;I. CASO EM EXAME:&lt;/span&gt;&lt;/p&gt;&lt;p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space:pre-wrap;"&gt;1. Agravo de instrumento interposto por Francisco Edjanio dos Santos, contra decisão interlocutória que fixou alimentos provisórios em 70% do salário-mínimo, em ação de alimentos ajuizada por J. L. S. e J. L. S., representadas por sua genitora Josefa Barros Lopes da Silva.&lt;/span&gt;&lt;/p&gt;&lt;p style="line-height:1.38;margin-left: 113.38582677165354pt;text-align: justify;margin-top:0pt;margin-bottom:0pt;" dir="ltr"&gt;</w:t>
            </w:r>
          </w:p>
          <w:p>
            <w:pPr>
              <w:pStyle w:val="TableParagraph"/>
              <w:spacing w:line="208" w:lineRule="auto" w:before="0"/>
              <w:ind w:right="114"/>
              <w:rPr>
                <w:sz w:val="20"/>
              </w:rPr>
            </w:pPr>
            <w:r>
              <w:rPr>
                <w:sz w:val="20"/>
              </w:rPr>
              <w:t>&lt;span style="font-size:12pt;font-family:'Times New Roman',serif;color:#131314;background-color:#ffffff;font-weight:400;font-style:normal;font- variant:normal;text-decoration:none;vertical-align:baseline;white-space:pre;white- space:pre-wrap;"&gt;II. QUESTÃO EM DISCUSSÃO:&lt;/span&gt;&lt;/p&gt;&lt;p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space:pre-wrap;"&gt;2. A questão em discussão: (i) verificação quanto a existência de elementos que justifiquem a redução de alimentos.&lt;/span&gt;&lt;/p&gt;&lt;p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space:pre-wrap;"&gt;III. RAZÕES DE DECIDIR:&lt;/span&gt;&lt;/p&gt;&lt;p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space:pre-wrap;"&gt;3. Os argumentos suscitados não permitem formular um juízo de probabilidade acerca da existência do direito alegado pelo agravante, uma vez que não restaram comprovadas as teses recursais. Explico.&amp;#160;&lt;/span&gt;&lt;/p&gt;&lt;p style="line- height:1.38;margin-left: 113.38582677165354pt;text-align: justify;margin-top:0pt;margin- bottom:0pt;" dir="ltr"&gt; &lt;span style="font-size:12pt;font-family:'Times New Roman',serif;color:#131314;background-color:#ffffff;font-weight:400;font-style:normal;font- variant:normal;text-decoration:none;vertical-align:baseline;white-space:pre;white- space:pre-wrap;"&gt;4. Não foram juntadas quaisquer documentações que demonstrassem os rendimentos auferidos pelo recorrente, tão pouco comprovou os diversos gastos que alega ter conforme exposto na planilha de fls. 11, carecendo o feito de evidente dilação probatória.&lt;/span&gt;&lt;/p&gt;&lt;p style="line-height:1.38;margin-left: 113.38582677165354pt;text- align: justify;margin-top:0pt;margin-bottom:0pt;" dir="ltr"&gt;  &lt;span 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space:pre;white-space:pre-wrap;"&gt;5. A obrigação alimentar direcionada à criança não pode ficar prejudicada em detrimento das teses ora analisadas. Nesse tocante, inexistem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9"/>
              <w:rPr>
                <w:sz w:val="20"/>
              </w:rPr>
            </w:pPr>
            <w:r>
              <w:rPr>
                <w:sz w:val="20"/>
              </w:rPr>
              <w:t>fundamento hábeis a infirmar a decisão proferida em primeira instância, de modo que a mantenho, pelos próprios fundamentos.&lt;/span&gt;&lt;/p&gt;&lt;p style="line-height:1.38;margin-left: 113.38582677165354pt;text-align: justify;margin-top:0pt;margin-bottom:0pt;" dir="ltr"&gt;</w:t>
            </w:r>
          </w:p>
          <w:p>
            <w:pPr>
              <w:pStyle w:val="TableParagraph"/>
              <w:spacing w:line="208" w:lineRule="auto" w:before="0"/>
              <w:ind w:right="108"/>
              <w:rPr>
                <w:sz w:val="20"/>
              </w:rPr>
            </w:pPr>
            <w:r>
              <w:rPr>
                <w:sz w:val="20"/>
              </w:rPr>
              <w:t>&lt;span style="font-size:12pt;font-family:'Times New Roman',serif;color:#131314;background-color:#ffffff;font-weight:400;font-style:normal;font- variant:normal;text-decoration:none;vertical-align:baseline;white-space:pre;white- space:pre-wrap;"&gt;6. O art. 1.694 do Código Civil preceitua que os alimentos devem ser fixados na proporção das necessidades dos alimentandos recursos do alimentante, o que significa dizer que a verba alimentar deve ser arbitrada observando-se a justa ponderação do binômio necessidade e possibilidade, nunca perdendo de vista o princípio da proporcionalidade.&lt;/span&gt;&lt;/p&gt;&lt;p style="line-height:1.38;margin-left: 113.38582677165354pt;text-align: justify;margin-top:0pt;margin-bottom:0pt;" dir="ltr"&gt;</w:t>
            </w:r>
          </w:p>
          <w:p>
            <w:pPr>
              <w:pStyle w:val="TableParagraph"/>
              <w:spacing w:line="208" w:lineRule="auto" w:before="0"/>
              <w:ind w:right="130"/>
              <w:rPr>
                <w:sz w:val="20"/>
              </w:rPr>
            </w:pPr>
            <w:r>
              <w:rPr>
                <w:sz w:val="20"/>
              </w:rPr>
              <w:t>&lt;span style="font-size:12pt;font-family:'Times New Roman',serif;color:#131314;background-color:#ffffff;font-weight:400;font-style:normal;font- variant:normal;text-decoration:none;vertical-align:baseline;white-space:pre;white- space:pre-wrap;"&gt;7. Por fim, as teses que adentram na análise fática e documental, </w:t>
            </w:r>
            <w:r>
              <w:rPr>
                <w:spacing w:val="-4"/>
                <w:sz w:val="20"/>
              </w:rPr>
              <w:t>ainda </w:t>
            </w:r>
            <w:r>
              <w:rPr>
                <w:sz w:val="20"/>
              </w:rPr>
              <w:t>não analisadas na origem, carecem de realização da instrução processual, pelo Juízo de origem, restando a presente discussão recursal atinente à presença ou não dos requisitos do artigo 300 do CPC.&amp;#160;&lt;/span&gt;&lt;/p&gt;&lt;p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space:pre-wrap;"&gt;IV. DISPOSITIVO:&lt;/span&gt;&lt;/p&gt;&lt;p style="line-height:1.38;margin-left: 113.38582677165354pt;text-align: justify;margin-top:0pt;margin-bottom:0pt;" dir="ltr"&gt;</w:t>
            </w:r>
          </w:p>
          <w:p>
            <w:pPr>
              <w:pStyle w:val="TableParagraph"/>
              <w:spacing w:line="208" w:lineRule="auto" w:before="0"/>
              <w:ind w:right="78"/>
              <w:rPr>
                <w:sz w:val="20"/>
              </w:rPr>
            </w:pPr>
            <w:r>
              <w:rPr>
                <w:sz w:val="20"/>
              </w:rPr>
              <w:t>&lt;span style="font-size:12pt;font-family:'Times New Roman',serif;color:#131314;background-color:#ffffff;font-weight:400;font-style:normal;font- variant:normal;text-decoration:none;vertical-align:baseline;white-space:pre;white- space:pre-wrap;"&gt;8. Recurso conhecido mas desprovido. (AGRAVO DE INSTRUMENTO </w:t>
            </w:r>
            <w:r>
              <w:rPr>
                <w:spacing w:val="-18"/>
                <w:sz w:val="20"/>
              </w:rPr>
              <w:t>- </w:t>
            </w:r>
            <w:r>
              <w:rPr>
                <w:sz w:val="20"/>
              </w:rPr>
              <w:t>06251744620258060000, Relator(a): CARLOS ALBERTO MENDES FORTE, 2ª Câmara</w:t>
            </w:r>
          </w:p>
          <w:p>
            <w:pPr>
              <w:pStyle w:val="TableParagraph"/>
              <w:tabs>
                <w:tab w:pos="4388" w:val="left" w:leader="none"/>
              </w:tabs>
              <w:spacing w:line="208" w:lineRule="auto" w:before="0"/>
              <w:ind w:right="21"/>
              <w:rPr>
                <w:sz w:val="20"/>
              </w:rPr>
            </w:pPr>
            <w:r>
              <w:rPr>
                <w:sz w:val="20"/>
              </w:rPr>
              <w:t>de Direito Privado, Data do julgamento: 30/07/2025)&lt;/span&gt;&lt;/p&gt;&lt;p style="text-align: center;"&gt;  &lt;strong style="font-weight:normal;"&gt;</w:t>
              <w:tab/>
              <w:t>&lt;br /&gt; &lt;/strong&gt;&lt;/p&gt;&lt;p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space:pre-wrap;"&gt;Dessarte, em uma análise prévia da questão posta em discussão compatível com a análise em sede de agravo de instrumento, à míngua de provas substanciais a amparar o pedido, mostra-se injustificável modificação dos alimentos posto que o valor arbitrado mostra-se razoável.&amp;#160;&lt;/span&gt;&lt;/p&gt;&lt;p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space:pre-wrap;"&gt;Por fim, ressalto que o entendimento exposto na presente decisão não obsta a possibilidade de revisão do encargo alimentar a qualquer tempo, no curso da instrução, caso sobrevenha alteração na situação financeira de qualquer das partes, nos termos do art. 1.699 do Código Civil de 2002.&lt;/span&gt;&lt;/p&gt;&lt;p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space:pre-wrap;"&gt;Dispositivo&lt;/span&gt;&lt;/p&gt;&lt;p style="line-height:1.7999999999999998;text- 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space:pre-wrap;"&gt;Por todo o exposto e fundamentado, em consonância com o parecer ministerial e a jurisprudência desta Egrégia Corte,&lt;/span&gt; &lt;span style="font-size:12pt;font- family:'Times New Roman',serif;color:#131314;background-color:#ffffff;font-weight:700;font- style:normal;font-variant:normal;text-decoration:none;vertical-align:baseline;white- space:pre;white-space:pre-wrap;"&gt;conheço&lt;/span&gt; &lt;span style="font-size:12pt;font- family:'Times New Roman',serif;color:#131314;background-color:#ffffff;font-weight:400;font- style:normal;font-variant:normal;text-decoration:none;vertical-align:baseline;white- space:pre;white-space:pre-wrap;"&gt;do presente Agravo de Instrumento, para&lt;/span&gt; &lt;span style="font-size:12pt;font-family:'Times New Roman',serif;color:#131314;background- color:#ffffff;font-weight:700;font-style:normal;font-variant:normal;text- decoration:none;vertical-align:baseline;white-space:pre;white-space:pre-wrap;"&gt;negar-lhe provimento&lt;/span&gt;&lt;span style="font-size:12pt;font-family:'Times New Roman',serif;color:#131314;background-color:#ffffff;font-weight:400;font-style:normal;font-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3011496-59.2025.8.06.0000</w:t>
            </w:r>
          </w:p>
        </w:tc>
      </w:tr>
      <w:tr>
        <w:trPr>
          <w:trHeight w:val="4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59"/>
              <w:rPr>
                <w:sz w:val="20"/>
              </w:rPr>
            </w:pPr>
            <w:r>
              <w:rPr>
                <w:sz w:val="20"/>
              </w:rPr>
              <w:t>variant:normal;text-decoration:none;vertical-align:baseline;white-space:pre;white- space:pre-wrap;"&gt;.&lt;/span&gt;&lt;/p&gt;&lt;p style="line-height:1.7999999999999998;text-indent: 56.692913385826756pt;text-align: justify;margin-top:4pt;margin-bottom:0pt;" dir="ltr"&gt;</w:t>
            </w:r>
          </w:p>
          <w:p>
            <w:pPr>
              <w:pStyle w:val="TableParagraph"/>
              <w:tabs>
                <w:tab w:pos="1205" w:val="left" w:leader="none"/>
                <w:tab w:pos="2061" w:val="left" w:leader="none"/>
                <w:tab w:pos="2794" w:val="left" w:leader="none"/>
                <w:tab w:pos="3006" w:val="left" w:leader="none"/>
                <w:tab w:pos="4732" w:val="left" w:leader="none"/>
                <w:tab w:pos="6876" w:val="left" w:leader="none"/>
              </w:tabs>
              <w:spacing w:line="208" w:lineRule="auto" w:before="0"/>
              <w:ind w:right="382"/>
              <w:rPr>
                <w:sz w:val="20"/>
              </w:rPr>
            </w:pPr>
            <w:r>
              <w:rPr>
                <w:sz w:val="20"/>
              </w:rPr>
              <w:t>&lt;span style="font-family: &amp;quot;times new roman&amp;quot;, times; font-size: medium; text- indent: 8%;"&gt;É como voto.&lt;/span&gt;&lt;/p&gt;&lt;p style="line-height:1.7999999999999998;text- indent: 56.692913385826756pt;text-align: justify;margin-top:4pt;margin-bottom:0pt;" dir="ltr"&gt; &lt;span style="font-family: &amp;quot;times new roman&amp;quot;, times; font-size: medium; text-indent: 8%;"&gt;Fortaleza/CE, data registrada no sistema.&lt;/span&gt;&lt;/p&gt;&lt;p style="text-indent: 8%; text-align: justify;"&gt;  &lt;span style="font-size: small;"&gt;</w:t>
              <w:tab/>
              <w:t>&lt;span style="font-size: medium;"&gt;</w:t>
              <w:tab/>
              <w:t>&lt;span style="font-family: &amp;quot;times new </w:t>
            </w:r>
            <w:r>
              <w:rPr>
                <w:spacing w:val="-2"/>
                <w:sz w:val="20"/>
              </w:rPr>
              <w:t>roman&amp;quot;, </w:t>
            </w:r>
            <w:r>
              <w:rPr>
                <w:sz w:val="20"/>
              </w:rPr>
              <w:t>times;"&gt;</w:t>
              <w:tab/>
              <w:t>&lt;br /&gt;</w:t>
              <w:tab/>
              <w:t>&lt;/span&gt;</w:t>
              <w:tab/>
              <w:tab/>
              <w:t>&lt;/span&gt; &lt;/span&gt;&lt;/p&gt;&lt;p style="text-indent: 8%; text- align: center;"&gt;  &lt;span style="font-size: medium;"&gt;</w:t>
              <w:tab/>
              <w:t>&lt;strong style="font-size: small;"&gt;</w:t>
            </w:r>
          </w:p>
          <w:p>
            <w:pPr>
              <w:pStyle w:val="TableParagraph"/>
              <w:tabs>
                <w:tab w:pos="3016" w:val="left" w:leader="none"/>
                <w:tab w:pos="4240" w:val="left" w:leader="none"/>
                <w:tab w:pos="5297" w:val="left" w:leader="none"/>
                <w:tab w:pos="6234" w:val="left" w:leader="none"/>
                <w:tab w:pos="7201" w:val="left" w:leader="none"/>
              </w:tabs>
              <w:spacing w:line="208" w:lineRule="auto" w:before="0"/>
              <w:ind w:right="400"/>
              <w:rPr>
                <w:sz w:val="20"/>
              </w:rPr>
            </w:pPr>
            <w:r>
              <w:rPr>
                <w:sz w:val="20"/>
              </w:rPr>
              <w:t>&lt;span style="font-family: &amp;quot;times new roman&amp;quot;, times;"&gt;</w:t>
              <w:tab/>
              <w:t>&lt;br /&gt;</w:t>
              <w:tab/>
            </w:r>
            <w:r>
              <w:rPr>
                <w:spacing w:val="-4"/>
                <w:sz w:val="20"/>
              </w:rPr>
              <w:t>&lt;span </w:t>
            </w:r>
            <w:r>
              <w:rPr>
                <w:sz w:val="20"/>
              </w:rPr>
              <w:t>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0203843-72.2022.8.06.0293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CAMILLA DO VALE JIMENE - (SP222815-A)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BEZERRA DA SILVA FEITOSA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60"/>
              <w:rPr>
                <w:sz w:val="20"/>
              </w:rPr>
            </w:pPr>
            <w:r>
              <w:rPr>
                <w:sz w:val="20"/>
              </w:rPr>
              <w:t>EDUARDO CAETANO MARQUES - (CE48355-A) IANA CRUZ LUNA NOBREGA - (CE39295-A)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Inventário e 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LUCIA DE FATIMA MAIA SANTOS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LEA MAIA SOUSA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193"/>
              <w:rPr>
                <w:sz w:val="20"/>
              </w:rPr>
            </w:pPr>
            <w:r>
              <w:rPr>
                <w:sz w:val="20"/>
              </w:rPr>
              <w:t>RAFAEL LACERDA FARIAS - (CE37121-A) ALAN DE LIMA TAVARES - (CE46471-A)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&lt;strong&gt;PROCESSO&lt;/strong&gt;:&amp;#160;0230599-53.2024.8.06.0001 -&amp;#160;APELAÇÃO</w:t>
            </w:r>
          </w:p>
          <w:p>
            <w:pPr>
              <w:pStyle w:val="TableParagraph"/>
              <w:tabs>
                <w:tab w:pos="4518" w:val="left" w:leader="none"/>
                <w:tab w:pos="5263" w:val="left" w:leader="none"/>
                <w:tab w:pos="6402" w:val="left" w:leader="none"/>
                <w:tab w:pos="6557" w:val="left" w:leader="none"/>
                <w:tab w:pos="6824" w:val="left" w:leader="none"/>
              </w:tabs>
              <w:spacing w:line="208" w:lineRule="auto" w:before="8"/>
              <w:ind w:right="101"/>
              <w:rPr>
                <w:sz w:val="20"/>
              </w:rPr>
            </w:pPr>
            <w:r>
              <w:rPr>
                <w:sz w:val="20"/>
              </w:rPr>
              <w:t>CÍVEL (198)&lt;/span&gt;  &lt;/span&gt;&lt;/p&gt;&lt;p&gt;  &lt;span style="font-size: small;"&gt;</w:t>
              <w:tab/>
              <w:tab/>
              <w:t>&lt;span style="font-family: &amp;quot;times new roman&amp;quot;, times;"&gt;APELANTE: LUCIA DE </w:t>
            </w:r>
            <w:r>
              <w:rPr>
                <w:spacing w:val="-3"/>
                <w:sz w:val="20"/>
              </w:rPr>
              <w:t>FATIMA </w:t>
            </w:r>
            <w:r>
              <w:rPr>
                <w:sz w:val="20"/>
              </w:rPr>
              <w:t>MAIA SANTOS&lt;/span&gt;  &lt;/span&gt;&lt;/p&gt;&lt;p&gt;  &lt;span style="font-size: small;"&gt;</w:t>
              <w:tab/>
              <w:t>&lt;span style="font-family: &amp;quot;times new roman&amp;quot;, times;"&gt;APELADO: MARIA LEA MAIA SOUSA&lt;/span&gt;  &lt;/span&gt;&lt;/p&gt;&lt;p&gt;  &lt;span style="font-size: medium;"&gt;</w:t>
              <w:tab/>
              <w:t>&lt;span style="font- family: &amp;quot;times new roman&amp;quot;, times;"&gt;</w:t>
              <w:tab/>
              <w:t>&lt;br /&gt;</w:t>
              <w:tab/>
              <w:t>&lt;/span&gt; &lt;/span&gt;&lt;/p&gt;&lt;p</w:t>
            </w:r>
          </w:p>
          <w:p>
            <w:pPr>
              <w:pStyle w:val="TableParagraph"/>
              <w:tabs>
                <w:tab w:pos="4562" w:val="left" w:leader="none"/>
              </w:tabs>
              <w:spacing w:line="208" w:lineRule="auto" w:before="0"/>
              <w:ind w:right="25"/>
              <w:rPr>
                <w:sz w:val="20"/>
              </w:rPr>
            </w:pPr>
            <w:r>
              <w:rPr>
                <w:sz w:val="20"/>
              </w:rPr>
              <w:t>style="line-height:1.38;text-align: justify;margin-top:6pt;margin-bottom:0pt;" dir="ltr"&gt; </w:t>
            </w:r>
            <w:r>
              <w:rPr>
                <w:spacing w:val="-4"/>
                <w:sz w:val="20"/>
              </w:rPr>
              <w:t>&lt;span </w:t>
            </w:r>
            <w:r>
              <w:rPr>
                <w:sz w:val="20"/>
              </w:rPr>
              <w:t>style="font-size: 12pt; font-family: &amp;quot;Times New Roman&amp;quot;, serif; color: #000000; background-color: transparent; font-weight: 700; font-variant: normal; text-decoration: </w:t>
            </w:r>
            <w:r>
              <w:rPr>
                <w:spacing w:val="-3"/>
                <w:sz w:val="20"/>
              </w:rPr>
              <w:t>none; </w:t>
            </w:r>
            <w:r>
              <w:rPr>
                <w:sz w:val="20"/>
              </w:rPr>
              <w:t>vertical-align: baseline; white-space: pre-wrap;"&gt;</w:t>
              <w:tab/>
              <w:t>&lt;em&gt;EMENTA&lt;/em&gt; &lt;/span&gt; &lt;span style="font-size:12pt;font-family:'Times New Roman',serif;color:#000000;background- color:transparent;font-weight:700;font-style:normal;font-variant:normal;text- decoration:none;vertical-align:baseline;white-space:pre;white-space:pre-wrap;"&gt;: DIREITO PROCESSUAL CIVIL. APELAÇÃO CÍVELEM AÇÃO DE ARBITRAMENTO DE ALUGUEL. USO EXCLUSIVO DO IMÓVEL POR HERDEIRA. JULGAMENTO ANTECIPADO DA LIDE. ART. 355 DO CPC. POSSIBILIDADE. FATOS INCONTROVERSOS. AUSÊNCIA DE VIOLAÇÃO AO CONTRADITÓRIO. CONTESTAÇÃO GENÉRICA E AUSÊNCIA DE ARGUMENTOS DA PARTE RÉ.&amp;#160;SENTENÇA MANTIDA.&lt;/span&gt;&lt;/p&gt;&lt;p style="line-</w:t>
            </w:r>
          </w:p>
          <w:p>
            <w:pPr>
              <w:pStyle w:val="TableParagraph"/>
              <w:spacing w:line="208" w:lineRule="auto" w:before="0"/>
              <w:ind w:right="54"/>
              <w:rPr>
                <w:sz w:val="20"/>
              </w:rPr>
            </w:pPr>
            <w:r>
              <w:rPr>
                <w:sz w:val="20"/>
              </w:rPr>
              <w:t>height:1.38;text-align: justify;margin-top:6pt;margin-bottom:0pt;" dir="ltr"&gt; &lt;span style="font-size:12pt;font-family:'Times New Roman',serif;color:#000000;background- color:transparent;font-weight:700;font-style:normal;font-variant:normal;text- decoration:none;vertical-align:baseline;white-space:pre;white-space:pre-wrap;"&gt;I. Caso </w:t>
            </w:r>
            <w:r>
              <w:rPr>
                <w:spacing w:val="-9"/>
                <w:sz w:val="20"/>
              </w:rPr>
              <w:t>em </w:t>
            </w:r>
            <w:r>
              <w:rPr>
                <w:sz w:val="20"/>
              </w:rPr>
              <w:t>exame:&lt;/span&gt;&lt;/p&gt;&lt;p style="line-height:1.38;text-align: justify;margin-top:6pt;margin- bottom:0pt;" dir="ltr"&gt; &lt;span style="font-size:12pt;font-family:'Times New Roman',serif;color:#000000;background-color:transparent;font-weight:400;font- style:normal;font-variant:normal;text-decoration:none;vertical-align:baseline;white- space:pre;white-space:pre-wrap;"&gt;1. Trata-se de Apelação interposta por Lúcia de Fátima Maia Sousa, visando a reforma da sentença proferida pelo Juízo da 5ª Vara de Sucessões da Comarca de Fortaleza/CE que, em Ação de Arbitramento de Aluguéis, ajuizada por Maria Lea Maia Sousa, julgou procedente o pedido formulado na peça vestibular.&lt;/span&gt;&lt;/p&gt;&lt;p style="line-height:1.38;text-align: justify;margin-top:6pt;margin- bottom:0pt;" dir="ltr"&gt; &lt;span style="font-size:12pt;font-family:'Times New Roman',serif;color:#000000;background-color:transparent;font-weight:700;font- style:normal;font-variant:normal;text-decoration:none;vertical-align:baseline;white- space:pre;white-space:pre-wrap;"&gt;II. Questão em discussão:&lt;/span&gt;&lt;/p&gt;&lt;p style="line- height:1.38;text-align: justify;margin-top:6pt;margin-bottom:0pt;" dir="ltr"&gt;&lt;span </w:t>
            </w:r>
            <w:r>
              <w:rPr>
                <w:spacing w:val="-2"/>
                <w:sz w:val="20"/>
              </w:rPr>
              <w:t>style="font- </w:t>
            </w:r>
            <w:r>
              <w:rPr>
                <w:sz w:val="20"/>
              </w:rPr>
              <w:t>size:12pt;font-family:'Times New Roman',serif;color:#000000;background- color:transparent;font-weight:400;font-style:normal;font-variant:normal;text- decoration:none;vertical-align:baseline;white-space:pre;white-space:pre-wrap;"&gt;2. Cinge- se a controvérsia recursal em avaliar se decidiu corretamente o magistrado&lt;/span&gt;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5"/>
              <w:rPr>
                <w:sz w:val="20"/>
              </w:rPr>
            </w:pPr>
            <w:r>
              <w:rPr>
                <w:sz w:val="20"/>
              </w:rPr>
              <w:t>style="font-size:12pt;font-family:'Times New Roman',serif;color:#000000;background- color:transparent;font-weight:400;font-style:italic;font-variant:normal;text- decoration:none;vertical-align:baseline;white-space:pre;white-space:pre-wrap;"&gt;a quo&lt;/span&gt; &lt;span style="font-size:12pt;font-family:'Times New Roman',serif;color:#000000;background-color:transparent;font-weight:400;font- style:normal;font-variant:normal;text-decoration:none;vertical-align:baseline;white- space:pre;white-space:pre-wrap;"&gt;ao julgar antecipadamente a lide no sentido de conceder o arbitramento de aluguel em desfavor da apelante.&lt;/span&gt;&lt;/p&gt;&lt;p style="line- height:1.38;text-align: justify;margin-top:6pt;margin-bottom:0pt;" dir="ltr"&gt; &lt;span style="font-size:12pt;font-family:'Times New Roman',serif;color:#000000;background- color:transparent;font-weight:700;font-style:normal;font-variant:normal;text- decoration:none;vertical-align:baseline;white-space:pre;white-space:pre-wrap;"&gt;III. Razões de decidir:&lt;/span&gt;&lt;/p&gt;&lt;p style="line-height:1.38;text-align: justify;margin-top:6pt;margin- bottom:0pt;" dir="ltr"&gt;&lt;span style="font-size:12pt;font-family:'Times New Roman',serif;color:#000000;background-color:transparent;font-weight:400;font- style:normal;font-variant:normal;text-decoration:none;vertical-align:baseline;white- space:pre;white-space:pre-wrap;"&gt;3. Não subsiste cerceamento de defesa no julgamento antecipado da lide ao caso em tela. O julgamento antecipado da lide constitui instrumento de celeridade e efetividade processual, permitindo ao magistrado proferir sentença sem a necessidade de dilação probatória, quando a controvérsia versar unicamente sobre questão de direito ou, ainda, quando os fatos relevantes estiverem devidamente comprovados por prova documental suficiente. Apelante que teve oportunidade de manifestar-se em momento anterior e quedou-se inerte.&lt;/span&gt; &lt;span style="font- size:12pt;font-family:'Times New Roman',serif;color:#000000;background- color:transparent;font-weight:400;font-style:italic;font-variant:normal;text- decoration:none;vertical-align:baseline;white-space:pre;white-space:pre-wrap;"&gt;Venire contra factum proprium&lt;/span&gt;&lt;span style="font-size:12pt;font-family:'Times New Roman',serif;color:#000000;background-color:transparent;font-weight:400;font- style:normal;font-variant:normal;text-decoration:none;vertical-align:baseline;white- space:pre;white-space:pre-wrap;"&gt;.&lt;/span&gt;&lt;/p&gt;&lt;p style="line-height:1.38;text-align: justify;margin-top:6pt;margin-bottom:0pt;" dir="ltr"&gt;&lt;span style="font-size:12pt;font- family:'Times New Roman',serif;color:#000000;background-color:transparent;font- weight:400;font-style:normal;font-variant:normal;text-decoration:none;vertical- align:baseline;white-space:pre;white-space:pre-wrap;"&gt;4. Ainda que esteja em trâmite processo de inventário e de usucapião extraordinária, é fato incontroverso que tanto a autora quanto a ré integram, de forma exclusiva, o espólio dos&lt;/span&gt; &lt;span style="font- size:12pt;font-family:'Times New Roman',serif;color:#000000;background- color:transparent;font-weight:400;font-style:italic;font-variant:normal;text- decoration:none;vertical-align:baseline;white-space:pre;white-space:pre-wrap;"&gt;de cujus&lt;/span&gt;&lt;span style="font-size:12pt;font-family:'Times New Roman',serif;color:#000000;background-color:transparent;font-weight:400;font- style:normal;font-variant:normal;text-decoration:none;vertical-align:baseline;white- space:pre;white-space:pre-wrap;"&gt;, circunstância que enseja a prestação de aluguel proporcional ao espólio, nos termos do art. 1.319 do Código Civil.</w:t>
            </w:r>
          </w:p>
          <w:p>
            <w:pPr>
              <w:pStyle w:val="TableParagraph"/>
              <w:spacing w:line="208" w:lineRule="auto" w:before="0"/>
              <w:ind w:right="87"/>
              <w:rPr>
                <w:sz w:val="20"/>
              </w:rPr>
            </w:pPr>
            <w:r>
              <w:rPr>
                <w:sz w:val="20"/>
              </w:rPr>
              <w:t>Precedentes.&lt;/span&gt;&lt;/p&gt;&lt;p style="line-height:1.38;text-align: justify;margin- top:6pt;margin-bottom:0pt;" dir="ltr"&gt; &lt;span style="font-size:12pt;font-family:'Times New Roman',serif;color:#000000;background-color:transparent;font-weight:700;font- style:normal;font-variant:normal;text-decoration:none;vertical-align:baseline;white- space:pre;white-space:pre-wrap;"&gt;IV. Dispositivo e tese:&lt;/span&gt;&lt;/p&gt;&lt;p style="line- height:1.38;text-align: justify;margin-top:6pt;margin-bottom:0pt;" dir="ltr"&gt; &lt;span style="font-size:12pt;font-family:'Times New Roman',serif;color:#000000;background- color:transparent;font-weight:400;font-style:normal;font-variant:normal;text- decoration:none;vertical-align:baseline;white-space:pre;white-space:pre-wrap;"&gt;Recurso conhecido e desprovido.&lt;/span&gt;&lt;/p&gt;&lt;p style="line-height:1.38;text-align: justify;margin- top:6pt;margin-bottom:0pt;" dir="ltr"&gt;&lt;span style="font-size:12pt;font-family:'Times New Roman',serif;color:#000000;background-color:transparent;font-weight:700;font- style:normal;font-variant:normal;text-decoration:none;vertical-align:baseline;white- space:pre;white-space:pre-wrap;"&gt;Dispositivos relevantes citados:&lt;/span&gt; &lt;span style="font-size:12pt;font-family:'Times New Roman',serif;color:#000000;background- color:transparent;font-weight:400;font-style:normal;font-variant:normal;text- decoration:none;vertical-align:baseline;white-space:pre;white-space:pre-wrap;"&gt;STJ, AgInt nos EDcl no AREsp n. 2.674.653/SP; TJCE AgIn 06314988620248060000; e TJDFT,</w:t>
            </w:r>
          </w:p>
          <w:p>
            <w:pPr>
              <w:pStyle w:val="TableParagraph"/>
              <w:spacing w:line="208" w:lineRule="auto" w:before="0"/>
              <w:ind w:right="380"/>
              <w:rPr>
                <w:sz w:val="20"/>
              </w:rPr>
            </w:pPr>
            <w:r>
              <w:rPr>
                <w:sz w:val="20"/>
              </w:rPr>
              <w:t>Acórdão 1600576, 07319447220218070001.&lt;/span&gt;&lt;/p&gt;&lt;p style="line-height:1.2;text- align: justify;margin-top:2pt;margin-bottom:3pt;" dir="ltr"&gt; &lt;span id="docs-internal-guid- 25b2bf3f-7fff-0be2-1d39-95fdb18175ce"&gt;&amp;#160;&lt;/span&gt;&lt;/p&gt;&lt;p style="line- height:1.38;text-align: justify;margin-top:6pt;margin-bottom:0pt;" dir="ltr"&gt; &lt;span style="font-size:12pt;font-family:'Times New Roman',serif;color:#000000;background- color:transparent;font-weight:400;font-style:normal;font-variant:normal;text- decoration:none;vertical-align:baseline;white-space:pre;white-space:pre- wrap;"&gt;ACÓRDÃO: Vistos, relatados e discutidos estes autos, acorda a do Tribunal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3351" w:val="left" w:leader="none"/>
              </w:tabs>
              <w:spacing w:line="208" w:lineRule="auto" w:before="26"/>
              <w:ind w:right="176"/>
              <w:rPr>
                <w:sz w:val="20"/>
              </w:rPr>
            </w:pPr>
            <w:r>
              <w:rPr>
                <w:sz w:val="20"/>
              </w:rPr>
              <w:t>Justiça do Estado do Ceará, por unanimidade, em CONHECER do recurso para </w:t>
            </w:r>
            <w:r>
              <w:rPr>
                <w:spacing w:val="-3"/>
                <w:sz w:val="20"/>
              </w:rPr>
              <w:t>NEGAR- </w:t>
            </w:r>
            <w:r>
              <w:rPr>
                <w:sz w:val="20"/>
              </w:rPr>
              <w:t>LHE provimento, nos termos do voto proferido pelo Desembargador Relator.&lt;/span&gt;&lt;/p&gt;&lt;p style="line-height:1.38;text-align: justify;margin-top:6pt;margin- bottom:0pt;" dir="ltr"&gt; &lt;span style="font-size:12pt;font-family:'Times New Roman',serif;color:#000000;background-color:transparent;font-weight:400;font- style:normal;font-variant:normal;text-decoration:none;vertical-align:baseline;white- space:pre;white-space:pre-wrap;"&gt;</w:t>
              <w:tab/>
              <w:t>&lt;br /&gt; &lt;/span&gt;&lt;/p&gt;&lt;p style="line-height: 115%; orphans: 0; widows: 0; margin-bottom: 0.21cm;" align="justify"&gt; &lt;span style="font-size: medium;"&gt;</w:t>
              <w:tab/>
              <w:t>&lt;span style="font-family: &amp;quot;times new roman&amp;quot;, times;"&gt;F&lt;/span&gt;</w:t>
            </w:r>
          </w:p>
          <w:p>
            <w:pPr>
              <w:pStyle w:val="TableParagraph"/>
              <w:spacing w:line="208" w:lineRule="auto" w:before="0"/>
              <w:ind w:right="205"/>
              <w:rPr>
                <w:sz w:val="20"/>
              </w:rPr>
            </w:pPr>
            <w:r>
              <w:rPr>
                <w:sz w:val="20"/>
              </w:rPr>
              <w:t>&lt;span style="font-family: &amp;quot;times new roman&amp;quot;, times;"&gt;ortaleza, data registrada no sistema.&lt;/span&gt; &lt;/span&gt; &lt;span style="font-family: &amp;quot;times new roman&amp;quot;, times; font-size: medium; text-align: start;"&gt;&amp;#160;&lt;/span&gt;&lt;/p&gt;&lt;p&gt;&amp;#160;&lt;/p&gt;&lt;p style="line-height: 100%; orphans: 0; widows: 0; margin-bottom: 0.21cm;" align="center"&gt;</w:t>
            </w:r>
          </w:p>
          <w:p>
            <w:pPr>
              <w:pStyle w:val="TableParagraph"/>
              <w:tabs>
                <w:tab w:pos="3288" w:val="left" w:leader="none"/>
                <w:tab w:pos="4411" w:val="left" w:leader="none"/>
                <w:tab w:pos="6307" w:val="left" w:leader="none"/>
              </w:tabs>
              <w:spacing w:line="208" w:lineRule="auto" w:before="0"/>
              <w:ind w:right="23"/>
              <w:rPr>
                <w:sz w:val="20"/>
              </w:rPr>
            </w:pPr>
            <w:r>
              <w:rPr>
                <w:sz w:val="20"/>
              </w:rPr>
              <w:t>&lt;span style="font-size: medium;"&gt;</w:t>
              <w:tab/>
              <w:t>&lt;strong&gt;</w:t>
              <w:tab/>
              <w:t>&lt;span style="font-family: &amp;quot;times </w:t>
            </w:r>
            <w:r>
              <w:rPr>
                <w:spacing w:val="-6"/>
                <w:sz w:val="20"/>
              </w:rPr>
              <w:t>new </w:t>
            </w:r>
            <w:r>
              <w:rPr>
                <w:sz w:val="20"/>
              </w:rPr>
              <w:t>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times;"&gt;Presidente do Órgão Julgador&lt;/span&gt; &lt;/span&gt;&lt;/p&gt;&lt;p style="line-height: 100%; orphans: 0; widows: 0; margin-bottom: 0.21cm;" align="center"&gt;</w:t>
            </w:r>
          </w:p>
          <w:p>
            <w:pPr>
              <w:pStyle w:val="TableParagraph"/>
              <w:tabs>
                <w:tab w:pos="1683" w:val="left" w:leader="none"/>
                <w:tab w:pos="2350" w:val="left" w:leader="none"/>
                <w:tab w:pos="3206" w:val="left" w:leader="none"/>
                <w:tab w:pos="3288" w:val="left" w:leader="none"/>
                <w:tab w:pos="3951" w:val="left" w:leader="none"/>
                <w:tab w:pos="7767" w:val="left" w:leader="none"/>
              </w:tabs>
              <w:spacing w:line="208" w:lineRule="auto" w:before="0"/>
              <w:ind w:right="91"/>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style="font- size: medium;"&gt;</w:t>
              <w:tab/>
              <w:t>&lt;span style="font-family: &amp;quot;times new roman&amp;quot;, times;"&gt;</w:t>
              <w:tab/>
            </w:r>
            <w:r>
              <w:rPr>
                <w:spacing w:val="-6"/>
                <w:sz w:val="20"/>
              </w:rPr>
              <w:t>&lt;br</w:t>
            </w:r>
          </w:p>
          <w:p>
            <w:pPr>
              <w:pStyle w:val="TableParagraph"/>
              <w:tabs>
                <w:tab w:pos="434" w:val="left" w:leader="none"/>
                <w:tab w:pos="2696" w:val="left" w:leader="none"/>
                <w:tab w:pos="6314" w:val="left" w:leader="none"/>
                <w:tab w:pos="7437" w:val="left" w:leader="none"/>
              </w:tabs>
              <w:spacing w:line="208" w:lineRule="auto" w:before="0"/>
              <w:ind w:right="59"/>
              <w:rPr>
                <w:sz w:val="20"/>
              </w:rPr>
            </w:pPr>
            <w:r>
              <w:rPr>
                <w:sz w:val="20"/>
              </w:rPr>
              <w:t>/&gt;</w:t>
              <w:tab/>
              <w:t>&lt;/span&gt; &lt;/span&gt;&lt;/p&gt;&lt;p style="line-height: 100%; orphans: 0; widows: 0; margin- bottom: 0.21cm;" align="center"&gt;  &lt;span style="font-size: medium;"&gt;</w:t>
              <w:tab/>
              <w:t>&lt;strong&gt;</w:t>
              <w:tab/>
              <w:t>&lt;span style="font-family: &amp;quot;times new roman&amp;quot;, times;"&gt;FRANCISCO LUCÍDIO DE QUEIROZ JUNIOR&lt;/span&gt;</w:t>
              <w:tab/>
              <w:t>&lt;/strong&gt; &lt;/span&gt;&lt;/p&gt;&lt;p style="line-height: 100%; </w:t>
            </w:r>
            <w:r>
              <w:rPr>
                <w:spacing w:val="-3"/>
                <w:sz w:val="20"/>
              </w:rPr>
              <w:t>orphans: </w:t>
            </w:r>
            <w:r>
              <w:rPr>
                <w:sz w:val="20"/>
              </w:rPr>
              <w:t>0; widows: 0; margin-bottom: 0.21cm;" align="center"&gt; &lt;span style="font-size: medium;"&gt;</w:t>
            </w:r>
          </w:p>
          <w:p>
            <w:pPr>
              <w:pStyle w:val="TableParagraph"/>
              <w:spacing w:line="208" w:lineRule="auto" w:before="0"/>
              <w:rPr>
                <w:sz w:val="20"/>
              </w:rPr>
            </w:pPr>
            <w:r>
              <w:rPr>
                <w:sz w:val="20"/>
              </w:rPr>
              <w:t>&lt;span style="font-family: &amp;quot;times new roman&amp;quot;, times;"&gt;Desembargador Relator&lt;/span&gt; &lt;/span&gt;&lt;/p&gt;&lt;p align="center"&gt;&amp;#160;&lt;/p&gt;&lt;p style="text-align: center;"&gt;&amp;#160;&lt;/p&gt;&lt;p style="text-align: center;"&gt; &lt;span style="font-size: small;"&gt;</w:t>
            </w:r>
          </w:p>
          <w:p>
            <w:pPr>
              <w:pStyle w:val="TableParagraph"/>
              <w:tabs>
                <w:tab w:pos="1162" w:val="left" w:leader="none"/>
                <w:tab w:pos="4634" w:val="left" w:leader="none"/>
                <w:tab w:pos="5596" w:val="left" w:leader="none"/>
              </w:tabs>
              <w:spacing w:line="208" w:lineRule="auto" w:before="0"/>
              <w:ind w:right="224"/>
              <w:rPr>
                <w:sz w:val="20"/>
              </w:rPr>
            </w:pPr>
            <w:r>
              <w:rPr>
                <w:sz w:val="20"/>
              </w:rPr>
              <w:t>&lt;strong&gt;</w:t>
              <w:tab/>
              <w:t>&lt;span style="font-size: medium;"&gt;</w:t>
              <w:tab/>
              <w:t>&lt;span style="font-family: &amp;quot;times new roman&amp;quot;, times;"&gt;RELATÓRIO&lt;/span&gt;</w:t>
              <w:tab/>
              <w:t>&lt;/span&gt;</w:t>
              <w:tab/>
              <w:t>&lt;/strong&gt; &lt;/span&gt;&lt;/p&gt;&lt;p style="text-align: center;"&gt;&amp;#160;&lt;/p&gt;&lt;p style="line-height:1.7999999999999998;text- indent: 56.692913385826756pt;text-align: justify;margin-top:6pt;margin-bottom:0pt;" dir="ltr"&gt;&lt;span style="font-size:12pt;font-family:'Times New Roman',serif;color:#000000;background-color:transparent;font-weight:400;font- style:normal;font-variant:normal;text-decoration:none;vertical-align:baseline;white- space:pre;white-space:pre-wrap;"&gt;Trata-se de&lt;/span&gt; &lt;span style="font-size:12pt;font- family:'Times New Roman',serif;color:#000000;background-color:transparent;font- weight:700;font-style:normal;font-variant:normal;text-decoration:none;vertical- align:baseline;white-space:pre;white-space:pre-wrap;"&gt;Recurso de Apelação&lt;/span&gt;</w:t>
            </w:r>
          </w:p>
          <w:p>
            <w:pPr>
              <w:pStyle w:val="TableParagraph"/>
              <w:spacing w:line="208" w:lineRule="auto" w:before="0"/>
              <w:ind w:right="89"/>
              <w:rPr>
                <w:sz w:val="20"/>
              </w:rPr>
            </w:pPr>
            <w:r>
              <w:rPr>
                <w:sz w:val="20"/>
              </w:rPr>
              <w:t>&lt;span style="font-size:12pt;font-family:'Times New Roman',serif;color:#000000;background-color:transparent;font-weight:400;font- style:normal;font-variant:normal;text-decoration:none;vertical-align:baseline;white- space:pre;white-space:pre-wrap;"&gt;interposto por&lt;/span&gt; &lt;span style="font-size:12pt;font- family:'Times New Roman',serif;color:#000000;background-color:transparent;font- weight:700;font-style:normal;font-variant:normal;text-decoration:none;vertical- align:baseline;white-space:pre;white-space:pre-wrap;"&gt;Lúcia de Fátima Maia Sousa&lt;/span&gt;&lt;span style="font-size:12pt;font-family:'Times New Roman',serif;color:#000000;background-color:transparent;font-weight:400;font- style:normal;font-variant:normal;text-decoration:none;vertical-align:baseline;white- space:pre;white-space:pre-wrap;"&gt;, devidamente qualificada, visando a reforma da sentença proferida pelo Juízo da 5ª Vara de Sucessões da Comarca de Fortaleza/CE que, em&lt;/span&gt; &lt;span style="font-size:12pt;font-family:'Times New Roman',serif;color:#000000;background-color:transparent;font-weight:700;font- style:normal;font-variant:normal;text-decoration:none;vertical-align:baseline;white- space:pre;white-space:pre-wrap;"&gt;Ação de Arbitramento de Aluguéis&lt;/span&gt;&lt;span style="font-size:12pt;font-family:'Times New Roman',serif;color:#000000;background- color:transparent;font-weight:400;font-style:normal;font-variant:normal;text- decoration:none;vertical-align:baseline;white-space:pre;white-space:pre-wrap;"&gt;, ajuizada por&lt;/span&gt; &lt;span style="font-size:12pt;font-family:'Times New Roman',serif;color:#000000;background-color:transparent;font-weight:700;font- style:normal;font-variant:normal;text-decoration:none;vertical-align:baseline;white- space:pre;white-space:pre-wrap;"&gt;Maria Lea Maia Sousa,&lt;/span&gt; &lt;span style="font- size:12pt;font-family:'Times New Roman',serif;color:#000000;background- color:transparent;font-weight:400;font-style:normal;font-variant:normal;text- decoration:none;vertical-align:baseline;white-space:pre;white-space:pre-wrap;"&gt;julgou procedente o pedido formulado na peça vestibular, nos seguintes termos:&lt;/span&gt;&lt;/p&gt;&lt;p style="line-height:1.38;margin-left: 113.38582677165351pt;text-indent: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2.842170943040401e-14pt;text-align: justify;margin-top:6pt;margin-bottom:0pt;" dir="ltr"&gt;</w:t>
            </w:r>
          </w:p>
          <w:p>
            <w:pPr>
              <w:pStyle w:val="TableParagraph"/>
              <w:tabs>
                <w:tab w:pos="3351" w:val="left" w:leader="none"/>
              </w:tabs>
              <w:spacing w:line="208" w:lineRule="auto" w:before="9"/>
              <w:ind w:right="52"/>
              <w:rPr>
                <w:sz w:val="20"/>
              </w:rPr>
            </w:pPr>
            <w:r>
              <w:rPr>
                <w:sz w:val="20"/>
              </w:rPr>
              <w:t>&lt;span style="font-size:11pt;font-family:'Times New Roman',serif;color:#000000;background-color:transparent;font-weight:400;font- style:normal;font-variant:normal;text-decoration:none;vertical-align:baseline;white- space:pre;white-space:pre-wrap;"&gt;</w:t>
              <w:tab/>
              <w:t>&lt;em&gt;DIANTE DO EXPOSTO, com fundamento no artigo 487, inciso I, do CPC, julgo PROCEDENTE o pedido formulado pela parte autora para: a) condenar a demandada ao pagamento dos aluguéis vencidos por ter usufruído o imóvel sem reembolsar a autora desde a data do vencimento da notificação extrajudicial, (05/04/2024), no valor de R$ 5.400,00 (cinco mil e quatrocentos reais), que correspondem a 6 (seis) aluguéis mensais (de 05/04/2024 a 05/10/2024), atualizados e corrigidos monetariamente pelo INPC, até a data da presente decisão, devendo ocorrer o pagamento no prazo de 10 (dez) dias da ciência deste decisum, sob pena do manifesto descumprimento ensejar multa diária no valor de 100,00 (cem reais) limitado ao quantum de R$ 2.500,00 (dois mil e quinhentos reais); b) condenar a requerida a pagar a quantia </w:t>
            </w:r>
            <w:r>
              <w:rPr>
                <w:spacing w:val="-9"/>
                <w:sz w:val="20"/>
              </w:rPr>
              <w:t>de </w:t>
            </w:r>
            <w:r>
              <w:rPr>
                <w:sz w:val="20"/>
              </w:rPr>
              <w:t>R$ 900,00 (novecentos reais) mensais à requerente, a título de 50% (cinquenta por cento) de aluguel relativo ao bem imóvel objeto do pedido, todo dia 05 (cinco) do mês, mediante depósito na conta da requerente informado na notificação extrajudicial de fl. 13/14, cujo valor será corrigido anualmente pelo índice de mercado imobiliário, até enquanto permanecer a ocupação exclusiva do imóvel.&amp;#160;&lt;/em&gt; &lt;/span&gt;&lt;/p&gt;&lt;p style="line- height:1.38;margin-left: 113.38582677165351pt;text-indent: 2.842170943040401e- 14pt;text-align: justify;margin-top:6pt;margin-bottom:0pt;" dir="ltr"&gt; &lt;span style="font- size:11pt;font-family:'Times New Roman',serif;color:#000000;background- color:transparent;font-weight:400;font-style:normal;font-variant:normal;text- decoration:none;vertical-align:baseline;white-space:pre;white-space:pre-wrap;"&gt;</w:t>
            </w:r>
          </w:p>
          <w:p>
            <w:pPr>
              <w:pStyle w:val="TableParagraph"/>
              <w:tabs>
                <w:tab w:pos="3351" w:val="left" w:leader="none"/>
              </w:tabs>
              <w:spacing w:line="208" w:lineRule="auto" w:before="0"/>
              <w:ind w:right="192"/>
              <w:rPr>
                <w:sz w:val="20"/>
              </w:rPr>
            </w:pPr>
            <w:r>
              <w:rPr>
                <w:sz w:val="20"/>
              </w:rPr>
              <w:t>&lt;em&gt;CONDENO a parte requerida ao pagamento das custas e honorários advocatícios, que fixo por equidade no valor de 1.500,00 (um mil e quinhentos reais), cuja exigibilidade fica condicionada à mudança de sua situação financeira, a quem CONCEDO o benefício da gratuidade da justiça.&amp;#160;&lt;/em&gt; &lt;/span&gt;&lt;/p&gt;&lt;p style="line-height:1.38;margin-left: 113.38582677165351pt;text-indent: 2.842170943040401e-14pt;text-align: justify;margin- top:6pt;margin-bottom:0pt;" dir="ltr"&gt; &lt;span style="font-size:11pt;font-family:'Times New Roman',serif;color:#000000;background-color:transparent;font-weight:400;font- style:normal;font-variant:normal;text-decoration:none;vertical-align:baseline;white- space:pre;white-space:pre-wrap;"&gt;</w:t>
              <w:tab/>
              <w:t>&lt;em&gt;Publique-se. Registre-se. Intimem-se.&lt;/em&gt;</w:t>
            </w:r>
          </w:p>
          <w:p>
            <w:pPr>
              <w:pStyle w:val="TableParagraph"/>
              <w:spacing w:line="208" w:lineRule="auto" w:before="0"/>
              <w:ind w:right="250"/>
              <w:rPr>
                <w:sz w:val="20"/>
              </w:rPr>
            </w:pPr>
            <w:r>
              <w:rPr>
                <w:sz w:val="20"/>
              </w:rPr>
              <w:t>&lt;/span&gt;&lt;/p&gt;&lt;p style="line-height:1.38;margin-left: 113.38582677165351pt;text-indent: 2.842170943040401e-14pt;text-align: justify;margin-top:6pt;margin-bottom:0pt;" dir="ltr"&gt;</w:t>
            </w:r>
          </w:p>
          <w:p>
            <w:pPr>
              <w:pStyle w:val="TableParagraph"/>
              <w:tabs>
                <w:tab w:pos="3351" w:val="left" w:leader="none"/>
              </w:tabs>
              <w:spacing w:line="208" w:lineRule="auto" w:before="0"/>
              <w:ind w:right="129"/>
              <w:rPr>
                <w:sz w:val="20"/>
              </w:rPr>
            </w:pPr>
            <w:r>
              <w:rPr>
                <w:sz w:val="20"/>
              </w:rPr>
              <w:t>&lt;span style="font-size:11pt;font-family:'Times New Roman',serif;color:#000000;background-color:transparent;font-weight:400;font- style:normal;font-variant:normal;text-decoration:none;vertical-align:baseline;white- space:pre;white-space:pre-wrap;"&gt;</w:t>
              <w:tab/>
              <w:t>&lt;em&gt;Transitada em julgado, nada sendo requerido no prazo para recurso, ARQUIVEM-SE com baixa na distribuição.&lt;/em&gt; &lt;/span&gt;&lt;/p&gt;&lt;p style="line-height:1.7999999999999998;text-indent: 56.692913385826756pt;text-align: justify;margin-top:6pt;margin-bottom:0pt;" dir="ltr"&gt;&amp;#160;&lt;/p&gt;&lt;p style="line- height:1.7999999999999998;text-indent: 56.692913385826756pt;text-align: </w:t>
            </w:r>
            <w:r>
              <w:rPr>
                <w:spacing w:val="-2"/>
                <w:sz w:val="20"/>
              </w:rPr>
              <w:t>justify;margin- </w:t>
            </w:r>
            <w:r>
              <w:rPr>
                <w:sz w:val="20"/>
              </w:rPr>
              <w:t>top:6pt;margin-bottom:0pt;" dir="ltr"&gt;&lt;span style="font-size:12pt;font-family:'Times New Roman',serif;color:#000000;background-color:transparent;font-weight:400;font- style:normal;font-variant:normal;text-decoration:none;vertical-align:baseline;white- space:pre;white-space:pre-wrap;"&gt;Na apelação protocolada sob o ID. 22536680, a demandada sustenta: a) a tempestividade do recurso, tendo em vista despacho proferido pelo magistrado&lt;/span&gt; &lt;span style="font-size:12pt;font-family:'Times New Roman',serif;color:#000000;background-color:transparent;font-weight:400;font- style:italic;font-variant:normal;text-decoration:none;vertical-align:baseline;white- space:pre;white-space:pre-wrap;"&gt;a quo&lt;/span&gt; &lt;span style="font-size:12pt;font- family:'Times New Roman',serif;color:#000000;background-color:transparent;font- weight:400;font-style:normal;font-variant:normal;text-decoration:none;vertical- align:baseline;white-space:pre;white-space:pre-wrap;"&gt;p no sentido de reconhecer a</w:t>
            </w:r>
          </w:p>
          <w:p>
            <w:pPr>
              <w:pStyle w:val="TableParagraph"/>
              <w:spacing w:line="208" w:lineRule="auto" w:before="0"/>
              <w:ind w:right="18"/>
              <w:rPr>
                <w:sz w:val="20"/>
              </w:rPr>
            </w:pPr>
            <w:r>
              <w:rPr>
                <w:sz w:val="20"/>
              </w:rPr>
              <w:t>ausência de intimação da requerida acerca da sentença, com a consequente </w:t>
            </w:r>
            <w:r>
              <w:rPr>
                <w:spacing w:val="-2"/>
                <w:sz w:val="20"/>
              </w:rPr>
              <w:t>determinação </w:t>
            </w:r>
            <w:r>
              <w:rPr>
                <w:sz w:val="20"/>
              </w:rPr>
              <w:t>&amp;#160; de intimação pessoal da ora apelante; b) a não configuração da revelia e consequente anulação da sentença, em&amp;#160; razão de cerceamento de defesa e violação ao princípio do contraditório; e c) a reforma do&lt;/span&gt; &lt;span style="font- size:12pt;font-family:'Times New Roman',serif;color:#000000;background- color:transparent;font-weight:400;font-style:italic;font-variant:normal;text- decoration:none;vertical-align:baseline;white-space:pre;white-space:pre- wrap;"&gt;decisum&lt;/span&gt;&lt;span style="font-size:12pt;font-family:'Times New Roman',serif;color:#000000;background-color:transparent;font-weight:400;font- style:normal;font-variant:normal;text-decoration:none;vertical-align:baseline;white- space:pre;white-space:pre-wrap;"&gt;, por ter o magistrado se baseado unicamente com </w:t>
            </w:r>
            <w:r>
              <w:rPr>
                <w:spacing w:val="-4"/>
                <w:sz w:val="20"/>
              </w:rPr>
              <w:t>base </w:t>
            </w:r>
            <w:r>
              <w:rPr>
                <w:sz w:val="20"/>
              </w:rPr>
              <w:t>na presunção de veracidade dos fatos trazidos pela autora da ação.&lt;/span&gt;&lt;/p&gt;&lt;p style="line-height:1.7999999999999998;text-indent: 56.692913385826756pt;text-align: justify;margin-top:6pt;margin-bottom:0pt;" dir="ltr"&gt; &lt;span style="font-size:12pt;font- family:'Times New Roman',serif;color:#000000;background-color:transparent;font-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weight:400;font-style:normal;font-variant:normal;text-decoration:none;vertical- align:baseline;white-space:pre;white-space:pre-wrap;"&gt;Em contrarrazões apresentadas sob o ID 22536665, a senhora Maria Lea Maia Sousa aduz que: a) o mero inconformismo da apelante não é suficiente para reformar ou anular decisão de mérito em conformidade com a legislação; b) a apelação não deve ser conhecida, haja vista ter sido prolatada após o trânsito em julgado da sentença, que ocorreu em 22 de novembro de 2024, vide certidão de ID 22536667; e c) não há correlação entre os arbitramentos de aluguéis e a ação de usucapião extraordinária em curso.&amp;#160; Ao final, pugna pelo não conhecimento do recurso, por ausência de fundamentos jurídicos idôneos a infirmar a bem lançada </w:t>
            </w:r>
            <w:r>
              <w:rPr>
                <w:spacing w:val="-3"/>
                <w:sz w:val="20"/>
              </w:rPr>
              <w:t>sentença </w:t>
            </w:r>
            <w:r>
              <w:rPr>
                <w:sz w:val="20"/>
              </w:rPr>
              <w:t>de primeiro grau.&lt;/span&gt;&lt;/p&gt;&lt;p style="line-height:1.7999999999999998;text-indent: 56.692913385826756pt;text-align: justify;margin-top:6pt;margin-bottom:0pt;" dir="ltr"&gt;</w:t>
            </w:r>
          </w:p>
          <w:p>
            <w:pPr>
              <w:pStyle w:val="TableParagraph"/>
              <w:spacing w:line="208" w:lineRule="auto" w:before="0"/>
              <w:ind w:right="452"/>
              <w:rPr>
                <w:sz w:val="20"/>
              </w:rPr>
            </w:pPr>
            <w:r>
              <w:rPr>
                <w:sz w:val="20"/>
              </w:rPr>
              <w:t>&lt;span style="font-size:12pt;font-family:'Times New Roman',serif;color:#000000;background-color:transparent;font-weight:400;font- style:normal;font-variant:normal;text-decoration:none;vertical-align:baseline;white- space:pre;white-space:pre-wrap;"&gt;Parecer do Ministério Público em ID. 22535570, manifestando-se pelo desinteresse público na presente demanda.&lt;/span&gt;&lt;/p&gt;&lt;p style="line-height:1.7999999999999998;text-indent: 56.692913385826756pt;text-align: justify;margin-top:6pt;margin-bottom:0pt;" dir="ltr"&gt; &lt;span style="font-size:12pt;font- family:'Times New Roman',serif;color:#000000;background-color:transparent;font- weight:400;font-style:normal;font-variant:normal;text-decoration:none;vertical- align:baseline;white-space:pre;white-space:pre-wrap;"&gt;É o relatório.&lt;/span&gt;&lt;/p&gt;&lt;p</w:t>
            </w:r>
          </w:p>
          <w:p>
            <w:pPr>
              <w:pStyle w:val="TableParagraph"/>
              <w:tabs>
                <w:tab w:pos="972" w:val="left" w:leader="none"/>
                <w:tab w:pos="2095" w:val="left" w:leader="none"/>
                <w:tab w:pos="5174" w:val="left" w:leader="none"/>
                <w:tab w:pos="5566" w:val="left" w:leader="none"/>
                <w:tab w:pos="6119" w:val="left" w:leader="none"/>
              </w:tabs>
              <w:spacing w:line="208" w:lineRule="auto" w:before="0"/>
              <w:ind w:right="35"/>
              <w:rPr>
                <w:sz w:val="20"/>
              </w:rPr>
            </w:pPr>
            <w:r>
              <w:rPr>
                <w:sz w:val="20"/>
              </w:rPr>
              <w:t>style="text-align: center;"&gt;&amp;#160;&lt;/p&gt;&lt;p style="text-align: center;"&gt; &lt;span style="font-size: small;"&gt;</w:t>
              <w:tab/>
              <w:t>&lt;strong&gt;</w:t>
              <w:tab/>
              <w:t>&lt;span style="font-size: medium;"&gt;</w:t>
              <w:tab/>
              <w:tab/>
              <w:t>&lt;span style="font-family: &amp;quot;times new roman&amp;quot;, times;"&gt;VOTO&lt;/span&gt;</w:t>
              <w:tab/>
              <w:t>&lt;/span&gt;</w:t>
              <w:tab/>
              <w:t>&lt;/strong&gt;</w:t>
            </w:r>
          </w:p>
          <w:p>
            <w:pPr>
              <w:pStyle w:val="TableParagraph"/>
              <w:tabs>
                <w:tab w:pos="1316" w:val="left" w:leader="none"/>
                <w:tab w:pos="2283" w:val="left" w:leader="none"/>
                <w:tab w:pos="2905" w:val="left" w:leader="none"/>
                <w:tab w:pos="3340" w:val="left" w:leader="none"/>
                <w:tab w:pos="4285" w:val="left" w:leader="none"/>
                <w:tab w:pos="5916" w:val="left" w:leader="none"/>
                <w:tab w:pos="7039" w:val="left" w:leader="none"/>
              </w:tabs>
              <w:spacing w:line="208" w:lineRule="auto" w:before="0"/>
              <w:ind w:right="36"/>
              <w:rPr>
                <w:sz w:val="20"/>
              </w:rPr>
            </w:pPr>
            <w:r>
              <w:rPr>
                <w:sz w:val="20"/>
              </w:rPr>
              <w:t>&lt;/span&gt;&lt;/p&gt;&lt;p align="center"&gt;  &lt;span style="font-size: small;"&gt;</w:t>
              <w:tab/>
              <w:t>&lt;strong&gt;</w:t>
              <w:tab/>
              <w:t>&lt;span style="font-size: medium;"&gt;</w:t>
              <w:tab/>
              <w:t>&lt;span style="font-family: &amp;quot;times new roman&amp;quot;, times;"&gt;</w:t>
              <w:tab/>
              <w:t>&lt;br /&gt;</w:t>
              <w:tab/>
              <w:t>&lt;/span&gt;</w:t>
              <w:tab/>
              <w:t>&lt;/span&gt;</w:t>
              <w:tab/>
              <w:t>&lt;/strong&gt; &lt;/span&gt;&lt;/p&gt;&lt;p&gt; &lt;span id="docs-internal-guid-fe8d194d-7fff-98c9-2a18-2fb972badf7b"&gt;&amp;#160;&lt;/span&gt;&lt;/p&gt;&lt;p style="line-height:1.7999999999999998;text-indent: 1pt;text-align: justify;margin- top:6pt;margin-bottom:0pt;" dir="ltr"&gt; &lt;span style="font-size: 11pt;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preserve;"&gt;I. JUÍZO DE ADMISSIBILIDADE&lt;/span&gt;&lt;/p&gt;&lt;p style="line- height:1.7999999999999998;text-indent: 56.692913385826756pt;text-align: justify;margin- top:6pt;margin-bottom:0pt;" dir="ltr"&gt; &lt;span style="font-size: 11pt; font-family: &amp;quot;Times New Roman&amp;quot;, serif; background-color: transparent; font-variant-numeric: normal; </w:t>
            </w:r>
            <w:r>
              <w:rPr>
                <w:spacing w:val="-3"/>
                <w:sz w:val="20"/>
              </w:rPr>
              <w:t>font- </w:t>
            </w:r>
            <w:r>
              <w:rPr>
                <w:sz w:val="20"/>
              </w:rPr>
              <w:t>variant-east-asian: normal; font-variant-alternates: normal; font-variant-position: normal; font-variant-emoji: normal; vertical-align: baseline; white-space-collapse: preserve;"&gt;Em que pese constar certidão de trânsito em julgado da sentença condenatória, vide ID.</w:t>
            </w:r>
          </w:p>
          <w:p>
            <w:pPr>
              <w:pStyle w:val="TableParagraph"/>
              <w:spacing w:line="208" w:lineRule="auto" w:before="0"/>
              <w:ind w:right="42"/>
              <w:rPr>
                <w:sz w:val="20"/>
              </w:rPr>
            </w:pPr>
            <w:r>
              <w:rPr>
                <w:sz w:val="20"/>
              </w:rPr>
              <w:t>22536667, as razões de apelação merecem ser conhecidas e analisadas em seu mérito. Tal medida se consubstancia em detrimento do próprio magistrado tornar sem efeito o trânsito em julgado ao reconhecer, em sede de despacho de ID. 22536654, que a ora apelante não teria sido intimada da sentença, determinando, portanto, sua intimação pessoal, visto que assistida pela Defensoria Pública.&lt;/span&gt;&lt;/p&gt;&lt;p style="line- height:1.7999999999999998;text-indent: 56.692913385826756pt;text-align: justify;margin- top:6pt;margin-bottom:0pt;" dir="ltr"&gt;&lt;span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preserve;"&gt;Dito isso, presentes os pressupostos recursais de admissibilidade intrínsecos (legitimidade, interesse, cabimento e inexistência de fato impeditivo ou extintivo) e extrínsecos (tempestividade, preparo e regularidade formal),&lt;/span&gt; &lt;span style="font-size: 11pt;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preserve;"&gt;CONHEÇO&lt;/span&gt;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preserve;"&gt;do recurso interposto e passo a apreciar o mérito deste.&lt;/span&gt;&lt;/p&gt;&lt;p style="line-height:1.7999999999999998;text-indent: 1pt;text-align: justify;margin-top:6pt;margin-bottom:0pt;" dir="ltr"&gt; &lt;span style="font-size: 11pt;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preserve;"&gt;III. JUÍZO DE MÉRITO&lt;/span&gt;&lt;/p&gt;&lt;p style="line- height:1.7999999999999998;text-indent: 56.692913385826756pt;text-align: justify;margin- top:6pt;margin-bottom:0pt;" dir="ltr"&gt;&lt;span style="font-size: 11pt; font-family: &amp;quot;Times New Roman&amp;quot;, serif; background-color: transparent; font-variant-numeric: normal;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1"/>
              <w:rPr>
                <w:sz w:val="20"/>
              </w:rPr>
            </w:pPr>
            <w:r>
              <w:rPr>
                <w:sz w:val="20"/>
              </w:rPr>
              <w:t>variant-east-asian: normal; font-variant-alternates: normal; font-variant-position: normal; font-variant-emoji: normal; vertical-align: baseline; white-space-collapse: preserve;"&gt;Cinge- se a controvérsia recursal em avaliar se decidiu corretamente o magistrado&lt;/span&gt; &lt;span style="font-size: 11pt;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preserve;"&gt;a quo&lt;/span&gt; &lt;span style="font- size: 11pt; font-family: &amp;quot;Times New Roman&amp;quot;, serif; background-color: transparent; font-variant-numeric: normal; font-variant-east-asian: normal; font-variant- alternates: normal; font-variant-position: normal; font-variant-emoji: normal; vertical-align: baseline; white-space-collapse: preserve;"&gt;ao julgar antecipadamente a lide no sentido de conceder o arbitramento de aluguel em desfavor da senhora Lúcia de Fátima Maia Sousa. Nesses termos, destaca-se a fundamentação utilizada pelo magistrado da 5ª Vara de Sucessões:&lt;/span&gt;&lt;/p&gt;&lt;p style="line-height:1.38;margin-left: 113pt;text-align: justify;margin-top:6pt;margin-bottom:0pt;" dir="ltr"&gt;&amp;#160;&lt;/p&gt;&lt;p style="line- height:1.38;margin-left: 113pt;text-align: justify;margin-top:6pt;margin-bottom:0pt;" dir="ltr"&gt;</w:t>
            </w:r>
          </w:p>
          <w:p>
            <w:pPr>
              <w:pStyle w:val="TableParagraph"/>
              <w:spacing w:line="208" w:lineRule="auto" w:before="0"/>
              <w:ind w:right="42"/>
              <w:rPr>
                <w:sz w:val="20"/>
              </w:rPr>
            </w:pPr>
            <w:r>
              <w:rPr>
                <w:sz w:val="20"/>
              </w:rPr>
              <w:t>&lt;em&gt; &lt;span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preserve;"&gt;Entendo que o caso dos autos comporta&lt;/span&gt; &lt;span style="font-size: 11pt;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preserve;"&gt;julgamento antecipado da lide&lt;/span&gt;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preserve;"&gt;diante da&lt;/span&gt;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preserve;"&gt;desnecessidade de produção de outras provas para elucidação dos fatos da causa&lt;/span&gt; &lt;span style="font-size: 11pt; font-family: &amp;quot;Times New Roman&amp;quot;, serif; background-color: transparent; font-variant-numeric: normal; font-variant-east-asian: normal; font-variant-alternates: normal; font-variant- position: normal; font-variant-emoji: normal; vertical-align: baseline; white-space-collapse: preserve;"&gt;. Inexistindo a necessidade de produção de outras provas, como no caso, pode o juiz dispensar a realização de prova testemunhal e proferir o julgamento antecipado da lide. Além disso, o julgador é o destinatário da prova e a ele cabe deferir ou não sua realização, observada sua conveniência, necessidade e utilidade para o deslinde da controvérsia.&lt;/span&gt;&lt;/em&gt;&lt;/p&gt;&lt;p style="line-height:1.38;margin-left: 113pt;text-align: justify;margin-top:6pt;margin-bottom:0pt;" dir="ltr"&gt; &lt;em&gt; &lt;span style="font-size: 11pt; font-family: &amp;quot;Times New Roman&amp;quot;, serif; background-color: transparent; font- variant-numeric: normal; font-variant-east-asian: normal; font-variant-alternates: normal; font-variant-position: normal; font-variant-emoji: normal; vertical-align: baseline; white- space-collapse: preserve;"&gt;[...] A&lt;/span&gt;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preserve;"&gt;omissão da demandada em apresentar contestação&lt;/span&gt;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preserve;"&gt;aos pedidos da parte autora, enseja o surgimento do fenômeno processual da&lt;/span&gt;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preserve;"&gt;revelia&lt;/span&gt; &lt;span</w:t>
            </w:r>
          </w:p>
          <w:p>
            <w:pPr>
              <w:pStyle w:val="TableParagraph"/>
              <w:spacing w:line="208" w:lineRule="auto" w:before="0"/>
              <w:ind w:right="55"/>
              <w:rPr>
                <w:sz w:val="20"/>
              </w:rPr>
            </w:pPr>
            <w:r>
              <w:rPr>
                <w:sz w:val="20"/>
              </w:rPr>
              <w:t>style="font-size: 11pt; font-family: &amp;quot;Times New Roman&amp;quot;, serif; background-color: transparent; font-variant-numeric: normal; font-variant-east-asian: normal; font-variant- alternates: normal; font-variant-position: normal; font-variant-emoji: normal; vertical-align: baseline; white-space-collapse: preserve;"&gt;, que, em razão do ônus processual não desfeito pela apresentação de contestação, implica na&lt;/span&gt; &lt;span style="font-size: 11pt; font-family: &amp;quot;Times New Roman&amp;quot;, serif; background-color: transparent; font-weight: 700; font-variant-numeric: normal; font-variant-east-asian: normal; font-variant- alternates: normal; font-variant-position: normal; font-variant-emoji: normal; vertical-align: baseline; white-space-collapse: preserve;"&gt;presunção (relativa) de veracidade&lt;/span&gt;</w:t>
            </w:r>
          </w:p>
          <w:p>
            <w:pPr>
              <w:pStyle w:val="TableParagraph"/>
              <w:spacing w:line="205" w:lineRule="exact" w:before="0"/>
              <w:rPr>
                <w:sz w:val="20"/>
              </w:rPr>
            </w:pPr>
            <w:r>
              <w:rPr>
                <w:sz w:val="20"/>
              </w:rPr>
              <w:t>&lt;span style="font-size: 11pt; font-family: &amp;quot;Times New Roman&amp;quot;, serif;</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56" w:val="left" w:leader="none"/>
                <w:tab w:pos="5487" w:val="left" w:leader="none"/>
                <w:tab w:pos="5899" w:val="left" w:leader="none"/>
              </w:tabs>
              <w:spacing w:line="208" w:lineRule="auto" w:before="26"/>
              <w:ind w:right="21"/>
              <w:rPr>
                <w:sz w:val="20"/>
              </w:rPr>
            </w:pPr>
            <w:r>
              <w:rPr>
                <w:sz w:val="20"/>
              </w:rPr>
              <w:t>background-color: transparent; font-variant-numeric: normal; font-variant-east-asian: normal; font-variant-alternates: normal; font-variant-position: normal; font-variant-emoji: normal; vertical-align: baseline; white-space-collapse: preserve;"&gt;dos fatos afirmados pela demandante na petição inicial, razão pela qual se desonera ela do ônus de provar os fatos constitutivos do seu direito.&lt;/span&gt;&lt;/em&gt;&lt;/p&gt;&lt;p style="line-height:1.38;margin-left: 113pt;text-align: justify;margin-top:6pt;margin-bottom:0pt;" dir="ltr"&gt; &lt;em&gt; &lt;span style="font-size: 11pt; font-family: &amp;quot;Times New Roman&amp;quot;, serif; background-color: transparent; font-variant-numeric: normal; font-variant-east-asian: normal; font-variant- alternates: normal; font-variant-position: normal; font-variant-emoji: normal; vertical-align: baseline; white-space-collapse: preserve;"&gt;[...] A presunção de veracidade dos fatos alegados pela autora em face à revelia da demandada é relativa,&lt;/span&gt;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preserve;"&gt;podendo ceder a outras circunstâncias constantes dos autos, de acordo com o princípio do livre convencimento do juiz&lt;/span&gt;  &lt;span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preserve;"&gt;Contudo, no caso em análise, a revelia e sua presunção de veracidade encontram-se em plena consonância com o direito alegado pela parte autora na petição inicial, bem assim sustentado pela documentação acostada a ela&lt;/span&gt;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preserve;"&gt;.&amp;#160;&lt;/span&gt;&lt;/em&gt;&lt;/p&gt;&lt;p style="line-height:1.38;margin-left: 113pt;text- align: justify;margin-top:6pt;margin-bottom:0pt;" dir="ltr"&gt;  &lt;em&gt;</w:t>
              <w:tab/>
              <w: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 Dispõe o art. 1.791 e parágrafo único do Código </w:t>
            </w:r>
            <w:r>
              <w:rPr>
                <w:spacing w:val="-3"/>
                <w:sz w:val="20"/>
              </w:rPr>
              <w:t>Civil, </w:t>
            </w:r>
            <w:r>
              <w:rPr>
                <w:sz w:val="20"/>
              </w:rPr>
              <w:t>"&lt;/span&gt;</w:t>
              <w:tab/>
              <w:t>&lt;span style="font-size: 11pt;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preserve;"&gt;a herança defere-se como um todo unitário, ainda que vários sejam os herdeiros. Até a partilha, o direito dos co-herdeiros, quanto à propriedade e posse da herança, será indivisível, e regular-se-á pelas normas relativas ao condomínio&lt;/span&gt;</w:t>
              <w:tab/>
              <w:t>&lt;span style="font-size: 11pt; font-family: &amp;quot;Times New Roman&amp;quot;, serif; background-color: transparent; font- variant-numeric: normal; font-variant-east-asian: normal; font-variant-alternates: normal; font-variant-position: normal; font-variant-emoji: normal; vertical-align: baseline; white- space-collapse: preserve;"&gt;". E, ao tratar do condomínio, a lei civil prescreve que "&lt;/span&gt;</w:t>
            </w:r>
          </w:p>
          <w:p>
            <w:pPr>
              <w:pStyle w:val="TableParagraph"/>
              <w:tabs>
                <w:tab w:pos="1629" w:val="left" w:leader="none"/>
              </w:tabs>
              <w:spacing w:line="208" w:lineRule="auto" w:before="0"/>
              <w:ind w:right="36"/>
              <w:rPr>
                <w:sz w:val="20"/>
              </w:rPr>
            </w:pPr>
            <w:r>
              <w:rPr>
                <w:sz w:val="20"/>
              </w:rPr>
              <w:t>&lt;span style="font-size: 11pt;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preserve;"&gt;cada condômino responde aos outros pelos frutos que percebeu da coisa e pelo dano que lhe causou&lt;/span&gt;</w:t>
              <w:tab/>
              <w:t>&lt;span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 (CC, art. 1.319).(PJe, ID. 22536652)&lt;/span&gt; &lt;/em&gt;&lt;/p&gt;&lt;p style="line- height:1.7999999999999998;text-indent: 56.692913385826756pt;text-align: justify;margin- top:6pt;margin-bottom:0pt;" dir="ltr"&gt;&amp;#160;&lt;/p&gt;&lt;p style="line- height:1.7999999999999998;text-indent: 56.692913385826756pt;text-align: justify;margin- top:6pt;margin-bottom:0pt;" dir="ltr"&gt; &lt;span style="font-size: 12pt; font-family: &amp;quot;Times New Roman&amp;quot;, serif; background-color: transparent; font-variant-numeric: normal; </w:t>
            </w:r>
            <w:r>
              <w:rPr>
                <w:spacing w:val="-3"/>
                <w:sz w:val="20"/>
              </w:rPr>
              <w:t>font- </w:t>
            </w:r>
            <w:r>
              <w:rPr>
                <w:sz w:val="20"/>
              </w:rPr>
              <w:t>variant-east-asian: normal; font-variant-alternates: normal; font-variant-position: normal; font-variant-emoji: normal; vertical-align: baseline; white-space-collapse: preserve;"&gt;Importa rememorar que o julgamento antecipado da lide, viabilizado nas hipóteses do artigo 355 do CPC, constitui instrumento de celeridade e efetividade processual, permitindo ao magistrado proferir sentença sem a necessidade de dilação probatória, quando a controvérsia versar unicamente sobre questão de direito ou, ainda, quando os fatos relevantes estiverem devidamente comprovados por prova documental suficiente. Tal faculdade, longe de representar supressão de garantias, concretiza 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princípios da economia processual, duração razoável do processo e eficiência jurisdicional, evitando a prática de atos desnecessários à resolução da demanda e assegurando a pronta entrega da tutela jurisdicional, sem prejuízo do contraditório e da ampla defesa, já devidamente oportunizados no curso do feito.&lt;/span&gt;&lt;/p&gt;&lt;p style="line- height:1.7999999999999998;text-indent: 56.692913385826756pt;text-align: justify;margin- top:6pt;margin-bottom:0pt;"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preserve;"&gt;Nesses termos, elucida o doutrinador Humberto Theodoro Júnior:&lt;/span&gt;&lt;/p&gt;&lt;p style="line-height:1.38;margin-left: 113pt;text-align: justify;margin- top:6pt;margin-bottom:0pt;" dir="ltr"&gt;&amp;#160;&lt;/p&gt;&lt;p style="line-height:1.38;margin-left: 113pt;text-align: justify;margin-top:6pt;margin-bottom:0pt;" dir="ltr"&gt; &lt;em&gt; &lt;span style="font-size: 11pt; font-family: &amp;quot;Times New Roman&amp;quot;, serif; background-color: transparent; font-variant-numeric: normal; font-variant-east-asian: normal; font-variant- alternates: normal; font-variant-position: normal; font-variant-emoji: normal; vertical-align: baseline; white-space-collapse: preserve;"&gt;Esses procedimentos diferenciados constam de várias medidas, que tanto podem corresponder à criação de ritos mais simples (sumários, em função do valor e da singeleza da relação material litigiosa) como à redução das questões a serem deduzidas pelo autor e pelo réu (ações especiais como o mandado de segurança e as execuções de títulos extrajudiciais exigem prova pré-constituída, e, praticamente, eliminam a fase instrutória em juízo). Outras vezes, dentro do próprio rito comum,&lt;/span&gt;   &lt;span style="font-size: 11pt;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preserve;"&gt;fases procedimentais são descartadas por desnecessárias e incompatíveis com o princípio da celeridade processual&lt;/span&gt; &lt;span style="font-size: 11pt; font-family: &amp;quot;Times New Roman&amp;quot;, serif; background-color: transparent; font-variant-numeric: normal; font-variant-east-asian: normal; font-variant-alternates: normal; font-variant- position: normal; font-variant-emoji: normal; vertical-align: baseline; white-space-collapse: preserve;"&gt;(é o que se passa, por exemplo, em incidente como a revelia, a falta de impugnação especificada na resposta do réu aos fatos narrados pelo autor, o julgamento antecipado da lide). Há, ainda, a tentativa de eliminar o contraditório e o acertamento próprio do processo de conhecimento, franqueando ao autor o acesso direto à atividade executiva e tornando eventual o debate dialético da causa, porque&lt;/span&gt;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preserve;"&gt;sua instauração somente ocorrerá se o réu o provocar&lt;/span&gt;  &lt;span style="font-size: 11pt; font-family: &amp;quot;Times New Roman&amp;quot;, serif; background-color: transparent; font-variant-numeric: normal; font-variant-east-asian: normal; font-variant-alternates: normal; font-variant- position: normal; font-variant-emoji: normal; vertical-align: baseline; white-space-collapse: preserve;"&gt;(é o que se passa com a execução dos títulos extrajudiciais, com a ação monitória e nos casos da tutela da evidência). (JÚNIOR, Humberto T. Curso de Direito Processual Civil Vol.1 - 66ª Edição 2025. 66. ed. Rio de Janeiro: Forense, 2025. E-book. p.692. ISBN 9788530995836. Disponível em: https://app.minhabiblioteca.com.br/reader/books/9788530995836/. Acesso em: 08 out.</w:t>
            </w:r>
          </w:p>
          <w:p>
            <w:pPr>
              <w:pStyle w:val="TableParagraph"/>
              <w:spacing w:line="208" w:lineRule="auto" w:before="0"/>
              <w:ind w:right="55"/>
              <w:rPr>
                <w:sz w:val="20"/>
              </w:rPr>
            </w:pPr>
            <w:r>
              <w:rPr>
                <w:sz w:val="20"/>
              </w:rPr>
              <w:t>2025)&lt;/span&gt;&lt;/em&gt;&lt;/p&gt;&lt;p style="line-height:1.7999999999999998;text-indent: 56.692913385826756pt;text-align: justify;margin-top:6pt;margin-bottom:0pt;" dir="ltr"&gt;&amp;#160;&lt;/p&gt;&lt;p style="line-height:1.7999999999999998;text-indent: 56.692913385826756pt;text-align: justify;margin-top:6pt;margin-bottom:0pt;"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preserve;"&gt;Trata-se,&lt;/span&gt; &lt;span style="font-size: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preserve;"&gt;in casu&lt;/span&gt;&lt;span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 de hipótese amparada no próprio princípio da persuasão racional, viabilizando ao magistrado, sob a égide da promoção da celeridade processual, antecipar e dispensar eventuais ritos procedimentais desnecessários ao julgamento do mérito, nas hipóteses previstas no rol taxativo do art. 355 do CPC.&lt;/span&gt;&lt;/p&gt;&lt;p style="line-height:1.7999999999999998;text-indent: 56.692913385826756pt;text-align: justify;margin-top:6pt;margin-bottom:0pt;" dir="ltr"&gt;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preserve;"&gt;A apelante requer a declaração da nulidade da sentença proferida em primeiro grau sob a justificativa de configurar manifesto cerceamento de defesa e violação ao princípio do contraditório. Contudo, compulsando aos autos, verifica-se que durante a tramitação do processo a ora apelante não requereu nenhuma diligência sequer. A propósito, até mesmo em suas contestações, momento justamente oportuno para a parte levar seus argumentos a efeito, não se manifestou.&amp;#160;&lt;/span&gt;&lt;/p&gt;&lt;p style="line-height:1.7999999999999998;text- indent: 56.692913385826756pt;text-align: justify;margin-top:6pt;margin-bottom:0pt;"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preserve;"&gt;Não se está a negar a possibilidade de anulação de uma sentença de julgamento antecipado da lide. Mas a vigência do instituto é válida,&lt;/span&gt; &lt;span style="font-size: 12pt;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preserve;"&gt;não havendo que falar em cerceamento de defesa quando a parte teve oportunidade de se manifestar nos autos e quedou-se inerte&lt;/span&gt;&lt;span</w:t>
            </w:r>
          </w:p>
          <w:p>
            <w:pPr>
              <w:pStyle w:val="TableParagraph"/>
              <w:spacing w:line="208" w:lineRule="auto" w:before="0"/>
              <w:ind w:right="36"/>
              <w:rPr>
                <w:sz w:val="20"/>
              </w:rPr>
            </w:pPr>
            <w:r>
              <w:rPr>
                <w:sz w:val="20"/>
              </w:rPr>
              <w:t>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 que é o caso do processo em exame. Em verdade, consiste em tentativa de reforma do&lt;/span&gt;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preserve;"&gt;decisum&lt;/span&gt; &lt;span style="font-size: 12pt; </w:t>
            </w:r>
            <w:r>
              <w:rPr>
                <w:spacing w:val="-2"/>
                <w:sz w:val="20"/>
              </w:rPr>
              <w:t>font-family: </w:t>
            </w:r>
            <w:r>
              <w:rPr>
                <w:sz w:val="20"/>
              </w:rPr>
              <w:t>&amp;quot;Times New Roman&amp;quot;, serif; background-color: transparent; font-variant-numeric: normal; font-variant-east-asian: normal; font-variant-alternates: normal; font-variant- position: normal; font-variant-emoji: normal; vertical-align: baseline; white-space-collapse: preserve;"&gt;em contrariedade ao ideário&lt;/span&gt; &lt;span style="font-size: 12pt; font-family: &amp;quot;Times New Roman&amp;quot;, serif; background-color: transparent; font-style: italic; </w:t>
            </w:r>
            <w:r>
              <w:rPr>
                <w:spacing w:val="-3"/>
                <w:sz w:val="20"/>
              </w:rPr>
              <w:t>font- </w:t>
            </w:r>
            <w:r>
              <w:rPr>
                <w:sz w:val="20"/>
              </w:rPr>
              <w:t>variant-numeric: normal; font-variant-east-asian: normal; font-variant-alternates: normal; font-variant-position: normal; font-variant-emoji: normal; vertical-align: baseline; white- space-collapse: preserve;"&gt;venire contra factum proprium&lt;/span&gt;&lt;span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preserve;"&gt;.&lt;/span&gt;&lt;/p&gt;&lt;p style="line- height:1.7999999999999998;text-indent: 56.692913385826756pt;text-align: justify;margin- top:6pt;margin-bottom:0pt;" dir="ltr"&gt; &lt;span style="font-size: 12pt; font-family: &amp;quot;Times New Roman&amp;quot;, serif; background-color: transparent; font-variant-numeric: normal; </w:t>
            </w:r>
            <w:r>
              <w:rPr>
                <w:spacing w:val="-3"/>
                <w:sz w:val="20"/>
              </w:rPr>
              <w:t>font- </w:t>
            </w:r>
            <w:r>
              <w:rPr>
                <w:sz w:val="20"/>
              </w:rPr>
              <w:t>variant-east-asian: normal; font-variant-alternates: normal; font-variant-position: normal; font-variant-emoji: normal; vertical-align: baseline; white-space-collapse: preserve;"&gt;Em similitude, dispõe a jurisprudência:&lt;/span&gt;&lt;/p&gt;&lt;p style="line-height:1.38;margin-left: 113pt;text-align: justify;margin-top:6pt;margin-bottom:0pt;" dir="ltr"&gt;&amp;#160;&lt;/p&gt;&lt;p style="line-height:1.38;margin-left: 113pt;text-align: justify;margin-top:6pt;margin- 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preserve;"&gt;Com efeito, ao magistrado, enquanto sujeito processual destinatário da prova, caberá a análise da conveniência e necessidade de sua realização. É dizer, a produção da prova é destinada à formação do convencimento do órgão julgador, a quem cumprirá definir quais serão úteis ou inúteis para o deslinde da controvérsia.&lt;/span&gt;&lt;/p&gt;&lt;p style="line- height:1.38;margin-left: 113pt;text-align: justify;margin-top:6pt;margin-bottom:0pt;" dir="ltr"&gt;&lt;span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preserve;"&gt;&amp;#160;&lt;/span&gt;&lt;span style="font-size: 11pt; font-family: &amp;quot;Times New Roman&amp;quot;, serif; background-color: transparent; font-variant-numeric: normal; font-variant-east-asian: normal; font-variant- alternates: normal; font-variant-position: normal; font-variant-emoji: normal; vertical-align: baseline; white-space-collapse: preserve;"&gt;(...) Assim, a teor do art. 355 do CPC,&lt;/span&gt;</w:t>
            </w:r>
          </w:p>
          <w:p>
            <w:pPr>
              <w:pStyle w:val="TableParagraph"/>
              <w:spacing w:line="208" w:lineRule="auto" w:before="0"/>
              <w:ind w:right="120"/>
              <w:rPr>
                <w:sz w:val="20"/>
              </w:rPr>
            </w:pPr>
            <w:r>
              <w:rPr>
                <w:sz w:val="20"/>
              </w:rPr>
              <w:t>&lt;span style="font-size: 11pt; font-family: &amp;quot;Times New Roman&amp;quot;, serif; background-color: transparent; font-weight: 700; font-variant-numeric: normal;</w:t>
            </w:r>
            <w:r>
              <w:rPr>
                <w:spacing w:val="8"/>
                <w:sz w:val="20"/>
              </w:rPr>
              <w:t> </w:t>
            </w:r>
            <w:r>
              <w:rPr>
                <w:spacing w:val="-2"/>
                <w:sz w:val="20"/>
              </w:rPr>
              <w:t>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east-asian: normal; font-variant-alternates: normal; font-variant-position: normal; font- variant-emoji: normal; vertical-align: baseline; white-space-collapse: preserve;"&gt;o julgamento antecipado da lide não implica nenhuma nulidade da sentença por cerceamento de defesa se a matéria é unicamente de direito ou se nos autos há elementos suficientes para a análise das questões referentes à controvérsia posta&lt;/span&gt;&lt;span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 (TJDFT. Acórdão 1600576, 07319447220218070001, Relator: LUCIMEIRE MARIA DA SILVA, Quarta</w:t>
            </w:r>
            <w:r>
              <w:rPr>
                <w:spacing w:val="2"/>
                <w:sz w:val="20"/>
              </w:rPr>
              <w:t> </w:t>
            </w:r>
            <w:r>
              <w:rPr>
                <w:spacing w:val="-4"/>
                <w:sz w:val="20"/>
              </w:rPr>
              <w:t>Turma</w:t>
            </w:r>
          </w:p>
          <w:p>
            <w:pPr>
              <w:pStyle w:val="TableParagraph"/>
              <w:spacing w:line="208" w:lineRule="auto" w:before="0"/>
              <w:ind w:right="44"/>
              <w:rPr>
                <w:sz w:val="20"/>
              </w:rPr>
            </w:pPr>
            <w:r>
              <w:rPr>
                <w:sz w:val="20"/>
              </w:rPr>
              <w:t>Cível, data de julgamento: 28/7/2022, publicado no DJE: 16/8/2022).&lt;/span&gt;&lt;/p&gt;&lt;p&gt;&amp;#160;&lt;/p&gt;&lt;p style="line-height:1.38;margin-left: 113pt;text- align: justify;margin-top:6pt;margin-bottom:0pt;" dir="ltr"&gt;&lt;span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preserve;"&gt;DIREITO CIVIL E PROCESSUAL CIVIL. AGRAVO INTERNO NO AGRAVO EM RECURSO ESPECIAL. AÇÃO DE REPARAÇÃO DE DANOS. PRESTAÇÃO DE SERVIÇOS DE GESTÃO DE PAGAMENTOS POR CARTÃO. VALORES NÃO</w:t>
            </w:r>
          </w:p>
          <w:p>
            <w:pPr>
              <w:pStyle w:val="TableParagraph"/>
              <w:spacing w:line="208" w:lineRule="auto" w:before="0"/>
              <w:ind w:right="55"/>
              <w:rPr>
                <w:sz w:val="20"/>
              </w:rPr>
            </w:pPr>
            <w:r>
              <w:rPr>
                <w:sz w:val="20"/>
              </w:rPr>
              <w:t>REPASSADOS AO ESTABELECIMENTO COMERCIAL.&lt;/span&gt; &lt;span style="font-size: 11pt; font-family: &amp;quot;Times New Roman&amp;quot;, serif; background-color: transparent; font-weight: 700; font-variant-numeric: normal; font-variant-east-asian: normal; font-variant- alternates: normal; font-variant-position: normal; font-variant-emoji: normal; vertical-align: baseline; white-space-collapse: preserve;"&gt;ALEGAÇÃO DE CERCEAMENTO DE DEFESA&lt;/span&gt;&lt;span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preserve;"&gt;JULGAMENTO ANTECIPADO DA LIDE&lt;/span&gt;&lt;span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 REQUISITOS DA RESPONSABILIDADE CIVIL. REEXAME DE PROVAS. SÚMULA Nº 7 DO STJ.</w:t>
            </w:r>
          </w:p>
          <w:p>
            <w:pPr>
              <w:pStyle w:val="TableParagraph"/>
              <w:spacing w:line="208" w:lineRule="auto" w:before="0"/>
              <w:ind w:right="42"/>
              <w:rPr>
                <w:sz w:val="20"/>
              </w:rPr>
            </w:pPr>
            <w:r>
              <w:rPr>
                <w:sz w:val="20"/>
              </w:rPr>
              <w:t>RECURSO DESPROVIDO.&lt;/span&gt;&lt;/p&gt;&lt;p style="line-height:1.38;margin-left: 113pt;text- align: justify;margin-top:6pt;margin-bottom:0pt;" dir="ltr"&gt;&lt;span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preserve;"&gt;1. Configuração de&lt;/span&gt; &lt;span style="font-size: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preserve;"&gt;cerceamento de defesa pelo julgamento antecipado da lide somente ocorre quando demonstrada a efetiva necessidade da prova requerida para o deslinde da controvérsia, circunstância que deve ser aferida pelo órgão julgador como destinatário das provas.&lt;/span&gt;&lt;/p&gt;&lt;p style="line-height:1.38;margin-left: 113pt;text-align: justify;margin-top:6pt;margin-bottom:0pt;" dir="ltr"&gt;&lt;span style="font-size: 11pt; font-family: &amp;quot;Times New Roman&amp;quot;, serif; background-color: transparent; font-variant-numeric: normal; font-variant-east-asian: normal; font-variant-alternates: normal; font-variant- position: normal; font-variant-emoji: normal; vertical-align: baseline; white-space-collapse: preserve;"&gt;2.&lt;/span&gt; &lt;span style="font-size: 11pt;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preserve;"&gt;Não há nulidade quando o tribunal considera suficientes os elementos probatórios constantes dos autos para formar sua convicção, sendo vedado ao Superior Tribunal de Justiça modificar tal conclusão por demandar reexame do conjunto fático- probatório.&lt;/span&gt;&lt;/p&gt;&lt;p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preserve;"&gt;3. Revisão do entendimento das instâncias ordinárias acerca da comprovação dos requisitos da responsabilidade civil - ato ilícito, nexo de causalidade e extensão dos danos - implica necessariamente nova análise das provas dos autos, procedimento obstado pelo enunciado da Súmula nº 7 desta Corte.&lt;/span&gt;&lt;/p&gt;&lt;p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style="line-height:1.38;margin-left: 113pt;text-align: justify;margin-top:6pt;margin- 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preserve;"&gt;4. Agravo interno não provido. (AgInt nos EDcl no AREsp n. 2.674.653/SP, relator Ministro Moura Ribeiro, Terceira Turma, julgado em 29/9/2025, DJEN de 2/10/2025.)&lt;/span&gt;&lt;/p&gt;&lt;p style="line-height:1.7999999999999998;text-indent: 56.692913385826756pt;text-align: justify;margin-top:6pt;margin-bottom:0pt;" dir="ltr"&gt;&amp;#160;&lt;/p&gt;&lt;p style="line-height:1.7999999999999998;text-indent: 56.692913385826756pt;text-align: justify;margin-top:6pt;margin-bottom:0pt;" dir="ltr"&gt;&lt;span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preserve;"&gt;Desta feita, não vislumbro razoabilidade para o pleito de anulação do&lt;/span&gt; &lt;span style="font-size: 11pt; font-family: &amp;quot;Times New Roman&amp;quot;, serif; background-color: transparent; font- style: italic; font-variant-numeric: normal; font-variant-east-asian: normal; font-variant- alternates: normal; font-variant-position: normal; font-variant-emoji: normal; vertical-align: baseline; white-space-collapse: preserve;"&gt;decisum&lt;/span&gt; &lt;span style="font-size: 11pt; font-family: &amp;quot;Times New Roman&amp;quot;, serif; background-color: transparent; font- variant-numeric: normal; font-variant-east-asian: normal; font-variant-alternates: normal; font-variant-position: normal; font-variant-emoji: normal; vertical-align: baseline; white- space-collapse: preserve;"&gt;proferido pelo magistrado de primeiro grau em julgamento antecipado do mérito, mormente porque, nem mesmo nas próprias razões de apelação a apelante traz argumentos à baila para apreciação pelo órgão julgador para além da declaração de nulidade e de afastamento da presunção de veracidade relativa, proveniente do instituto da revelia – cuja incidência,&lt;/span&gt; &lt;span style="font-size: 11pt; font-family: &amp;quot;Times New Roman&amp;quot;, serif; background-color: transparent; font- style: italic; font-variant-numeric: normal; font-variant-east-asian: normal; font-variant- alternates: normal; font-variant-position: normal; font-variant-emoji: normal; vertical-align: baseline; white-space-collapse: preserve;"&gt;per si&lt;/span&gt;&lt;span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 está cristalina nos autos.&lt;/span&gt;&lt;/p&gt;&lt;p style="line- height:1.7999999999999998;text-indent: 56.692913385826756pt;text-align: justify;margin- top:6pt;margin-bottom:0pt;"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preserve;"&gt;Frisa- se que o arcabouço probatório foi inconteste – inclusive pela própria apelante – acerca da condição de herdeiras tanto da senhora Lúcia de Fátima Maia Santos quanto da autora da ação, Maria Lea Maia Sousa. Também restou inconteste que, atualmente, Lúcia de Fátima Maia Santos usufrui com exclusividade do imóvel, cujos frutos que percebe em detrimento dele, conforme dispõe o próprio art. 1.319 do Código Civil, devem ser partilhados com os demais co-herdeiros, qual seja, Maria Lea Maia Sousa.&lt;/span&gt;&lt;/p&gt;&lt;p style="line- height:1.7999999999999998;text-indent: 56.692913385826756pt;text-align: justify;margin- top:6pt;margin-bottom:0pt;" dir="ltr"&gt;&lt;span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preserve;"&gt;Não carece, portanto, de reparos a sentença recorrida, haja vista que, ainda que esteja em trâmite processo de inventário e de usucapião extraordinária, é fato incontroverso que tanto a autora quanto a ré integram, de forma exclusiva, o espólio dos&lt;/span&gt; &lt;span style="font-size: 11pt;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preserve;"&gt;de cujus&lt;/span&gt;&lt;span style="font-size: 11pt; font-family: &amp;quot;Times New Roman&amp;quot;, serif; background-color: transparent; font-variant-numeric: normal; font-variant-east-asian: normal; font-variant- alternates: normal; font-variant-position: normal; font-variant-emoji: normal; vertical-align: baseline; white-space-collapse: preserve;"&gt;, circunstância que enseja a prestação de aluguel proporcional ao espólio.&lt;/span&gt;&lt;/p&gt;&lt;p style="line- height:1.7999999999999998;text-indent: 56.692913385826756pt;text-align: justify;margin- top:6pt;margin-bottom:0pt;"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preserve;"&gt;Acerca da matéria, frisa-se precedente da 1ª Câmara de Direito Privado do TJCE:&lt;/span&gt;&lt;/p&gt;&lt;p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style="line-height:1.38;margin-left: 113pt;text-align: justify;margin-top:6pt;margin- bottom:0pt;" dir="ltr"&gt;&amp;#160;&lt;/p&gt;&lt;p style="line-height:1.38;margin-left: 113pt;text-align: justify;margin-top:6pt;margin-bottom:0pt;" dir="ltr"&gt;&lt;span style="font-size: 11pt; font-family: &amp;quot;Times New Roman&amp;quot;, serif; background-color: transparent; font-variant-numeric: normal; font-variant-east-asian: normal; font-variant-alternates: normal; font-variant- position: normal; font-variant-emoji: normal; vertical-align: baseline; white-space-collapse: preserve;"&gt;Ementa: DIREITO CIVIL E PROCESSUAL CIVIL. AGRAVO DE</w:t>
            </w:r>
          </w:p>
          <w:p>
            <w:pPr>
              <w:pStyle w:val="TableParagraph"/>
              <w:spacing w:line="208" w:lineRule="auto" w:before="0"/>
              <w:ind w:right="42"/>
              <w:rPr>
                <w:sz w:val="20"/>
              </w:rPr>
            </w:pPr>
            <w:r>
              <w:rPr>
                <w:sz w:val="20"/>
              </w:rPr>
              <w:t>INSTRUMENTO.&lt;/span&gt; &lt;span style="font-size: 11pt;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preserve;"&gt;INVENTÁRIO&lt;/span&gt;&lt;span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preserve;"&gt;.&lt;/span&gt; &lt;span style="font-size: 11pt;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preserve;"&gt;USO EXCLUSIVO DE IMÓVEL DO ESPÓLIO POR HERDEIRAS.</w:t>
            </w:r>
          </w:p>
          <w:p>
            <w:pPr>
              <w:pStyle w:val="TableParagraph"/>
              <w:spacing w:line="208" w:lineRule="auto" w:before="0"/>
              <w:ind w:right="31"/>
              <w:rPr>
                <w:sz w:val="20"/>
              </w:rPr>
            </w:pPr>
            <w:r>
              <w:rPr>
                <w:sz w:val="20"/>
              </w:rPr>
              <w:t>ARBITRAMENTO DE ALUGUEL PROPORCIONAL&lt;/span&gt;&lt;span style="font-size: 11pt; font-family: &amp;quot;Times New Roman&amp;quot;, serif; background-color: transparent; font- variant-numeric: normal; font-variant-east-asian: normal; font-variant-alternates: normal; font-variant-position: normal; font-variant-emoji: normal; vertical-align: baseline; white- space-collapse: preserve;"&gt;. POSSIBILIDADE. RECURSO DESPROVIDO.&lt;/span&gt;&lt;/p&gt;&lt;p style="line-height:1.38;margin-left: 113pt;text-align: justify;margin-top:6pt;margin- 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preserve;"&gt;I. CASO EM EXAME&lt;/span&gt;&lt;/p&gt;&lt;p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preserve;"&gt;Agravo de instrumento interposto por herdeiras contra decisão interlocutória que, no curso de inventário, determinou o pagamento de aluguel proporcional ao espólio em razão do uso exclusivo de imóvel integrante do acervo hereditário. As agravantes alegam ausência de renda própria e tratamento desigual em relação a outra herdeira que também faria uso exclusivo de outro bem, requerendo efeito suspensivo e reforma da decisão.&lt;/span&gt;&lt;/p&gt;&lt;p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preserve;"&gt;II. QUESTÃO EM DISCUSSÃO&lt;/span&gt;&lt;/p&gt;&lt;p style="line- height:1.38;margin-left: 113pt;text-align: justify;margin-top:6pt;margin-bottom:0pt;" dir="ltr"&gt;</w:t>
            </w:r>
          </w:p>
          <w:p>
            <w:pPr>
              <w:pStyle w:val="TableParagraph"/>
              <w:spacing w:line="208" w:lineRule="auto" w:before="0"/>
              <w:ind w:right="176"/>
              <w:rPr>
                <w:sz w:val="20"/>
              </w:rPr>
            </w:pPr>
            <w:r>
              <w:rPr>
                <w:sz w:val="20"/>
              </w:rPr>
              <w: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preserve;"&gt;Há duas questões em discussão: (i) definir se herdeiros que ocupam, com exclusividade, imóvel integrante do espólio devem indenizar os demais herdeiros mediante pagamento de aluguel proporcional; (ii) estabelecer se a condição de estudantes universitárias e a alegação de uso exclusivo de outro bem por terceira herdeira afastam o dever de indenização.&lt;/span&gt;&lt;/p&gt;&lt;p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preserve;"&gt;III. RAZÕES DE DECIDIR&lt;/span&gt;&lt;/p&gt;&lt;p style="line- height:1.38;margin-left: 113pt;text-align: justify;margin-top:6pt;margin-bottom:0pt;" dir="ltr"&gt;&lt;span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preserve;"&gt;O princípio da&lt;/span&gt;</w:t>
            </w:r>
          </w:p>
          <w:p>
            <w:pPr>
              <w:pStyle w:val="TableParagraph"/>
              <w:spacing w:line="208" w:lineRule="auto" w:before="0"/>
              <w:ind w:right="220"/>
              <w:rPr>
                <w:sz w:val="20"/>
              </w:rPr>
            </w:pPr>
            <w:r>
              <w:rPr>
                <w:sz w:val="20"/>
              </w:rPr>
              <w:t>&lt;span style="font-size: 11pt; font-family: &amp;quot;Times New Roman&amp;quot;, serif; background-color: transparent; font-style: italic; font-variant-numeric: normal; font-variant- east-asian: normal; font-variant-alternates: normal; font-variant-position: normal; font- variant-emoji: normal; vertical-align: baseline; white-space-collapse: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1"/>
              <w:rPr>
                <w:sz w:val="20"/>
              </w:rPr>
            </w:pPr>
            <w:r>
              <w:rPr>
                <w:sz w:val="20"/>
              </w:rPr>
              <w:t>preserve;"&gt;saisine&lt;/span&gt;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preserve;"&gt;estabelece a transmissão imediata da herança aos herdeiros, que passam a compor condomínio sobre os bens do espólio.&lt;/span&gt;&lt;/p&gt;&lt;p style="line- height:1.38;margin-left: 113pt;text-align: justify;margin-top:6pt;margin-bottom:0pt;" dir="ltr"&gt;</w:t>
            </w:r>
          </w:p>
          <w:p>
            <w:pPr>
              <w:pStyle w:val="TableParagraph"/>
              <w:spacing w:line="208" w:lineRule="auto" w:before="0"/>
              <w:ind w:right="120"/>
              <w:rPr>
                <w:sz w:val="20"/>
              </w:rPr>
            </w:pPr>
            <w:r>
              <w:rPr>
                <w:sz w:val="20"/>
              </w:rPr>
              <w:t>&lt;span style="font-size: 11pt;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preserve;"&gt;O art.</w:t>
            </w:r>
          </w:p>
          <w:p>
            <w:pPr>
              <w:pStyle w:val="TableParagraph"/>
              <w:spacing w:line="208" w:lineRule="auto" w:before="0"/>
              <w:ind w:right="51"/>
              <w:rPr>
                <w:sz w:val="20"/>
              </w:rPr>
            </w:pPr>
            <w:r>
              <w:rPr>
                <w:sz w:val="20"/>
              </w:rPr>
              <w:t>1.319 do Código Civil impõe ao condômino que utiliza exclusivamente bem comum a obrigação de indenizar os demais pelos frutos não partilhados.&lt;/span&gt;&lt;/p&gt;&lt;p style="line- height:1.38;margin-left: 113pt;text-align: justify;margin-top:6pt;margin-bottom:0pt;" dir="ltr"&gt;</w:t>
            </w:r>
          </w:p>
          <w:p>
            <w:pPr>
              <w:pStyle w:val="TableParagraph"/>
              <w:spacing w:line="208" w:lineRule="auto" w:before="0"/>
              <w:ind w:right="120"/>
              <w:rPr>
                <w:sz w:val="20"/>
              </w:rPr>
            </w:pPr>
            <w:r>
              <w:rPr>
                <w:sz w:val="20"/>
              </w:rPr>
              <w:t>&lt;span style="font-size: 11pt;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preserve;"&gt;A jurisprudência consolidada do STJ e do TJCE reconhece que o herdeiro que ocupa com exclusividade imóvel indivisível deve pagar aluguel proporcional aos demais, para evitar enriquecimento sem causa.&lt;/span&gt;&lt;/p&gt;&lt;p style="line-height:1.38;margin-left: 113pt;text- align: justify;margin-top:6pt;margin-bottom:0pt;" dir="ltr"&gt; &lt;span style="font-size: 11pt; font-family: &amp;quot;Times New Roman&amp;quot;, serif; background-color: transparent; font- variant-numeric: normal; font-variant-east-asian: normal; font-variant-alternates: normal; font-variant-position: normal; font-variant-emoji: normal; vertical-align: baseline; white- space-collapse: preserve;"&gt;A condição de estudantes universitárias não configura incapacidade laborativa e não afasta o dever de indenização, inexistindo prova de</w:t>
            </w:r>
          </w:p>
          <w:p>
            <w:pPr>
              <w:pStyle w:val="TableParagraph"/>
              <w:spacing w:line="208" w:lineRule="auto" w:before="0"/>
              <w:ind w:right="29"/>
              <w:rPr>
                <w:sz w:val="20"/>
              </w:rPr>
            </w:pPr>
            <w:r>
              <w:rPr>
                <w:sz w:val="20"/>
              </w:rPr>
              <w:t>incapacidade para o trabalho.&lt;/span&gt;&lt;/p&gt;&lt;p style="line-height:1.38;margin-left: 113pt;text- align: justify;margin-top:6pt;margin-bottom:0pt;" dir="ltr"&gt; &lt;span style="font-size: 11pt;</w:t>
            </w:r>
          </w:p>
          <w:p>
            <w:pPr>
              <w:pStyle w:val="TableParagraph"/>
              <w:spacing w:line="208" w:lineRule="auto" w:before="0"/>
              <w:ind w:right="36"/>
              <w:rPr>
                <w:sz w:val="20"/>
              </w:rPr>
            </w:pPr>
            <w:r>
              <w:rPr>
                <w:sz w:val="20"/>
              </w:rPr>
              <w:t>font-family: &amp;quot;Times New Roman&amp;quot;, serif; background-color: transparent; font- variant-numeric: normal; font-variant-east-asian: normal; font-variant-alternates: normal; font-variant-position: normal; font-variant-emoji: normal; vertical-align: baseline; white- space-collapse: preserve;"&gt;A alegação de que outra herdeira utilizaria bem do espólio não exime as agravantes do pagamento, pois eventual uso exclusivo de terceiro apenas gera obrigação correlata a ser apurada, sem afastar o dever reconhecido na decisão recorrida.&lt;/span&gt;&lt;/p&gt;&lt;p style="line-height:1.38;margin-left: 113pt;text-align: justify;margin- top:6pt;margin-bottom:0pt;" dir="ltr"&gt; &lt;span style="font-size: 11pt; font-family: &amp;quot;Times New Roman&amp;quot;, serif; background-color: transparent; font-variant-numeric: normal; font- variant-east-asian: normal; font-variant-alternates: normal; font-variant-position: normal; font-variant-emoji: normal; vertical-align: baseline; white-space-collapse: preserve;"&gt;O agravo de instrumento limita-se ao exame da correção da decisão combatida, não sendo possível ampliar a cognição para matérias não decididas em primeiro grau, sob pena de supressão de instância.&lt;/span&gt;&lt;/p&gt;&lt;p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preserve;"&gt;IV. DISPOSITIVO E TESE&lt;/span&gt;&lt;/p&gt;&lt;p style="line- height:1.38;margin-left: 113pt;text-align: justify;margin-top:6pt;margin-bottom:0pt;" dir="ltr"&gt;</w:t>
            </w:r>
          </w:p>
          <w:p>
            <w:pPr>
              <w:pStyle w:val="TableParagraph"/>
              <w:spacing w:line="208" w:lineRule="auto" w:before="0"/>
              <w:ind w:right="25"/>
              <w:rPr>
                <w:sz w:val="20"/>
              </w:rPr>
            </w:pPr>
            <w:r>
              <w:rPr>
                <w:sz w:val="20"/>
              </w:rPr>
              <w: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preserve;"&gt;Recurso desprovido.&lt;/span&gt;&lt;/p&gt;&lt;p style="line-height:1.38;margin-left: 113pt;text-align: justify;margin-top:6pt;margin-bottom:0pt;" dir="ltr"&gt; &lt;span style="font-size: 11pt; font- family: &amp;quot;Times New Roman&amp;quot;, serif; background-color: transparent; font-variant- numeric: normal; font-variant-east-asian: normal; font-variant-alternates: normal; font- variant-position: normal; font-variant-emoji: normal; vertical-align: baseline; white-space- collapse: preserve;"&gt;Tese de julgamento:&lt;/span&gt;&lt;/p&gt;&lt;p style="line-height:1.38;margin- left: 113pt;text-align: justify;margin-top:6pt;margin-bottom:0pt;" dir="ltr"&gt; &lt;span style="font- size: 11pt; font-family: &amp;quot;Times New Roman&amp;quot;, serif; background-color: transparent; font-weight: 700; font-variant-numeric: normal; font-variant-east-asian: normal; font-variant-alternates: normal; font-variant-position: normal; font-variant-emoji: normal; vertical-align: baseline; white-space-collapse: preserve;"&gt;O herdeiro que ocupa com exclusividade imóvel integrante do espólio deve pagar aluguel proporcional aos demais herdeiros, conforme art. 1.319 do CC.&lt;/span&gt;&lt;/p&gt;&lt;p style="line-height:1.38;margin-left: 113pt;text-align: justify;margin-top:6pt;margin-bottom:0pt;" dir="ltr"&gt; &lt;span style="font-size: 11pt; font-family: &amp;quot;Times New Roman&amp;quot;, serif; background-color: transparent; font-variant-numeric: normal; font-variant-east-asian: normal; font-variant-alternates: normal; font-variant-position: normal; font-variant-emoji: normal; vertical-align: baseline;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1"/>
              <w:rPr>
                <w:sz w:val="20"/>
              </w:rPr>
            </w:pPr>
            <w:r>
              <w:rPr>
                <w:sz w:val="20"/>
              </w:rPr>
              <w:t>white-space-collapse: preserve;"&gt;[...] A utilização exclusiva de outro bem por terceiro não exime o ocupante exclusivo de cumprir com o dever de pagamento, cabendo a este também responder por indenização proporcional.&lt;/span&gt;&lt;/p&gt;&lt;p style="line- height:1.38;margin-left: 113pt;text-align: justify;margin-top:6pt;margin-bottom:0pt;" dir="ltr"&gt;</w:t>
            </w:r>
          </w:p>
          <w:p>
            <w:pPr>
              <w:pStyle w:val="TableParagraph"/>
              <w:spacing w:line="208" w:lineRule="auto" w:before="0"/>
              <w:ind w:right="420"/>
              <w:rPr>
                <w:sz w:val="20"/>
              </w:rPr>
            </w:pPr>
            <w:r>
              <w:rPr>
                <w:sz w:val="20"/>
              </w:rPr>
              <w:t>&lt;span style="font-size: 11pt; font-family: &amp;quot;Times New Roman&amp;quot;, serif; background-color: transparent; font-variant-numeric: normal; font-variant-east-asian: normal; font-variant-alternates: normal; font-variant-position: normal; font-variant-emoji: normal; vertical-align: baseline; white-space-collapse: preserve;"&gt;[...] (AGRAVO DE INSTRUMENTO - 06314988620248060000, Relator(a): CARLOS AUGUSTO GOMES</w:t>
            </w:r>
          </w:p>
          <w:p>
            <w:pPr>
              <w:pStyle w:val="TableParagraph"/>
              <w:spacing w:line="208" w:lineRule="auto" w:before="0"/>
              <w:ind w:right="42"/>
              <w:rPr>
                <w:sz w:val="20"/>
              </w:rPr>
            </w:pPr>
            <w:r>
              <w:rPr>
                <w:sz w:val="20"/>
              </w:rPr>
              <w:t>CORREIA, 1ª Câmara de Direito Privado, Data do julgamento: 28/08/2025)&lt;/span&gt;&lt;/p&gt;&lt;p style="line-height:1.7999999999999998;text-indent: 56.692913385826756pt;text-align: justify;margin-top:6pt;margin-bottom:0pt;" dir="ltr"&gt;&amp;#160;&lt;/p&gt;&lt;p style="line- height:1.7999999999999998;text-indent: 56.692913385826756pt;text-align: justify;margin- top:6pt;margin-bottom:0pt;" dir="ltr"&gt;&lt;span style="font-size: 12pt; font-family: &amp;quot;Times New Roman&amp;quot;, serif; background-color: transparent; font-variant-numeric: normal; </w:t>
            </w:r>
            <w:r>
              <w:rPr>
                <w:spacing w:val="-4"/>
                <w:sz w:val="20"/>
              </w:rPr>
              <w:t>font- </w:t>
            </w:r>
            <w:r>
              <w:rPr>
                <w:sz w:val="20"/>
              </w:rPr>
              <w:t>variant-east-asian: normal; font-variant-alternates: normal; font-variant-position: normal; font-variant-emoji: normal; vertical-align: baseline; white-space-collapse: preserve;"&gt;Tampouco merece acolhimento a alegação sustentada em sede de apelação de que merece reforma a condenação de arbitramento de aluguel por se basear exclusivamente na presunção de veracidade dos fatos, porque não foi o que ocorreu. O próprio magistrado&lt;/span&gt;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preserve;"&gt;a quo&lt;/span&gt;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preserve;"&gt;salienta que tal presunção foi considerada relativa e, além disso, os fatos trazidos à baila e elementares à constatação do arbitramento são incontroversos e reconhecidos por ambas as partes nos três processos dos quais menciona.&lt;/span&gt;&lt;/p&gt;&lt;p style="line-height:1.7999999999999998;text-indent: 56.692913385826756pt;text-align: justify;margin-top:12pt;margin-bottom:12pt;" dir="ltr"&gt; &lt;span style="font-size:11pt;font- family:'Times New Roman',serif;color:#000000;background-color:transparent;font- weight:400;font-style:normal;font-variant:normal;text-decoration:none;vertical- align:baseline;white-space:pre;white-space:pre-wrap;"&gt; &lt;span style="background-color: transparent; font-size: 12pt; font-variant-numeric: normal; font-variant-east-asian: normal; font-variant-alternates: normal; font-variant-position: normal; font-variant-emoji: normal; vertical-align: baseline;"&gt;Nesses termos, não merece reforma o&lt;/span&gt; &lt;span style="background-color: transparent; font-size: 12pt; font-style: italic; font-variant-numeric: normal; font-variant-east-asian: normal; font-variant-alternates: normal; font-variant- position: normal; font-variant-emoji: normal; vertical-align: baseline;"&gt;decisum&lt;/span&gt;</w:t>
            </w:r>
          </w:p>
          <w:p>
            <w:pPr>
              <w:pStyle w:val="TableParagraph"/>
              <w:spacing w:line="208" w:lineRule="auto" w:before="0"/>
              <w:ind w:right="90"/>
              <w:rPr>
                <w:sz w:val="20"/>
              </w:rPr>
            </w:pPr>
            <w:r>
              <w:rPr>
                <w:sz w:val="20"/>
              </w:rPr>
              <w:t>&lt;span style="background-color: transparent; font-size: 12pt; font-variant-numeric: normal; font-variant-east-asian: normal; font-variant-alternates: normal; font-variant-position: normal; font-variant-emoji: normal; vertical-align: baseline;"&gt;recorrido, razão pela qual o voto é pela manutenção da sentença em sua integralidade. Reitera-se, neste ponto, que o julgador não está obrigado a responder a todas as questões suscitadas pelas partes, quando já tenha encontrado motivo suficiente para proferir a decisão (STJ. 1ª Seção. EDcl no MS 21.315-DF, Rel. Min. Diva Malerbi, julgado em 8/6/2016 – Info.</w:t>
            </w:r>
          </w:p>
          <w:p>
            <w:pPr>
              <w:pStyle w:val="TableParagraph"/>
              <w:tabs>
                <w:tab w:pos="4874" w:val="left" w:leader="none"/>
              </w:tabs>
              <w:spacing w:line="208" w:lineRule="auto" w:before="0"/>
              <w:ind w:right="252"/>
              <w:rPr>
                <w:sz w:val="20"/>
              </w:rPr>
            </w:pPr>
            <w:r>
              <w:rPr>
                <w:sz w:val="20"/>
              </w:rPr>
              <w:t>585).&lt;/span&gt;&amp;#160;&lt;/span&gt;&lt;/p&gt;&lt;p style="line-height: 1.8; text-indent: 56.6929pt; text- align: center; margin-top: 12pt; margin-bottom: 12pt;" dir="ltr"&gt; &lt;span style="font- size:11pt;font-family:'Times New Roman',serif;color:#000000;background- color:transparent;font-weight:400;font-style:normal;font-variant:normal;text- decoration:none;vertical-align:baseline;white-space:pre;white-space:pre- wrap;"&gt;&amp;#160;&lt;/span&gt; &lt;strong style="font-family: &amp;quot;times new roman&amp;quot;, times; font-size: small; text-align: center; text-indent: 8%;"&gt;</w:t>
              <w:tab/>
              <w:t>&lt;span style="font-size:</w:t>
            </w:r>
            <w:r>
              <w:rPr>
                <w:spacing w:val="-18"/>
                <w:sz w:val="20"/>
              </w:rPr>
              <w:t> </w:t>
            </w:r>
            <w:r>
              <w:rPr>
                <w:sz w:val="20"/>
              </w:rPr>
              <w:t>medium;"&gt;</w:t>
            </w:r>
          </w:p>
          <w:p>
            <w:pPr>
              <w:pStyle w:val="TableParagraph"/>
              <w:spacing w:line="190" w:lineRule="exact" w:before="0"/>
              <w:rPr>
                <w:sz w:val="20"/>
              </w:rPr>
            </w:pPr>
            <w:r>
              <w:rPr>
                <w:sz w:val="20"/>
              </w:rPr>
              <w:t>&lt;span style="font-family: &amp;quot;times new roman&amp;quot;, times;"&gt;DISPOSITIVO&lt;/span&gt;</w:t>
            </w:r>
          </w:p>
          <w:p>
            <w:pPr>
              <w:pStyle w:val="TableParagraph"/>
              <w:spacing w:line="208" w:lineRule="auto" w:before="6"/>
              <w:ind w:right="292"/>
              <w:rPr>
                <w:sz w:val="20"/>
              </w:rPr>
            </w:pPr>
            <w:r>
              <w:rPr>
                <w:sz w:val="20"/>
              </w:rPr>
              <w:t>&lt;/span&gt; &lt;/strong&gt;&lt;/p&gt;&lt;p style="line-height:1.7999999999999998;text-indent: 56.692913385826756pt;text-align: justify;margin-top:6pt;margin-bottom:0pt;" dir="ltr"&gt;&lt;span style="font-size:12pt;font-family:'Times New Roman',serif;color:#000000;background-color:transparent;font-weight:400;font- style:normal;font-variant:normal;text-decoration:none;vertical-align:baseline;white- space:pre;white-space:pre-wrap;"&gt;Diante do que acima foi exposto,&lt;/span&gt; &lt;span style="font-size:12pt;font-family:'Times New Roman',serif;color:#000000;background- color:transparent;font-weight:700;font-style:normal;font-variant:normal;text- decoration:none;vertical-align:baseline;white-space:pre;white-space:pre- wrap;"&gt;CONHEÇO&lt;/span&gt; &lt;span style="font-size:12pt;font-family:'Times New Roman',serif;color:#000000;background-color:transparent;font-weight:400;font- style:normal;font-variant:normal;text-decoration:none;vertical-align:baseline;white- space:pre;white-space:pre-wrap;"&gt;do presente recurso de Apelação para&lt;/span&gt;</w:t>
            </w:r>
            <w:r>
              <w:rPr>
                <w:spacing w:val="2"/>
                <w:sz w:val="20"/>
              </w:rPr>
              <w:t> </w:t>
            </w:r>
            <w:r>
              <w:rPr>
                <w:spacing w:val="-4"/>
                <w:sz w:val="20"/>
              </w:rPr>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0230599-53.2024.8.06.0001</w:t>
            </w:r>
          </w:p>
        </w:tc>
      </w:tr>
      <w:tr>
        <w:trPr>
          <w:trHeight w:val="7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2"/>
              <w:rPr>
                <w:sz w:val="20"/>
              </w:rPr>
            </w:pPr>
            <w:r>
              <w:rPr>
                <w:sz w:val="20"/>
              </w:rPr>
              <w:t>style="font-size:12pt;font-family:'Times New Roman',serif;color:#000000;background- color:transparent;font-weight:700;font-style:normal;font-variant:normal;text- decoration:none;vertical-align:baseline;white-space:pre;white-space:pre-wrap;"&gt;NEGAR- LHE&lt;/span&gt; &lt;span style="font-size:12pt;font-family:'Times New Roman',serif;color:#000000;background-color:transparent;font-weight:400;font- style:normal;font-variant:normal;text-decoration:none;vertical-align:baseline;white- space:pre;white-space:pre-wrap;"&gt;provimento, mantendo a decisão recorrida em todos </w:t>
            </w:r>
            <w:r>
              <w:rPr>
                <w:spacing w:val="-9"/>
                <w:sz w:val="20"/>
              </w:rPr>
              <w:t>os </w:t>
            </w:r>
            <w:r>
              <w:rPr>
                <w:sz w:val="20"/>
              </w:rPr>
              <w:t>seus termos.&lt;/span&gt;&lt;/p&gt;&lt;p style="line-height:1.7999999999999998;text-indent: 56.692913385826756pt;text-align: justify;margin-top:6pt;margin-bottom:0pt;" dir="ltr"&gt;</w:t>
            </w:r>
          </w:p>
          <w:p>
            <w:pPr>
              <w:pStyle w:val="TableParagraph"/>
              <w:spacing w:line="208" w:lineRule="auto" w:before="0"/>
              <w:ind w:right="58"/>
              <w:rPr>
                <w:sz w:val="20"/>
              </w:rPr>
            </w:pPr>
            <w:r>
              <w:rPr>
                <w:sz w:val="20"/>
              </w:rPr>
              <w:t>&lt;span style="font-size:12pt;font-family:'Times New Roman',serif;color:#000000;background-color:transparent;font-weight:400;font- style:normal;font-variant:normal;text-decoration:none;vertical-align:baseline;white- space:pre;white-space:pre-wrap;"&gt;Em atenção ao disposto no art. 85, §11, do Código de Processo Civil, majoro os honorários advocatícios para R$ 1.800,00 (um mil e oitocentos reais), mantendo a suspensão da sua exigibilidade em razão da justiça gratuita deferida em favor da recorrente.&lt;/span&gt;&lt;/p&gt;&lt;p style="line-height:1.7999999999999998;text-indent: 56.692913385826756pt;text-align: justify;margin-top:6pt;margin-bottom:0pt;" dir="ltr"&gt;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60"/>
              <w:rPr>
                <w:sz w:val="20"/>
              </w:rPr>
            </w:pPr>
            <w:r>
              <w:rPr>
                <w:sz w:val="20"/>
              </w:rPr>
              <w:t>&lt;span style="font-size:12pt;font-family:'Times New Roman',serif;color:#000000;background-color:transparent;font-weight:400;font- style:normal;font-variant:normal;text-decoration:none;vertical-align:baseline;white- space:pre;white-space:pre-wrap;"&gt;É como voto.&lt;/span&gt;&lt;/p&gt;&lt;p style="line- height:1.7999999999999998;text-indent: 56.692913385826756pt;text-align: justify;margin- top:6pt;margin-bottom:0pt;" dir="ltr"&gt;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JEANE MARY PINHEIRO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ARTUR RODRIGUES LOURENCO - (CE35633-A)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7491" w:val="left" w:leader="none"/>
              </w:tabs>
              <w:spacing w:line="208" w:lineRule="auto" w:before="0"/>
              <w:ind w:right="39"/>
              <w:rPr>
                <w:sz w:val="20"/>
              </w:rPr>
            </w:pPr>
            <w:r>
              <w:rPr>
                <w:sz w:val="20"/>
              </w:rPr>
              <w:t>JÚNIOR&lt;/strong&gt;&lt;/p&gt;&lt;p style="text-align: center;"&gt;&amp;#160;&lt;/p&gt;&lt;p&gt; &lt;span style="font- size: small;"&gt; &lt;strong&gt;PROCESSO&lt;/strong&gt;:&amp;#160;0201058-98.2024.8.06.0154 - &amp;#160;APELAÇÃO CÍVEL (198)&lt;/span&gt;&lt;/p&gt;&lt;p&gt;  &lt;span style="font-size: small;"&gt;</w:t>
              <w:tab/>
              <w:t>&lt;span style="font-size: small;"&gt;AGRAVANTE: &amp;#160;&amp;#160;&amp;#160;&amp;#160;&amp;#160;&amp;#160;&amp;#160;&amp;#160;&amp;#160;&amp;#160;&amp;#160;&amp;#160;&amp;#16</w:t>
            </w:r>
          </w:p>
          <w:p>
            <w:pPr>
              <w:pStyle w:val="TableParagraph"/>
              <w:tabs>
                <w:tab w:pos="972" w:val="left" w:leader="none"/>
              </w:tabs>
              <w:spacing w:line="208" w:lineRule="auto" w:before="0"/>
              <w:ind w:right="92"/>
              <w:rPr>
                <w:sz w:val="20"/>
              </w:rPr>
            </w:pPr>
            <w:r>
              <w:rPr>
                <w:sz w:val="20"/>
              </w:rPr>
              <w:t>0;&amp;#160;&amp;#160;BANCO DO BRASIL SA&lt;/span&gt; &lt;/span&gt;&lt;/p&gt;&lt;p&gt; &lt;span style="font-size: small;"&gt;</w:t>
              <w:tab/>
              <w:t>&lt;span style="font-size: small;"&gt;AGRAVADO(A):&amp;#160;&amp;#160;&amp;#160;&amp;#160;&amp;#160;&amp;#160;&amp;#160;&amp;#160;&amp;#160;&amp; #160;&amp;#160;&amp;#160;JEANE MARY PINHEIRO DA SILVA&lt;/span&gt;  &lt;/span&gt;&lt;/p&gt;&lt;p&gt;  &lt;span</w:t>
            </w:r>
          </w:p>
          <w:p>
            <w:pPr>
              <w:pStyle w:val="TableParagraph"/>
              <w:tabs>
                <w:tab w:pos="2438" w:val="left" w:leader="none"/>
              </w:tabs>
              <w:spacing w:line="208" w:lineRule="auto" w:before="0"/>
              <w:ind w:right="39"/>
              <w:rPr>
                <w:sz w:val="20"/>
              </w:rPr>
            </w:pPr>
            <w:r>
              <w:rPr>
                <w:sz w:val="20"/>
              </w:rPr>
              <w:t>style="font-size: small;"&gt;</w:t>
              <w:tab/>
              <w:t>&lt;br /&gt; &lt;/span&gt;&lt;/p&gt;&lt;p style="line-height: 1.7999999999999998; margin-left: 36pt; text-align: justify; margin-top: 6pt; margin-bottom: 6pt;" dir="ltr"&gt; &lt;span style="color: #000000; background-color: #ffffff; font-weight: 700; font-style: normal; font- variant: normal; text-decoration: none; vertical-align: baseline; white-space: pre-wrap;"&gt;</w:t>
            </w:r>
          </w:p>
          <w:p>
            <w:pPr>
              <w:pStyle w:val="TableParagraph"/>
              <w:tabs>
                <w:tab w:pos="3155" w:val="left" w:leader="none"/>
              </w:tabs>
              <w:spacing w:line="208" w:lineRule="auto" w:before="0"/>
              <w:ind w:right="111"/>
              <w:rPr>
                <w:sz w:val="20"/>
              </w:rPr>
            </w:pPr>
            <w:r>
              <w:rPr>
                <w:sz w:val="20"/>
              </w:rPr>
              <w:t>&lt;span style="font-size: small;"&gt;</w:t>
              <w:tab/>
              <w:t>&lt;span style="font-size: medium;"&gt;EMENTA: DIREITO BANCÁRIO. AGRAVO INTERNO EM APELAÇÃO CÍVEL JULGADA MONOCRATICAMENTE. AÇÃO DE INDENIZAÇÃO CONTA PASEP. LEGITIMIDADE PASSIVA DO BANCO DO BRASIL. PRESCRIÇÃO. TEMA 1150 DO STJ. PRAZO PRESCRICIONAL DECENAL QUE SE INICIA A PARTIR DO CONHECIMENTO DA OCORRÊNCIA DE IRREGULARIDADE NA CONTA VINCULADA DO PASEP. TERMO INICIAL: ACESSO ÀS MICROFILMAGENS DOS EXTRATOS. NECESSIDADE DE DILAÇÃO PROBATÓRIA. MATÉRIA DE FATO COMPLEXA. IMPRESCINDIBILIDADE </w:t>
            </w:r>
            <w:r>
              <w:rPr>
                <w:spacing w:val="-9"/>
                <w:sz w:val="20"/>
              </w:rPr>
              <w:t>DA </w:t>
            </w:r>
            <w:r>
              <w:rPr>
                <w:sz w:val="20"/>
              </w:rPr>
              <w:t>PROVA PERICIAL. ANULAÇÃO DA SENTENÇA. RETORNO DOS AUTOS À ORIGEM.</w:t>
            </w:r>
          </w:p>
          <w:p>
            <w:pPr>
              <w:pStyle w:val="TableParagraph"/>
              <w:tabs>
                <w:tab w:pos="1550" w:val="left" w:leader="none"/>
                <w:tab w:pos="1907" w:val="left" w:leader="none"/>
                <w:tab w:pos="3362" w:val="left" w:leader="none"/>
                <w:tab w:pos="4307" w:val="left" w:leader="none"/>
                <w:tab w:pos="5021" w:val="left" w:leader="none"/>
                <w:tab w:pos="5608" w:val="left" w:leader="none"/>
                <w:tab w:pos="6169" w:val="left" w:leader="none"/>
              </w:tabs>
              <w:spacing w:line="208" w:lineRule="auto" w:before="0"/>
              <w:ind w:right="26"/>
              <w:rPr>
                <w:sz w:val="20"/>
              </w:rPr>
            </w:pPr>
            <w:r>
              <w:rPr>
                <w:sz w:val="20"/>
              </w:rPr>
              <w:t>RECURSO CONHECIDO E NÃO PROVIDO.&amp;#160;&lt;/span&gt;</w:t>
              <w:tab/>
              <w:t>&lt;/span&gt; &lt;/span&gt;&lt;/p&gt;&lt;p style="line-height: 1.7999999999999998; margin-left: 36pt; text-align: justify; margin-top: 6pt; margin-bottom: 6pt;" dir="ltr"&gt;  &lt;span style="font-size: small;"&gt;</w:t>
              <w:tab/>
              <w:t>&lt;span style="font- size: small;"&gt;</w:t>
              <w:tab/>
              <w:t>&lt;span style="font-size: medium;"&gt;</w:t>
              <w:tab/>
              <w:t>&lt;span style="color: #000000; background-color: #ffffff; font-weight: 700; font-style: normal; font-variant: normal; text- decoration: none; vertical-align: baseline; white-space: pre-wrap;"&gt;I. CASO EM EXAME&lt;/span&gt;</w:t>
              <w:tab/>
              <w:tab/>
              <w:t>&lt;span style="color: #000000; background-color: #ffffff; font-weight: 400; font-style: normal; font-variant: normal; text-decoration: none; vertical-align: baseline; white-space: pre-wrap;"&gt;:&lt;/span&gt;</w:t>
              <w:tab/>
              <w:t>&lt;/span&gt;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2496" w:val="left" w:leader="none"/>
                <w:tab w:pos="3442" w:val="left" w:leader="none"/>
              </w:tabs>
              <w:spacing w:line="208" w:lineRule="auto" w:before="0"/>
              <w:ind w:right="56"/>
              <w:rPr>
                <w:sz w:val="20"/>
              </w:rPr>
            </w:pPr>
            <w:r>
              <w:rPr>
                <w:sz w:val="20"/>
              </w:rPr>
              <w:t>&lt;span style="font-size: medium;"&gt;1. Trata-se de Agravo Interno visando a reforma de decisão monocrática proferida por esta Relatoria que deu provimento ao recurso de Apelação para determinar o regular prosseguimento, no primeiro grau, Juízo da 2ª Vara </w:t>
            </w:r>
            <w:r>
              <w:rPr>
                <w:spacing w:val="-9"/>
                <w:sz w:val="20"/>
              </w:rPr>
              <w:t>da </w:t>
            </w:r>
            <w:r>
              <w:rPr>
                <w:sz w:val="20"/>
              </w:rPr>
              <w:t>Comarca de Quixeramobim-CE, na ação de obrigação de fazer c/c dano moral e material.&amp;#160;&lt;/span&gt;</w:t>
              <w:tab/>
              <w:t>&lt;/span&gt;</w:t>
              <w:tab/>
              <w:t>&lt;/span&gt; &lt;/span&gt;&lt;/p&gt;&lt;p style="line-height: 1.7999999999999998; margin-left: 36pt; text-align: justify; margin-top: 6pt; margin-bottom: 6pt;" dir="ltr"&gt; &lt;span style="color: #000000; background-color: #ffffff; font-weight: 700;</w:t>
            </w:r>
          </w:p>
          <w:p>
            <w:pPr>
              <w:pStyle w:val="TableParagraph"/>
              <w:spacing w:line="205" w:lineRule="exact" w:before="0"/>
              <w:rPr>
                <w:sz w:val="20"/>
              </w:rPr>
            </w:pPr>
            <w:r>
              <w:rPr>
                <w:sz w:val="20"/>
              </w:rPr>
              <w:t>font-style: normal; font-variant: normal; text-decoration: none; vertical-align: baseline; white-</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 w:pos="5055" w:val="left" w:leader="none"/>
              </w:tabs>
              <w:spacing w:line="215" w:lineRule="exact"/>
              <w:rPr>
                <w:sz w:val="20"/>
              </w:rPr>
            </w:pPr>
            <w:r>
              <w:rPr>
                <w:sz w:val="20"/>
              </w:rPr>
              <w:t>space: pre-wrap;"&gt;</w:t>
              <w:tab/>
              <w:t>&lt;span style="font-size: small;"&gt;</w:t>
              <w:tab/>
              <w:t>&lt;span style="font-size: small;"&gt;</w:t>
            </w:r>
          </w:p>
          <w:p>
            <w:pPr>
              <w:pStyle w:val="TableParagraph"/>
              <w:spacing w:line="200" w:lineRule="exact" w:before="0"/>
              <w:rPr>
                <w:sz w:val="20"/>
              </w:rPr>
            </w:pPr>
            <w:r>
              <w:rPr>
                <w:sz w:val="20"/>
              </w:rPr>
              <w:t>&lt;span style="font-size: medium;"&gt;II. QUESTÃO EM DISCUSSÃO:&amp;#160;&lt;/span&gt;</w:t>
            </w:r>
          </w:p>
          <w:p>
            <w:pPr>
              <w:pStyle w:val="TableParagraph"/>
              <w:tabs>
                <w:tab w:pos="985" w:val="left" w:leader="none"/>
                <w:tab w:pos="6553" w:val="left" w:leader="none"/>
              </w:tabs>
              <w:spacing w:line="208" w:lineRule="auto" w:before="9"/>
              <w:ind w:right="53"/>
              <w:rPr>
                <w:sz w:val="20"/>
              </w:rPr>
            </w:pPr>
            <w:r>
              <w:rPr>
                <w:sz w:val="20"/>
              </w:rPr>
              <w:t>&lt;/span&gt;</w:t>
              <w:tab/>
              <w:t>&lt;/span&gt; &lt;/span&gt;&lt;/p&gt;&lt;p style="line-height: 1.7999999999999998; margin-left: 36pt; text-align: justify; margin-top: 6pt; margin-bottom: 6pt;" dir="ltr"&gt; &lt;span style="color: #000000; background-color: #ffffff; font-weight: 400; font-style: normal; font-variant: </w:t>
            </w:r>
            <w:r>
              <w:rPr>
                <w:spacing w:val="-3"/>
                <w:sz w:val="20"/>
              </w:rPr>
              <w:t>normal; </w:t>
            </w:r>
            <w:r>
              <w:rPr>
                <w:sz w:val="20"/>
              </w:rPr>
              <w:t>text-decoration: none; vertical-align: baseline; white-space: pre-wrap;"&gt;</w:t>
              <w:tab/>
              <w:t>&lt;span</w:t>
            </w:r>
          </w:p>
          <w:p>
            <w:pPr>
              <w:pStyle w:val="TableParagraph"/>
              <w:tabs>
                <w:tab w:pos="2549" w:val="left" w:leader="none"/>
                <w:tab w:pos="2660" w:val="left" w:leader="none"/>
                <w:tab w:pos="2719" w:val="left" w:leader="none"/>
                <w:tab w:pos="3664" w:val="left" w:leader="none"/>
                <w:tab w:pos="3862" w:val="left" w:leader="none"/>
                <w:tab w:pos="4998" w:val="left" w:leader="none"/>
                <w:tab w:pos="5776" w:val="left" w:leader="none"/>
                <w:tab w:pos="5943" w:val="left" w:leader="none"/>
                <w:tab w:pos="6978" w:val="left" w:leader="none"/>
              </w:tabs>
              <w:spacing w:line="208" w:lineRule="auto" w:before="0"/>
              <w:ind w:right="23"/>
              <w:rPr>
                <w:sz w:val="20"/>
              </w:rPr>
            </w:pPr>
            <w:r>
              <w:rPr>
                <w:sz w:val="20"/>
              </w:rPr>
              <w:t>style="font-size: small;"&gt;</w:t>
              <w:tab/>
              <w:t>&lt;span style="font-size: small;"&gt;</w:t>
              <w:tab/>
              <w:t>&lt;span style="font-size: medium;"&gt;2. A controvérsia recursal consiste em avaliar se correta a decisão monocrática que deu provimento ao recurso de apelação cível reconhecer a legitimidade do Banco do Brasil para figurar no polo passivo, bem como a competência da justiça comum para julgar o feito; afastar a incidência da prescrição; e determinar o retorno dos autos ao Juízo de origem, para o regular processamento e desenvolvimento da ação judicial conforme a legislação processual civil especialmente para análise e decisão quanto a realização de perícia requerida pela autora, ora agravada.&lt;/span&gt;</w:t>
              <w:tab/>
              <w:t>&lt;/span&gt;</w:t>
              <w:tab/>
              <w:tab/>
              <w:t>&lt;/span&gt; </w:t>
            </w:r>
            <w:r>
              <w:rPr>
                <w:spacing w:val="-2"/>
                <w:sz w:val="20"/>
              </w:rPr>
              <w:t>&lt;/span&gt;&lt;/p&gt;&lt;p </w:t>
            </w:r>
            <w:r>
              <w:rPr>
                <w:sz w:val="20"/>
              </w:rPr>
              <w:t>style="line-height: 1.7999999999999998; margin-left: 36pt; text-align: justify; margin-top: 6pt; margin-bottom: 6pt;" dir="ltr"&gt; &lt;span style="color: #000000; background-color: #ffffff; font-weight: 400; font-style: normal; font-variant: normal; text-decoration: none; vertical- align: baseline; white-space: pre-wrap;"&gt;</w:t>
              <w:tab/>
              <w:tab/>
              <w:t>&lt;span style="font-size: small;"&gt;</w:t>
              <w:tab/>
              <w:t>&lt;span style="font-size: small;"&gt;</w:t>
              <w:tab/>
              <w:tab/>
              <w:t>&lt;span style="font-size: medium;"&gt;3. Necessário destacar que o presente recurso aborda exclusivamente a questão da necessidade de realização de perícia contábil para apurar possíveis desfalques realizados na conta bancária, inexistindo questionamentos acerca do ônus da prova sobre lançamentos a débito nas contas individualizadas do PASEP e se correspondem a pagamentos ao correntista.&amp;#160;&lt;/span&gt;</w:t>
              <w:tab/>
              <w:tab/>
              <w:tab/>
              <w:t>&lt;/span&gt;</w:t>
              <w:tab/>
              <w:t>&lt;/span&gt; &lt;/span&gt;&lt;/p&gt;&lt;p style="line-height: 1.7999999999999998; margin-left: 36pt; text-align: justify; margin-top: 6pt; margin-bottom: 6pt;" dir="ltr"&gt; &lt;span style="color: #000000; background-color: #ffffff; font-weight: 700;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7123" w:val="left" w:leader="none"/>
              </w:tabs>
              <w:spacing w:line="190" w:lineRule="exact" w:before="0"/>
              <w:rPr>
                <w:sz w:val="20"/>
              </w:rPr>
            </w:pPr>
            <w:r>
              <w:rPr>
                <w:sz w:val="20"/>
              </w:rPr>
              <w:t>&lt;span style="font-size: medium;"&gt;&amp;#160;III. RAZÕES DE DECIDIR:&lt;/span&gt;</w:t>
              <w:tab/>
              <w:t>&lt;/span&gt;</w:t>
            </w:r>
          </w:p>
          <w:p>
            <w:pPr>
              <w:pStyle w:val="TableParagraph"/>
              <w:tabs>
                <w:tab w:pos="1550" w:val="left" w:leader="none"/>
                <w:tab w:pos="4776" w:val="left" w:leader="none"/>
                <w:tab w:pos="6164" w:val="left" w:leader="none"/>
                <w:tab w:pos="7233" w:val="left" w:leader="none"/>
              </w:tabs>
              <w:spacing w:line="208" w:lineRule="auto" w:before="8"/>
              <w:ind w:right="85"/>
              <w:rPr>
                <w:sz w:val="20"/>
              </w:rPr>
            </w:pPr>
            <w:r>
              <w:rPr>
                <w:sz w:val="20"/>
              </w:rPr>
              <w:t>&lt;/span&gt; &lt;/span&gt;&lt;/p&gt;&lt;p style="line-height: 1.7999999999999998; margin-left: 36pt; text- align: justify; margin-top: 6pt; margin-bottom: 6pt;" dir="ltr"&gt; &lt;span style="color: #000000; background-color: #ffffff; font-weight: 400; font-style: normal; font-variant: normal; text- decoration: none; vertical-align: baseline; white-space: pre-wrap;"&gt;</w:t>
              <w:tab/>
              <w:t>&lt;span style="font- size: small;"&gt;</w:t>
              <w:tab/>
              <w:t>&lt;span style="font-size: small;"&gt;</w:t>
              <w:tab/>
              <w:t>&lt;span style="font-size: medium;"&gt;4. O STJ já apreciou a questão, possuindo precedente qualificado consubstanciado no </w:t>
            </w:r>
            <w:r>
              <w:rPr>
                <w:spacing w:val="-5"/>
                <w:sz w:val="20"/>
              </w:rPr>
              <w:t>Tema </w:t>
            </w:r>
            <w:r>
              <w:rPr>
                <w:sz w:val="20"/>
              </w:rPr>
              <w:t>1150, fixadas as seguintes teses: i) o Banco do Brasil possui legitimidade passiva ad causam para figurar no polo passivo de demanda na qual se discute eventual falha na prestação do serviço quanto a conta vinculada ao Pasep, saques indevidos e desfalques, além da ausência de aplicação dos rendimentos estabelecidas pelo Conselho Diretor do referido programa; ii) a pretensão ao ressarcimento dos danos havidos em razão dos desfalques em conta individual vinculada ao Pasep se submete ao prazo prescricional decenal previsto pelo artigo 205 do Código Civil; e iii) o termo inicial para a contagem do prazo prescricional é o dia em que o titular, comprovadamente, toma ciência dos desfalques realizados na conta individual vinculada ao Pasep.&amp;#160;&lt;/span&gt;</w:t>
              <w:tab/>
              <w:t>&lt;/span&gt;</w:t>
            </w:r>
          </w:p>
          <w:p>
            <w:pPr>
              <w:pStyle w:val="TableParagraph"/>
              <w:tabs>
                <w:tab w:pos="1550" w:val="left" w:leader="none"/>
                <w:tab w:pos="2597" w:val="left" w:leader="none"/>
                <w:tab w:pos="3542" w:val="left" w:leader="none"/>
                <w:tab w:pos="4776" w:val="left" w:leader="none"/>
                <w:tab w:pos="6164" w:val="left" w:leader="none"/>
              </w:tabs>
              <w:spacing w:line="208" w:lineRule="auto" w:before="0"/>
              <w:ind w:right="42"/>
              <w:rPr>
                <w:sz w:val="20"/>
              </w:rPr>
            </w:pPr>
            <w:r>
              <w:rPr>
                <w:sz w:val="20"/>
              </w:rPr>
              <w:t>&lt;/span&gt; &lt;/span&gt;&lt;/p&gt;&lt;p style="line-height: 1.7999999999999998; margin-left: 36pt; text- align: justify; margin-top: 6pt; margin-bottom: 6pt;" dir="ltr"&gt; &lt;span style="color: #000000; background-color: #ffffff; font-weight: 400; font-style: normal; font-variant: normal; text- decoration: none; vertical-align: baseline; white-space: pre-wrap;"&gt;</w:t>
              <w:tab/>
              <w:t>&lt;span style="font- size: small;"&gt;</w:t>
              <w:tab/>
              <w:t>&lt;span style="font-size: small;"&gt;</w:t>
              <w:tab/>
              <w:t>&lt;span style="font-size: medium;"&gt;5. A pretensão ao ressarcimento de danos decorrentes de desfalques em conta individual vinculada ao PASEP está sujeita ao prazo prescricional decenal, conforme previsto no artigo 205 do Código Civil. O termo inicial para a contagem do prazo prescricional se dá </w:t>
            </w:r>
            <w:r>
              <w:rPr>
                <w:spacing w:val="-9"/>
                <w:sz w:val="20"/>
              </w:rPr>
              <w:t>no </w:t>
            </w:r>
            <w:r>
              <w:rPr>
                <w:sz w:val="20"/>
              </w:rPr>
              <w:t>momento em que o titular, comprovadamente, toma ciência dos desfalques realizados na conta individual, não podendo ser presumido pelo simples saque do benefício.&amp;#160;&lt;/span&gt;</w:t>
              <w:tab/>
              <w:t>&lt;/span&gt;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5343" w:val="left" w:leader="none"/>
                <w:tab w:pos="6288" w:val="left" w:leader="none"/>
              </w:tabs>
              <w:spacing w:line="208" w:lineRule="auto" w:before="0"/>
              <w:ind w:right="30"/>
              <w:rPr>
                <w:sz w:val="20"/>
              </w:rPr>
            </w:pPr>
            <w:r>
              <w:rPr>
                <w:sz w:val="20"/>
              </w:rPr>
              <w:t>&lt;span style="font-size: medium;"&gt;6. Diante da pretensão do autor de ser reparado por danos materiais e morais que alega ter sofrido, em razão de descontos indevidos e ausência de atualização correta dos valores contidos em sua conta vinculada ao PASEP, </w:t>
            </w:r>
            <w:r>
              <w:rPr>
                <w:spacing w:val="-18"/>
                <w:sz w:val="20"/>
              </w:rPr>
              <w:t>a </w:t>
            </w:r>
            <w:r>
              <w:rPr>
                <w:sz w:val="20"/>
              </w:rPr>
              <w:t>contagem do prazo prescricional se iniciou quando o autor teve acesso à microfilmagem dos extratos da sua conta vinculada ao PASEP.&lt;/span&gt;</w:t>
              <w:tab/>
              <w:t>&lt;/span&gt;</w:t>
              <w:tab/>
              <w:t>&lt;/span&gt;</w:t>
            </w:r>
          </w:p>
          <w:p>
            <w:pPr>
              <w:pStyle w:val="TableParagraph"/>
              <w:tabs>
                <w:tab w:pos="1550" w:val="left" w:leader="none"/>
                <w:tab w:pos="4776" w:val="left" w:leader="none"/>
                <w:tab w:pos="6164" w:val="left" w:leader="none"/>
              </w:tabs>
              <w:spacing w:line="208" w:lineRule="auto" w:before="0"/>
              <w:ind w:right="182"/>
              <w:rPr>
                <w:sz w:val="20"/>
              </w:rPr>
            </w:pPr>
            <w:r>
              <w:rPr>
                <w:sz w:val="20"/>
              </w:rPr>
              <w:t>&lt;/span&gt;&lt;/p&gt;&lt;p style="line-height: 1.7999999999999998; margin-left: 36pt; text-align: justify; margin-top: 6pt; margin-bottom: 6pt;" dir="ltr"&gt; &lt;span style="color: #000000; background-color: #ffffff; font-weight: 400; font-style: normal; font-variant: normal; text- decoration: none; vertical-align: baseline; white-space: pre-wrap;"&gt;</w:t>
              <w:tab/>
              <w:t>&lt;span style="font- size: small;"&gt;</w:t>
              <w:tab/>
              <w:t>&lt;span style="font-size: small;"&gt;</w:t>
              <w:tab/>
              <w:t>&lt;span style="font-size: medium;"&gt;7. Analisando os autos, observa-se que a demanda não se encontra em condições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8"/>
              <w:rPr>
                <w:sz w:val="20"/>
              </w:rPr>
            </w:pPr>
            <w:r>
              <w:rPr>
                <w:sz w:val="20"/>
              </w:rPr>
              <w:t>julgamento antecipado, uma vez que a lide trata de questão de fato e não de direito, pois envolve a análise de matéria mais complexa, qual seja, a aplicação da correção monetária e do juros sobre longo período de tempo, pelo que incorreu em erro de procedimento o Juízo de primeiro grau. Dessa forma, sem a realização da perícia técnica não é possível deduzir, de imediato, se houve ou não desfalque nos valores cobrados a título de PASEP e, se ocorreu ou não a observância da correção monetária e dos juros.&amp;#160;&lt;/span&gt;</w:t>
            </w:r>
          </w:p>
          <w:p>
            <w:pPr>
              <w:pStyle w:val="TableParagraph"/>
              <w:tabs>
                <w:tab w:pos="985" w:val="left" w:leader="none"/>
                <w:tab w:pos="6553" w:val="left" w:leader="none"/>
              </w:tabs>
              <w:spacing w:line="208" w:lineRule="auto" w:before="0"/>
              <w:ind w:right="53"/>
              <w:rPr>
                <w:sz w:val="20"/>
              </w:rPr>
            </w:pPr>
            <w:r>
              <w:rPr>
                <w:sz w:val="20"/>
              </w:rPr>
              <w:t>&lt;/span&gt;</w:t>
              <w:tab/>
              <w:t>&lt;/span&gt; &lt;/span&gt;&lt;/p&gt;&lt;p style="line-height: 1.7999999999999998; margin-left: 36pt; text-align: justify; margin-top: 6pt; margin-bottom: 6pt;" dir="ltr"&gt; &lt;span style="color: #000000; background-color: #ffffff; font-weight: 400; font-style: normal; font-variant: </w:t>
            </w:r>
            <w:r>
              <w:rPr>
                <w:spacing w:val="-3"/>
                <w:sz w:val="20"/>
              </w:rPr>
              <w:t>normal; </w:t>
            </w:r>
            <w:r>
              <w:rPr>
                <w:sz w:val="20"/>
              </w:rPr>
              <w:t>text-decoration: none; vertical-align: baseline; white-space: pre-wrap;"&gt;</w:t>
              <w:tab/>
              <w:t>&lt;span</w:t>
            </w:r>
          </w:p>
          <w:p>
            <w:pPr>
              <w:pStyle w:val="TableParagraph"/>
              <w:tabs>
                <w:tab w:pos="2549" w:val="left" w:leader="none"/>
                <w:tab w:pos="2963" w:val="left" w:leader="none"/>
                <w:tab w:pos="3908" w:val="left" w:leader="none"/>
                <w:tab w:pos="5776" w:val="left" w:leader="none"/>
              </w:tabs>
              <w:spacing w:line="208" w:lineRule="auto" w:before="0"/>
              <w:ind w:right="152"/>
              <w:rPr>
                <w:sz w:val="20"/>
              </w:rPr>
            </w:pPr>
            <w:r>
              <w:rPr>
                <w:sz w:val="20"/>
              </w:rPr>
              <w:t>style="font-size: small;"&gt;</w:t>
              <w:tab/>
              <w:t>&lt;span style="font-size: small;"&gt;</w:t>
              <w:tab/>
              <w:t>&lt;span style="font-size: medium;"&gt;8. Diante da imprescindibilidade da instrução probatória, impõe-se a anulação da sentença e a devolução dos autos ao Juízo de origem para o devido processamento e posterior julgamento.&lt;/span&gt;</w:t>
              <w:tab/>
              <w:t>&lt;/span&gt;</w:t>
              <w:tab/>
              <w:t>&lt;/span&gt; &lt;/span&gt;&lt;/p&gt;&lt;p style="line-height: 1.7999999999999998; margin-left: 36pt; text-align: justify; margin-top: 6pt; margin-bottom: 6pt;" dir="ltr"&gt; &lt;span style="color: #000000; background-color: #ffffff; font-weight: 700;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5756" w:val="left" w:leader="none"/>
                <w:tab w:pos="6701" w:val="left" w:leader="none"/>
              </w:tabs>
              <w:spacing w:line="190" w:lineRule="exact" w:before="0"/>
              <w:rPr>
                <w:sz w:val="20"/>
              </w:rPr>
            </w:pPr>
            <w:r>
              <w:rPr>
                <w:sz w:val="20"/>
              </w:rPr>
              <w:t>&lt;span style="font-size: medium;"&gt;IV. DISPOSITIVO:&lt;/span&gt;</w:t>
              <w:tab/>
              <w:t>&lt;/span&gt;</w:t>
              <w:tab/>
              <w:t>&lt;/span&gt;</w:t>
            </w:r>
          </w:p>
          <w:p>
            <w:pPr>
              <w:pStyle w:val="TableParagraph"/>
              <w:tabs>
                <w:tab w:pos="1550" w:val="left" w:leader="none"/>
                <w:tab w:pos="4776" w:val="left" w:leader="none"/>
                <w:tab w:pos="6164" w:val="left" w:leader="none"/>
                <w:tab w:pos="6877" w:val="left" w:leader="none"/>
              </w:tabs>
              <w:spacing w:line="208" w:lineRule="auto" w:before="9"/>
              <w:ind w:right="182"/>
              <w:rPr>
                <w:sz w:val="20"/>
              </w:rPr>
            </w:pPr>
            <w:r>
              <w:rPr>
                <w:sz w:val="20"/>
              </w:rPr>
              <w:t>&lt;/span&gt;&lt;/p&gt;&lt;p style="line-height: 1.7999999999999998; margin-left: 36pt; text-align: justify; margin-top: 6pt; margin-bottom: 6pt;" dir="ltr"&gt; &lt;span style="color: #000000; background-color: #ffffff; font-weight: 400; font-style: normal; font-variant: normal; text- decoration: none; vertical-align: baseline; white-space: pre-wrap;"&gt;</w:t>
              <w:tab/>
              <w:t>&lt;span style="font- size: small;"&gt;</w:t>
              <w:tab/>
              <w:t>&lt;span style="font-size: small;"&gt;</w:t>
              <w:tab/>
              <w:t>&lt;span style="font-size: medium;"&gt;9. Recurso conhecido e não provido. Decisão monocrática mantida.&lt;/span&gt;</w:t>
              <w:tab/>
              <w:t>&lt;/span&gt;</w:t>
            </w:r>
          </w:p>
          <w:p>
            <w:pPr>
              <w:pStyle w:val="TableParagraph"/>
              <w:tabs>
                <w:tab w:pos="1216" w:val="left" w:leader="none"/>
                <w:tab w:pos="1339" w:val="left" w:leader="none"/>
                <w:tab w:pos="4676" w:val="left" w:leader="none"/>
                <w:tab w:pos="7300" w:val="left" w:leader="none"/>
              </w:tabs>
              <w:spacing w:line="208" w:lineRule="auto" w:before="0"/>
              <w:ind w:right="23"/>
              <w:rPr>
                <w:sz w:val="20"/>
              </w:rPr>
            </w:pPr>
            <w:r>
              <w:rPr>
                <w:sz w:val="20"/>
              </w:rPr>
              <w:t>&lt;/span&gt; &lt;/span&gt;&lt;/p&gt;&lt;p style="text-indent: 8%; text-align: justify;"&gt; &lt;span style="font-size: medium;"&gt;</w:t>
              <w:tab/>
              <w:t>&lt;span style="font-family: &amp;quot;times new roman&amp;quot;, times;"&gt;</w:t>
              <w:tab/>
              <w:t>&lt;strong id="docs-internal-guid-947102a9-7fff-8566-0d3c-8154aee46b85" style="font-weight: normal;"&gt;</w:t>
              <w:tab/>
              <w:tab/>
              <w:t>&lt;span style="font-size: small;"&gt;</w:t>
              <w:tab/>
              <w:t>&lt;span style="font-size: small;"&gt;</w:t>
            </w:r>
          </w:p>
          <w:p>
            <w:pPr>
              <w:pStyle w:val="TableParagraph"/>
              <w:tabs>
                <w:tab w:pos="3844" w:val="left" w:leader="none"/>
                <w:tab w:pos="5145" w:val="left" w:leader="none"/>
                <w:tab w:pos="6445" w:val="left" w:leader="none"/>
                <w:tab w:pos="7746" w:val="left" w:leader="none"/>
              </w:tabs>
              <w:spacing w:line="190" w:lineRule="exact" w:before="0"/>
              <w:rPr>
                <w:sz w:val="20"/>
              </w:rPr>
            </w:pPr>
            <w:r>
              <w:rPr>
                <w:sz w:val="20"/>
              </w:rPr>
              <w:t>&lt;span style="font-size: medium;"&gt;</w:t>
              <w:tab/>
              <w:t>&lt;br /&gt;</w:t>
              <w:tab/>
              <w:t>&lt;br /&gt;</w:t>
              <w:tab/>
              <w:t>&lt;br /&gt;</w:t>
              <w:tab/>
              <w:t>&lt;br</w:t>
            </w:r>
          </w:p>
          <w:p>
            <w:pPr>
              <w:pStyle w:val="TableParagraph"/>
              <w:tabs>
                <w:tab w:pos="879" w:val="left" w:leader="none"/>
                <w:tab w:pos="2157" w:val="left" w:leader="none"/>
                <w:tab w:pos="3324" w:val="left" w:leader="none"/>
                <w:tab w:pos="4381" w:val="left" w:leader="none"/>
                <w:tab w:pos="5448" w:val="left" w:leader="none"/>
              </w:tabs>
              <w:spacing w:line="208" w:lineRule="auto" w:before="8"/>
              <w:ind w:right="31"/>
              <w:rPr>
                <w:sz w:val="20"/>
              </w:rPr>
            </w:pPr>
            <w:r>
              <w:rPr>
                <w:sz w:val="20"/>
              </w:rPr>
              <w:t>/&gt;</w:t>
              <w:tab/>
              <w:t>&lt;/span&gt;</w:t>
              <w:tab/>
              <w:t>&lt;/span&gt;</w:t>
              <w:tab/>
              <w:t>&lt;/span&gt;</w:t>
              <w:tab/>
              <w:t>&lt;/strong&gt;</w:t>
              <w:tab/>
              <w:t>&lt;/span&gt; &lt;/span&gt;&lt;/p&gt;&lt;p style="line-height: 1.7999999999999998; text-align: center; margin-top: 6pt; margin-bottom: 6pt;" dir="ltr"&gt; &lt;span style="color: #000000; background-color: #ffffff; font-weight: 700;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5134" w:val="left" w:leader="none"/>
                <w:tab w:pos="6079" w:val="left" w:leader="none"/>
              </w:tabs>
              <w:spacing w:line="190" w:lineRule="exact" w:before="0"/>
              <w:rPr>
                <w:sz w:val="20"/>
              </w:rPr>
            </w:pPr>
            <w:r>
              <w:rPr>
                <w:sz w:val="20"/>
              </w:rPr>
              <w:t>&lt;span style="font-size: medium;"&gt;ACÓRDÃO&lt;/span&gt;</w:t>
              <w:tab/>
              <w:t>&lt;/span&gt;</w:t>
              <w:tab/>
              <w:t>&lt;/span&gt;</w:t>
            </w:r>
          </w:p>
          <w:p>
            <w:pPr>
              <w:pStyle w:val="TableParagraph"/>
              <w:spacing w:line="208" w:lineRule="auto" w:before="10"/>
              <w:ind w:right="415"/>
              <w:rPr>
                <w:sz w:val="20"/>
              </w:rPr>
            </w:pPr>
            <w:r>
              <w:rPr>
                <w:sz w:val="20"/>
              </w:rPr>
              <w:t>&lt;/span&gt;&lt;/p&gt;&lt;p style="line-height: 1.7999999999999998; margin-left: 36pt; text-align: justify; margin-top: 6pt; margin-bottom: 6pt;" dir="ltr"&gt;  &lt;span style="font-size:</w:t>
            </w:r>
            <w:r>
              <w:rPr>
                <w:spacing w:val="6"/>
                <w:sz w:val="20"/>
              </w:rPr>
              <w:t> </w:t>
            </w:r>
            <w:r>
              <w:rPr>
                <w:spacing w:val="-3"/>
                <w:sz w:val="20"/>
              </w:rPr>
              <w:t>small;"&gt;</w:t>
            </w:r>
          </w:p>
          <w:p>
            <w:pPr>
              <w:pStyle w:val="TableParagraph"/>
              <w:tabs>
                <w:tab w:pos="3155" w:val="left" w:leader="none"/>
                <w:tab w:pos="6515" w:val="left" w:leader="none"/>
              </w:tabs>
              <w:spacing w:line="208" w:lineRule="auto" w:before="0"/>
              <w:ind w:right="287"/>
              <w:rPr>
                <w:sz w:val="20"/>
              </w:rPr>
            </w:pPr>
            <w:r>
              <w:rPr>
                <w:sz w:val="20"/>
              </w:rPr>
              <w:t>&lt;span style="font-size: small;"&gt;</w:t>
              <w:tab/>
              <w:t>&lt;span style="font-size: medium;"&gt;</w:t>
              <w:tab/>
              <w:t>&lt;span style="color: #000000; background-color: #ffffff; font-weight: 400; font-style: normal; </w:t>
            </w:r>
            <w:r>
              <w:rPr>
                <w:spacing w:val="-4"/>
                <w:sz w:val="20"/>
              </w:rPr>
              <w:t>font- </w:t>
            </w:r>
            <w:r>
              <w:rPr>
                <w:sz w:val="20"/>
              </w:rPr>
              <w:t>variant: normal; text-decoration: none; vertical-align: baseline; white-space: pre- wrap;"&gt;Vistos, relatados e discutidos estes autos, acorda a Quinta Câmara de Direito Privado Tribunal de Justiça do Estado do Ceará, por unanimidade em&amp;#160;&lt;/span&gt;</w:t>
            </w:r>
          </w:p>
          <w:p>
            <w:pPr>
              <w:pStyle w:val="TableParagraph"/>
              <w:tabs>
                <w:tab w:pos="6421" w:val="left" w:leader="none"/>
                <w:tab w:pos="6996" w:val="left" w:leader="none"/>
              </w:tabs>
              <w:spacing w:line="208" w:lineRule="auto" w:before="0"/>
              <w:ind w:right="137"/>
              <w:rPr>
                <w:sz w:val="20"/>
              </w:rPr>
            </w:pPr>
            <w:r>
              <w:rPr>
                <w:sz w:val="20"/>
              </w:rPr>
              <w:t>&lt;span style="color: #000000; background-color: #ffffff; font-weight: 700; font-style: </w:t>
            </w:r>
            <w:r>
              <w:rPr>
                <w:spacing w:val="-3"/>
                <w:sz w:val="20"/>
              </w:rPr>
              <w:t>normal; </w:t>
            </w:r>
            <w:r>
              <w:rPr>
                <w:sz w:val="20"/>
              </w:rPr>
              <w:t>font-variant: normal; text-decoration: none; vertical-align: baseline; white-space: pre- wrap;"&gt;CONHECER do recurso para NEGAR-LHE PROVIMENTO&lt;/span&gt;</w:t>
              <w:tab/>
              <w:t>&lt;span style="color: #000000; background-color: #ffffff; font-weight: 400; font-style: normal; font- variant: normal; text-decoration: none; vertical-align: baseline; white-space: pre-wrap;"&gt;, nos termos do voto do relator, parte integrante deste.&lt;/span&gt;&lt;/span&gt;</w:t>
              <w:tab/>
              <w:t>&lt;/span&gt;</w:t>
            </w:r>
          </w:p>
          <w:p>
            <w:pPr>
              <w:pStyle w:val="TableParagraph"/>
              <w:tabs>
                <w:tab w:pos="1550" w:val="left" w:leader="none"/>
                <w:tab w:pos="4776" w:val="left" w:leader="none"/>
                <w:tab w:pos="5408" w:val="left" w:leader="none"/>
                <w:tab w:pos="6164" w:val="left" w:leader="none"/>
                <w:tab w:pos="6353" w:val="left" w:leader="none"/>
              </w:tabs>
              <w:spacing w:line="208" w:lineRule="auto" w:before="0"/>
              <w:ind w:right="383"/>
              <w:rPr>
                <w:sz w:val="20"/>
              </w:rPr>
            </w:pPr>
            <w:r>
              <w:rPr>
                <w:sz w:val="20"/>
              </w:rPr>
              <w:t>&lt;/span&gt;&lt;/p&gt;&lt;p style="line-height: 1.7999999999999998; margin-left: 36pt; text-align: justify; margin-top: 6pt; margin-bottom: 6pt;" dir="ltr"&gt; &lt;span style="color: #000000; background-color: #ffffff; font-weight: 400; font-style: normal; font-variant: normal; text- decoration: none; vertical-align: baseline; white-space: pre-wrap;"&gt;</w:t>
              <w:tab/>
              <w:t>&lt;span </w:t>
            </w:r>
            <w:r>
              <w:rPr>
                <w:spacing w:val="-2"/>
                <w:sz w:val="20"/>
              </w:rPr>
              <w:t>style="font- </w:t>
            </w:r>
            <w:r>
              <w:rPr>
                <w:sz w:val="20"/>
              </w:rPr>
              <w:t>size: small;"&gt;</w:t>
              <w:tab/>
              <w:t>&lt;span style="font-size: small;"&gt;</w:t>
              <w:tab/>
              <w:t>&lt;span style="font-size: medium;"&gt;Fortaleza, data registrada no sistema.&lt;/span&gt;</w:t>
              <w:tab/>
              <w:t>&lt;/span&gt;</w:t>
              <w:tab/>
              <w:tab/>
              <w:t>&lt;/span&gt;</w:t>
            </w:r>
          </w:p>
          <w:p>
            <w:pPr>
              <w:pStyle w:val="TableParagraph"/>
              <w:tabs>
                <w:tab w:pos="1661" w:val="left" w:leader="none"/>
                <w:tab w:pos="1951" w:val="left" w:leader="none"/>
                <w:tab w:pos="2896" w:val="left" w:leader="none"/>
                <w:tab w:pos="3329" w:val="left" w:leader="none"/>
                <w:tab w:pos="6444" w:val="left" w:leader="none"/>
              </w:tabs>
              <w:spacing w:line="208" w:lineRule="auto" w:before="0"/>
              <w:ind w:right="25"/>
              <w:rPr>
                <w:sz w:val="20"/>
              </w:rPr>
            </w:pPr>
            <w:r>
              <w:rPr>
                <w:sz w:val="20"/>
              </w:rPr>
              <w:t>&lt;/span&gt;&lt;/p&gt;&lt;p style="line-height: 1.7999999999999998; text-align: center; margin-top: </w:t>
            </w:r>
            <w:r>
              <w:rPr>
                <w:spacing w:val="-5"/>
                <w:sz w:val="20"/>
              </w:rPr>
              <w:t>6pt; </w:t>
            </w:r>
            <w:r>
              <w:rPr>
                <w:sz w:val="20"/>
              </w:rPr>
              <w:t>margin-bottom: 6pt;" dir="ltr"&gt; &lt;span style="color: #000000; background-color: #ffffff; font- weight: 700; font-style: normal; font-variant: normal; text-decoration: none; vertical-align: baseline; white-space: pre-wrap;"&gt;</w:t>
              <w:tab/>
              <w:t>&lt;span style="font-size: small;"&gt;</w:t>
              <w:tab/>
              <w:t>&lt;span style="font- size: small;"&gt;</w:t>
              <w:tab/>
              <w:t>&lt;span style="font-size: medium;"&gt;MARIA REGINA OLIVEIRA CÂMARA&lt;/span&gt;</w:t>
              <w:tab/>
              <w:tab/>
              <w:t>&lt;/span&gt;</w:t>
              <w:tab/>
              <w:t>&lt;/span&gt; &lt;/span&gt;&lt;/p&gt;&lt;p style="line-height: 1.7999999999999998; text-align: center; margin-top: 6pt; margin-bottom: 6pt;" dir="ltr"&gt;</w:t>
            </w:r>
          </w:p>
          <w:p>
            <w:pPr>
              <w:pStyle w:val="TableParagraph"/>
              <w:tabs>
                <w:tab w:pos="939" w:val="left" w:leader="none"/>
                <w:tab w:pos="4054" w:val="left" w:leader="none"/>
                <w:tab w:pos="6185" w:val="left" w:leader="none"/>
                <w:tab w:pos="7130" w:val="left" w:leader="none"/>
                <w:tab w:pos="7281" w:val="left" w:leader="none"/>
              </w:tabs>
              <w:spacing w:line="208" w:lineRule="auto" w:before="0"/>
              <w:ind w:right="137"/>
              <w:rPr>
                <w:sz w:val="20"/>
              </w:rPr>
            </w:pPr>
            <w:r>
              <w:rPr>
                <w:sz w:val="20"/>
              </w:rPr>
              <w:t>&lt;span style="color: #000000; background-color: #ffffff; font-weight: 400; font-style: </w:t>
            </w:r>
            <w:r>
              <w:rPr>
                <w:spacing w:val="-3"/>
                <w:sz w:val="20"/>
              </w:rPr>
              <w:t>normal; </w:t>
            </w:r>
            <w:r>
              <w:rPr>
                <w:sz w:val="20"/>
              </w:rPr>
              <w:t>font-variant: normal; text-decoration: none; vertical-align: baseline; white-space: pre- wrap;"&gt;</w:t>
              <w:tab/>
              <w:t>&lt;span style="font-size: small;"&gt;</w:t>
              <w:tab/>
              <w:t>&lt;span style="font-size: small;"&gt;</w:t>
              <w:tab/>
              <w:tab/>
              <w:t>&lt;span style="font-size: medium;"&gt;Presidente do Órgão Julgador&lt;/span&gt;</w:t>
              <w:tab/>
              <w:t>&lt;/span&gt;</w:t>
              <w:tab/>
              <w:t>&lt;/span&gt;</w:t>
            </w:r>
          </w:p>
          <w:p>
            <w:pPr>
              <w:pStyle w:val="TableParagraph"/>
              <w:tabs>
                <w:tab w:pos="1216" w:val="left" w:leader="none"/>
                <w:tab w:pos="1883" w:val="left" w:leader="none"/>
                <w:tab w:pos="3027" w:val="left" w:leader="none"/>
                <w:tab w:pos="5688" w:val="left" w:leader="none"/>
                <w:tab w:pos="6365" w:val="left" w:leader="none"/>
                <w:tab w:pos="6877" w:val="left" w:leader="none"/>
                <w:tab w:pos="7300" w:val="left" w:leader="none"/>
              </w:tabs>
              <w:spacing w:line="208" w:lineRule="auto" w:before="0"/>
              <w:ind w:right="179"/>
              <w:rPr>
                <w:sz w:val="20"/>
              </w:rPr>
            </w:pPr>
            <w:r>
              <w:rPr>
                <w:sz w:val="20"/>
              </w:rPr>
              <w:t>&lt;/span&gt;&lt;/p&gt;&lt;p style="text-indent: 8%; text-align: justify;"&gt; &lt;span style="font-size: medium;"&gt;</w:t>
              <w:tab/>
              <w:t>&lt;span style="font-family: &amp;quot;times new roman&amp;quot;, times;"&gt;</w:t>
              <w:tab/>
            </w:r>
            <w:r>
              <w:rPr>
                <w:spacing w:val="-3"/>
                <w:sz w:val="20"/>
              </w:rPr>
              <w:t>&lt;strong </w:t>
            </w:r>
            <w:r>
              <w:rPr>
                <w:sz w:val="20"/>
              </w:rPr>
              <w:t>style="font-weight: normal;"&gt;</w:t>
              <w:tab/>
              <w:t>&lt;span style="font-size: small;"&gt;</w:t>
              <w:tab/>
              <w:t>&lt;span </w:t>
            </w:r>
            <w:r>
              <w:rPr>
                <w:spacing w:val="-2"/>
                <w:sz w:val="20"/>
              </w:rPr>
              <w:t>style="font- </w:t>
            </w:r>
            <w:r>
              <w:rPr>
                <w:sz w:val="20"/>
              </w:rPr>
              <w:t>size: small;"&gt;</w:t>
              <w:tab/>
              <w:t>&lt;span style="font-size: medium;"&gt;</w:t>
              <w:tab/>
              <w:t>&lt;br /&gt;</w:t>
              <w:tab/>
              <w:tab/>
              <w: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07" w:val="left" w:leader="none"/>
                <w:tab w:pos="2263" w:val="left" w:leader="none"/>
                <w:tab w:pos="3330" w:val="left" w:leader="none"/>
              </w:tabs>
              <w:spacing w:line="208" w:lineRule="auto" w:before="26"/>
              <w:ind w:right="384"/>
              <w:rPr>
                <w:sz w:val="20"/>
              </w:rPr>
            </w:pPr>
            <w:r>
              <w:rPr>
                <w:sz w:val="20"/>
              </w:rPr>
              <w:t>&lt;/span&gt;</w:t>
              <w:tab/>
              <w:t>&lt;/span&gt;</w:t>
              <w:tab/>
              <w:t>&lt;/strong&gt;</w:t>
              <w:tab/>
              <w:t>&lt;/span&gt; &lt;/span&gt;&lt;/p&gt;&lt;p style="line-height: 1.7999999999999998; text-align: center; margin-top: 6pt; margin-bottom: 6pt;"</w:t>
            </w:r>
            <w:r>
              <w:rPr>
                <w:spacing w:val="-17"/>
                <w:sz w:val="20"/>
              </w:rPr>
              <w:t> </w:t>
            </w:r>
            <w:r>
              <w:rPr>
                <w:sz w:val="20"/>
              </w:rPr>
              <w:t>dir="ltr"&gt;</w:t>
            </w:r>
          </w:p>
          <w:p>
            <w:pPr>
              <w:pStyle w:val="TableParagraph"/>
              <w:tabs>
                <w:tab w:pos="939" w:val="left" w:leader="none"/>
                <w:tab w:pos="4054" w:val="left" w:leader="none"/>
                <w:tab w:pos="7281" w:val="left" w:leader="none"/>
              </w:tabs>
              <w:spacing w:line="208" w:lineRule="auto" w:before="0"/>
              <w:ind w:right="137"/>
              <w:rPr>
                <w:sz w:val="20"/>
              </w:rPr>
            </w:pPr>
            <w:r>
              <w:rPr>
                <w:sz w:val="20"/>
              </w:rPr>
              <w:t>&lt;span style="color: #000000; background-color: #ffffff; font-weight: 700; font-style: </w:t>
            </w:r>
            <w:r>
              <w:rPr>
                <w:spacing w:val="-3"/>
                <w:sz w:val="20"/>
              </w:rPr>
              <w:t>normal; </w:t>
            </w:r>
            <w:r>
              <w:rPr>
                <w:sz w:val="20"/>
              </w:rPr>
              <w:t>font-variant: normal; text-decoration: none; vertical-align: baseline; white-space: pre- wrap;"&gt;</w:t>
              <w:tab/>
              <w:t>&lt;span style="font-size: small;"&gt;</w:t>
              <w:tab/>
              <w:t>&lt;span style="font-size: small;"&gt;</w:t>
              <w:tab/>
              <w:t>&lt;span style="font-size: medium;"&gt;FRANCISCO LUCÍDIO DE QUEIROZ JUNIOR&lt;/span&gt;</w:t>
            </w:r>
          </w:p>
          <w:p>
            <w:pPr>
              <w:pStyle w:val="TableParagraph"/>
              <w:tabs>
                <w:tab w:pos="985" w:val="left" w:leader="none"/>
                <w:tab w:pos="1339" w:val="left" w:leader="none"/>
                <w:tab w:pos="1550" w:val="left" w:leader="none"/>
                <w:tab w:pos="4185" w:val="left" w:leader="none"/>
                <w:tab w:pos="4676" w:val="left" w:leader="none"/>
                <w:tab w:pos="4776" w:val="left" w:leader="none"/>
                <w:tab w:pos="5130" w:val="left" w:leader="none"/>
                <w:tab w:pos="5517" w:val="left" w:leader="none"/>
                <w:tab w:pos="6164" w:val="left" w:leader="none"/>
                <w:tab w:pos="7121" w:val="left" w:leader="none"/>
              </w:tabs>
              <w:spacing w:line="208" w:lineRule="auto" w:before="0"/>
              <w:ind w:right="274"/>
              <w:rPr>
                <w:sz w:val="20"/>
              </w:rPr>
            </w:pPr>
            <w:r>
              <w:rPr>
                <w:sz w:val="20"/>
              </w:rPr>
              <w:t>&lt;/span&gt;</w:t>
              <w:tab/>
              <w:t>&lt;/span&gt; &lt;/span&gt;&lt;/p&gt;&lt;p style="line-height: 1.7999999999999998; text-align: center; margin-top: 6pt; margin-bottom: 6pt;" dir="ltr"&gt; &lt;span style="color: #000000; background-color: #ffffff; font-weight: 400; font-style: normal; font-variant: normal; text- decoration: none; vertical-align: baseline; white-space: pre-wrap;"&gt;</w:t>
              <w:tab/>
              <w:t>&lt;span style="font- size: small;"&gt;</w:t>
              <w:tab/>
              <w:tab/>
              <w:t>&lt;span style="font-size: small;"&gt;</w:t>
              <w:tab/>
              <w:tab/>
              <w:t>&lt;span style="font-size: medium;"&gt;Desembargador Relator&lt;/span&gt;</w:t>
              <w:tab/>
              <w:t>&lt;/span&gt;</w:t>
              <w:tab/>
              <w:t>&lt;/span&gt; &lt;/span&gt;&lt;/p&gt;&lt;p style="text-indent: 8%; text-align: justify;"&gt;  &lt;span style="font-size: medium;"&gt;</w:t>
              <w:tab/>
              <w:t>&lt;span style="font-family: &amp;quot;times new roman&amp;quot;, times;"&gt;</w:t>
              <w:tab/>
              <w:t>&lt;strong style="font-weight: normal;"&gt;</w:t>
              <w:tab/>
              <w:tab/>
              <w:t>&lt;span style="font-size: small;"&gt;</w:t>
              <w:tab/>
              <w:tab/>
              <w:t>&lt;span style="font-size: small;"&gt;</w:t>
            </w:r>
          </w:p>
          <w:p>
            <w:pPr>
              <w:pStyle w:val="TableParagraph"/>
              <w:tabs>
                <w:tab w:pos="3844" w:val="left" w:leader="none"/>
                <w:tab w:pos="5033" w:val="left" w:leader="none"/>
                <w:tab w:pos="6312" w:val="left" w:leader="none"/>
              </w:tabs>
              <w:spacing w:line="190" w:lineRule="exact" w:before="0"/>
              <w:rPr>
                <w:sz w:val="20"/>
              </w:rPr>
            </w:pPr>
            <w:r>
              <w:rPr>
                <w:sz w:val="20"/>
              </w:rPr>
              <w:t>&lt;span style="font-size: medium;"&gt;</w:t>
              <w:tab/>
              <w:t>&lt;br /&gt;</w:t>
              <w:tab/>
              <w:t>&lt;/span&gt;</w:t>
              <w:tab/>
              <w:t>&lt;/span&gt;</w:t>
            </w:r>
          </w:p>
          <w:p>
            <w:pPr>
              <w:pStyle w:val="TableParagraph"/>
              <w:tabs>
                <w:tab w:pos="972" w:val="left" w:leader="none"/>
                <w:tab w:pos="1096" w:val="left" w:leader="none"/>
                <w:tab w:pos="2163" w:val="left" w:leader="none"/>
                <w:tab w:pos="2518" w:val="left" w:leader="none"/>
                <w:tab w:pos="4087" w:val="left" w:leader="none"/>
                <w:tab w:pos="5852" w:val="left" w:leader="none"/>
                <w:tab w:pos="6797" w:val="left" w:leader="none"/>
                <w:tab w:pos="7559" w:val="left" w:leader="none"/>
              </w:tabs>
              <w:spacing w:line="208" w:lineRule="auto" w:before="9"/>
              <w:ind w:right="43"/>
              <w:rPr>
                <w:sz w:val="20"/>
              </w:rPr>
            </w:pPr>
            <w:r>
              <w:rPr>
                <w:sz w:val="20"/>
              </w:rPr>
              <w:t>&lt;/span&gt;</w:t>
              <w:tab/>
              <w:tab/>
              <w:t>&lt;/strong&gt;</w:t>
              <w:tab/>
              <w:t>&lt;/span&gt; &lt;/span&gt;&lt;/p&gt;&lt;p style="line-height: 1.7999999999999998; text-align: center; margin-top: 6pt; margin-bottom: 6pt;" dir="ltr"&gt; &lt;span style="font-size: small;"&gt;</w:t>
              <w:tab/>
              <w:t>&lt;span style="font-size: small;"&gt;</w:t>
              <w:tab/>
              <w:t>&lt;span style="font-size: medium;"&gt;</w:t>
              <w:tab/>
            </w:r>
            <w:r>
              <w:rPr>
                <w:spacing w:val="-4"/>
                <w:sz w:val="20"/>
              </w:rPr>
              <w:t>&lt;span </w:t>
            </w:r>
            <w:r>
              <w:rPr>
                <w:sz w:val="20"/>
              </w:rPr>
              <w:t>style="color: #000000; background-color: transparent; font-weight: 700; font-style: italic; font-variant: normal; text-decoration: none; vertical-align: baseline; white-space: pre- wrap;"&gt;&amp;#160;&lt;/span&gt;</w:t>
              <w:tab/>
              <w:tab/>
              <w:t>&lt;span style="color: #000000; background-color: transparent; font-weight: 700; font-style: normal; font-variant: normal; text-decoration: none; vertical- align: baseline; white-space: pre-wrap;"&gt;RELATÓRIO&lt;/span&gt;</w:t>
              <w:tab/>
              <w:t>&lt;/span&gt;</w:t>
              <w:tab/>
              <w:t>&lt;/span&gt;</w:t>
            </w:r>
          </w:p>
          <w:p>
            <w:pPr>
              <w:pStyle w:val="TableParagraph"/>
              <w:spacing w:line="208" w:lineRule="auto" w:before="0"/>
              <w:ind w:right="415"/>
              <w:rPr>
                <w:sz w:val="20"/>
              </w:rPr>
            </w:pPr>
            <w:r>
              <w:rPr>
                <w:sz w:val="20"/>
              </w:rPr>
              <w:t>&lt;/span&gt;&lt;/p&gt;&lt;p style="line-height: 1.7999999999999998; text-indent: 57pt; text-align: justify; margin-top: 6pt; margin-bottom: 6pt;" dir="ltr"&gt;  &lt;span style="font-size:</w:t>
            </w:r>
            <w:r>
              <w:rPr>
                <w:spacing w:val="6"/>
                <w:sz w:val="20"/>
              </w:rPr>
              <w:t> </w:t>
            </w:r>
            <w:r>
              <w:rPr>
                <w:spacing w:val="-3"/>
                <w:sz w:val="20"/>
              </w:rPr>
              <w:t>small;"&gt;</w:t>
            </w:r>
          </w:p>
          <w:p>
            <w:pPr>
              <w:pStyle w:val="TableParagraph"/>
              <w:tabs>
                <w:tab w:pos="3155" w:val="left" w:leader="none"/>
                <w:tab w:pos="6626" w:val="left" w:leader="none"/>
                <w:tab w:pos="7454" w:val="left" w:leader="none"/>
              </w:tabs>
              <w:spacing w:line="208" w:lineRule="auto" w:before="0"/>
              <w:ind w:right="52"/>
              <w:rPr>
                <w:sz w:val="20"/>
              </w:rPr>
            </w:pPr>
            <w:r>
              <w:rPr>
                <w:sz w:val="20"/>
              </w:rPr>
              <w:t>&lt;span style="font-size: small;"&gt;</w:t>
              <w:tab/>
              <w:t>&lt;span style="font-size: medium;"&gt;</w:t>
              <w:tab/>
              <w:t>&lt;span style="color: #000000; background-color: transparent; font-weight: 700; font-style: normal; font-variant: normal; text-decoration: none; vertical-align: baseline; white-space: pre- wrap;"&gt;Cuida-se de Agravo Interno interposto pelo promovido/apelado&lt;/span&gt;</w:t>
              <w:tab/>
              <w:t>&lt;span style="color: #000000; background-color: transparent; font-weight: 400; font-style: normal; font-variant: normal; text-decoration: none; vertical-align: baseline; white-space: pre- wrap;"&gt;, ID&amp;#160; 27735967, requerendo a reconsideração da decisão monocrática proferida por este Relator e, caso não se entenda desta forma, pede a remessa do </w:t>
            </w:r>
            <w:r>
              <w:rPr>
                <w:spacing w:val="-3"/>
                <w:sz w:val="20"/>
              </w:rPr>
              <w:t>recurso </w:t>
            </w:r>
            <w:r>
              <w:rPr>
                <w:sz w:val="20"/>
              </w:rPr>
              <w:t>a Órgão Colegiado, a fim de proceder a reforma da decisão, ora agravada.&lt;/span&gt;</w:t>
            </w:r>
          </w:p>
          <w:p>
            <w:pPr>
              <w:pStyle w:val="TableParagraph"/>
              <w:spacing w:line="208" w:lineRule="auto" w:before="0"/>
              <w:ind w:right="246"/>
              <w:jc w:val="both"/>
              <w:rPr>
                <w:sz w:val="20"/>
              </w:rPr>
            </w:pPr>
            <w:r>
              <w:rPr>
                <w:sz w:val="20"/>
              </w:rPr>
              <w:t>&lt;/span&gt; &lt;/span&gt; &lt;/span&gt;&lt;/p&gt;&lt;p style="line-height: 1.7999999999999998; </w:t>
            </w:r>
            <w:r>
              <w:rPr>
                <w:spacing w:val="-2"/>
                <w:sz w:val="20"/>
              </w:rPr>
              <w:t>text-indent: </w:t>
            </w:r>
            <w:r>
              <w:rPr>
                <w:sz w:val="20"/>
              </w:rPr>
              <w:t>57pt; text-align: justify; margin-top: 6pt; margin-bottom: 6pt;" dir="ltr"&gt; &lt;span style="font- size: small;"&gt; &lt;span style="font-size: small;"&gt; &lt;span style="font-size: medium;"&gt;</w:t>
            </w:r>
          </w:p>
          <w:p>
            <w:pPr>
              <w:pStyle w:val="TableParagraph"/>
              <w:tabs>
                <w:tab w:pos="2794" w:val="left" w:leader="none"/>
                <w:tab w:pos="3151" w:val="left" w:leader="none"/>
                <w:tab w:pos="3287" w:val="left" w:leader="none"/>
                <w:tab w:pos="3430" w:val="left" w:leader="none"/>
                <w:tab w:pos="3675" w:val="left" w:leader="none"/>
                <w:tab w:pos="4380" w:val="left" w:leader="none"/>
                <w:tab w:pos="5842" w:val="left" w:leader="none"/>
                <w:tab w:pos="6697" w:val="left" w:leader="none"/>
                <w:tab w:pos="7495" w:val="left" w:leader="none"/>
              </w:tabs>
              <w:spacing w:line="208" w:lineRule="auto" w:before="0"/>
              <w:ind w:right="32"/>
              <w:rPr>
                <w:sz w:val="20"/>
              </w:rPr>
            </w:pPr>
            <w:r>
              <w:rPr>
                <w:sz w:val="20"/>
              </w:rPr>
              <w:t>&lt;span style="color: #000000; background-color: transparent; font-weight: 400; font-style: normal; font-variant: normal; text-decoration: none; vertical-align: baseline; white-space: pre-wrap;"&gt;Devidamente intimada, a autora/apelante&lt;/span&gt;</w:t>
              <w:tab/>
              <w:t>&lt;span style="color: #000000; background-color: transparent; font-weight: 700; font-style: normal; font-variant: normal; text-decoration: none; vertical-align: baseline; white-space: pre-wrap;"&gt;não apresentou contrarrazões&lt;/span&gt;</w:t>
              <w:tab/>
              <w:tab/>
              <w:tab/>
              <w:t>&lt;span style="color: #000000; background-color: transparent; font-weight: 400; font-style: normal; font-variant: normal; text-decoration: none; vertical-align: baseline; white-space: pre-wrap;"&gt;ao Agravo Interno conforme certidão de </w:t>
            </w:r>
            <w:r>
              <w:rPr>
                <w:spacing w:val="-9"/>
                <w:sz w:val="20"/>
              </w:rPr>
              <w:t>ID </w:t>
            </w:r>
            <w:r>
              <w:rPr>
                <w:sz w:val="20"/>
              </w:rPr>
              <w:t>27971248.&amp;#160;&lt;/span&gt;&lt;/span&gt;</w:t>
              <w:tab/>
              <w:tab/>
              <w:t>&lt;/span&gt; &lt;/span&gt;&lt;/p&gt;&lt;p style="line-height: 1.7999999999999998; text-indent: 57pt; text-align: justify; margin-top: 6pt; margin-bottom: 6pt;" dir="ltr"&gt;  &lt;span style="font-size: small;"&gt;</w:t>
              <w:tab/>
              <w:t>&lt;span style="font-size: small;"&gt;</w:t>
              <w:tab/>
              <w:t>&lt;span style="font-size: medium;"&gt;</w:t>
              <w:tab/>
              <w:t>&lt;span style="color: #000000; background-color: transparent; font-weight: 400; font-style: normal; font-variant: normal; text-decoration: none; vertical-align: baseline; white-space: pre-wrap;"&gt;Para uma melhor compreensão, faço uma retrospectiva, quando temos&lt;/span&gt;</w:t>
              <w:tab/>
              <w:tab/>
              <w:tab/>
              <w:t>&lt;span style="color: #000000; background-color: transparent; font-weight: 700; font-style: normal; font-variant: normal; text-decoration: none; vertical-align: baseline; white-space: pre-wrap;"&gt;Apelação Cíve&lt;/span&gt;</w:t>
              <w:tab/>
              <w:t>&lt;span style="color: #000000; background-color: transparent; font-weight: 400; font-style: normal; font-variant: normal; text-decoration: none; vertical-align: baseline; white-space: pre- wrap;"&gt;l interposta por&lt;/span&gt;</w:t>
              <w:tab/>
              <w:tab/>
              <w:t>&lt;span style="color: #000000; background-color: transparent; font-weight: 700; font-style: normal; font-variant: normal; text-decoration: none; vertical-align: baseline; white-space: pre-wrap;"&gt;Jeane Mary Pinheiro da Silva&lt;/span&gt;</w:t>
            </w:r>
          </w:p>
          <w:p>
            <w:pPr>
              <w:pStyle w:val="TableParagraph"/>
              <w:tabs>
                <w:tab w:pos="4075" w:val="left" w:leader="none"/>
                <w:tab w:pos="5198" w:val="left" w:leader="none"/>
              </w:tabs>
              <w:spacing w:line="208" w:lineRule="auto" w:before="0"/>
              <w:ind w:right="53"/>
              <w:rPr>
                <w:sz w:val="20"/>
              </w:rPr>
            </w:pPr>
            <w:r>
              <w:rPr>
                <w:sz w:val="20"/>
              </w:rPr>
              <w:t>&lt;span style="color: #000000; background-color: transparent; font-weight: 400; font-style: normal; font-variant: normal; text-decoration: none; vertical-align: baseline; white-space: pre-wrap;"&gt;, visando à reforma da sentença proferida pelo Juízo da 2ª Vara da Comarca de Quixeramobim, que julgou improcedente a&lt;/span&gt;</w:t>
              <w:tab/>
              <w:t>&lt;span style="color: #000000; background-color: transparent; font-weight: 700; font-style: normal; font-variant: normal; text-decoration: none; vertical-align: baseline; white-space: pre-wrap;"&gt;Ação de Indenização por Danos Materiais&lt;/span&gt;</w:t>
              <w:tab/>
              <w:t>&lt;span style="color: #000000; background- color: transparent; font-weight: 400; font-style: normal; font-variant: normal; text-decoration: none; vertical-align: baseline; white-space: pre-wrap;"&gt;proposta em desfavor do&lt;/span&gt;</w:t>
            </w:r>
          </w:p>
          <w:p>
            <w:pPr>
              <w:pStyle w:val="TableParagraph"/>
              <w:spacing w:line="205" w:lineRule="exact" w:before="0"/>
              <w:rPr>
                <w:sz w:val="20"/>
              </w:rPr>
            </w:pPr>
            <w:r>
              <w:rPr>
                <w:sz w:val="20"/>
              </w:rPr>
              <w:t>&lt;span style="color: #000000; background-color: transparent; font-weight: 700; font-style:</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194" w:val="left" w:leader="none"/>
                <w:tab w:pos="1327" w:val="left" w:leader="none"/>
                <w:tab w:pos="1941" w:val="left" w:leader="none"/>
                <w:tab w:pos="2041" w:val="left" w:leader="none"/>
                <w:tab w:pos="2252" w:val="left" w:leader="none"/>
                <w:tab w:pos="2408" w:val="left" w:leader="none"/>
                <w:tab w:pos="2438" w:val="left" w:leader="none"/>
                <w:tab w:pos="2473" w:val="left" w:leader="none"/>
                <w:tab w:pos="2794" w:val="left" w:leader="none"/>
                <w:tab w:pos="2886" w:val="left" w:leader="none"/>
                <w:tab w:pos="2986" w:val="left" w:leader="none"/>
                <w:tab w:pos="3608" w:val="left" w:leader="none"/>
                <w:tab w:pos="3907" w:val="left" w:leader="none"/>
                <w:tab w:pos="3964" w:val="left" w:leader="none"/>
                <w:tab w:pos="4380" w:val="left" w:leader="none"/>
                <w:tab w:pos="4553" w:val="left" w:leader="none"/>
                <w:tab w:pos="4629" w:val="left" w:leader="none"/>
                <w:tab w:pos="5032" w:val="left" w:leader="none"/>
                <w:tab w:pos="5102" w:val="left" w:leader="none"/>
                <w:tab w:pos="5553" w:val="left" w:leader="none"/>
                <w:tab w:pos="5588" w:val="left" w:leader="none"/>
                <w:tab w:pos="6286" w:val="left" w:leader="none"/>
                <w:tab w:pos="7495" w:val="left" w:leader="none"/>
              </w:tabs>
              <w:spacing w:line="208" w:lineRule="auto" w:before="26"/>
              <w:ind w:right="24"/>
              <w:rPr>
                <w:sz w:val="20"/>
              </w:rPr>
            </w:pPr>
            <w:r>
              <w:rPr>
                <w:sz w:val="20"/>
              </w:rPr>
              <w:t>normal; font-variant: normal; text-decoration: none; vertical-align: baseline; white-space: pre-wrap;"&gt;Banco do Brasil S/A&lt;/span&gt;</w:t>
              <w:tab/>
              <w:tab/>
              <w:t>&lt;span style="color: #000000; background- color: transparent; font-weight: 400; font-style: normal; font-variant: normal; text-decoration: none; vertical-align: baseline; white-space: pre-wrap;"&gt;, ambos qualificados e representados nos autos.&lt;/span&gt;&lt;/span&gt;</w:t>
              <w:tab/>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ab/>
              <w:tab/>
              <w:t>&lt;span style="font-size: small;"&gt;</w:t>
              <w:tab/>
              <w:tab/>
              <w:t>&lt;span style="font-size: small;"&gt;</w:t>
              <w:tab/>
              <w:t>&lt;span style="font-size: medium;"&gt;Após regular tramitação do feito, como já registrado, o douto Juiz a quo julgou improcedentes os pedidos da autora, extinguindo a demanda com resolução do mérito, nos termos do art. 487, I do CPC, ID 19717979.&lt;/span&gt;</w:t>
              <w:tab/>
              <w:tab/>
              <w:t>&lt;/span&gt;</w:t>
              <w:tab/>
              <w:tab/>
              <w:tab/>
              <w:t>&lt;/span&gt; &lt;/span&gt;&lt;/p&gt;&lt;p style="line-height: 1.7999999999999998; text-indent: 57pt; text-align: justify; margin-top: 6pt; margin-bottom: 6pt;" dir="ltr"&gt;  &lt;span style="font-size: small;"&gt;</w:t>
              <w:tab/>
              <w:t>&lt;span style="font-size: small;"&gt;</w:t>
              <w:tab/>
              <w:t>&lt;span style="font-size: medium;"&gt;</w:t>
              <w:tab/>
              <w:tab/>
              <w:t>&lt;span style="color: #000000; background-color: transparent; font-weight: 700; font-style: normal; font-variant: normal; text-decoration: none; vertical-align: baseline; white-space: pre-wrap;"&gt;Apelação&lt;/span&gt;</w:t>
              <w:tab/>
              <w:t>&lt;span style="color: #000000; background-color: transparent; font-weight: 400; font-style: normal; font-variant: normal; text-decoration: none; vertical-align: baseline; white-space: pre-wrap;"&gt;de ID 19717982, na qual a promovente aduz que “&lt;/span&gt;</w:t>
              <w:tab/>
              <w:t>&lt;span style="color: #000000; background-color: transparent; font-weight: 400; font-style: italic; font-variant: normal; text- decoration: none; vertical-align: baseline; white-space: pre-wrap;"&gt;Diante da natureza complexa do caso, que envolve mudanças de moeda e incidência de diversos índices de correção monetária, se faz necessária a realização de perícia contábil para análise dos cálculos apresentados pelo autor, pedido que foi indeferido pelo juízo de piso.”.&lt;/span&gt;&lt;/span&gt;</w:t>
              <w:tab/>
              <w:tab/>
              <w:t>&lt;/span&gt; &lt;/span&gt;&lt;/p&gt;&lt;p style="line-height: 1.7999999999999998; text-indent: 57pt; text-align: justify; margin-top: 6pt; margin-bottom: 6pt;" dir="ltr"&gt; &lt;span style="font-size: small;"&gt;</w:t>
              <w:tab/>
              <w:tab/>
              <w:tab/>
              <w:t>&lt;span style="font-size: small;"&gt;</w:t>
              <w:tab/>
              <w:t>&lt;span style="font-size: medium;"&gt;</w:t>
              <w:tab/>
              <w:tab/>
              <w:t>&lt;span style="color: #000000; background-color: transparent; font-weight: 700; font-style: normal; font-variant: normal; text-decoration: none; vertical-align: baseline; white-space: pre-wrap;"&gt;Contrarrazões&lt;/span&gt;</w:t>
              <w:tab/>
              <w:tab/>
              <w:tab/>
              <w:t>&lt;span style="color: #000000; background-color: transparent; font-weight: 400; font-style: normal; font-variant: normal; text-decoration: none; vertical-align: baseline; white-space: pre-wrap;"&gt;alegando, ID 19717987, preliminarmente, a ilegitimidade passiva do Banco do Brasil, a incompetência absoluta da justiça comum e a prescrição decenal. No mérito, prestigiou o julgado.&lt;/span&gt;&lt;/span&gt;</w:t>
              <w:tab/>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ab/>
              <w:tab/>
              <w:t>&lt;span style="font-size: small;"&gt;</w:t>
              <w:tab/>
              <w:tab/>
              <w:t>&lt;span style="font-size: small;"&gt;</w:t>
              <w:tab/>
              <w:t>&lt;span style="font-size: medium;"&gt;Autos remetidos e distribuídos em segunda instância.&lt;/span&gt;</w:t>
              <w:tab/>
              <w:t>&lt;/span&gt;</w:t>
              <w:tab/>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ab/>
              <w:tab/>
              <w:t>&lt;span style="font-size: small;"&gt;</w:t>
              <w:tab/>
              <w:tab/>
              <w:t>&lt;span style="font-size: small;"&gt;</w:t>
              <w:tab/>
              <w:t>&lt;span style="font-size: medium;"&gt;Considerando tratar-se de demanda com interesse meramente patrimonial, deixei de remeter os autos à Procuradoria de Justiça, nos termos da Resolução nº 047/2018, do Órgão Especial do Colégio de Procuradores de Justiça do Estado do Ceará.&lt;/span&gt;</w:t>
              <w:tab/>
              <w:t>&lt;/span&gt;</w:t>
              <w:tab/>
              <w:tab/>
              <w:t>&lt;/span&gt; &lt;/span&gt;&lt;/p&gt;&lt;p style="line- height: 1.7999999999999998; text-indent: 57pt; text-align: justify; margin-top: 6pt; margin- bottom: 6pt;" dir="ltr"&gt;  &lt;span style="font-size: small;"&gt;</w:t>
              <w:tab/>
              <w:tab/>
              <w:t>&lt;span style="font-size: small;"&gt;</w:t>
            </w:r>
          </w:p>
          <w:p>
            <w:pPr>
              <w:pStyle w:val="TableParagraph"/>
              <w:tabs>
                <w:tab w:pos="2241" w:val="left" w:leader="none"/>
                <w:tab w:pos="3400" w:val="left" w:leader="none"/>
                <w:tab w:pos="4252" w:val="left" w:leader="none"/>
                <w:tab w:pos="6030" w:val="left" w:leader="none"/>
                <w:tab w:pos="7120"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pre-wrap;"&gt;&amp;#160;&lt;/span&gt;</w:t>
              <w:tab/>
              <w:t>&lt;span style="color: #000000; background-color: transparent; font-weight: 700; font-style: normal; font-variant: normal; text-decoration: none; vertical-align: baseline; white-space: pre-wrap;"&gt;Decisão monocrática&lt;/span&gt;</w:t>
              <w:tab/>
              <w:t>&lt;span style="color: #000000; background-color: transparent; font- weight: 400; font-style: normal; font-variant: normal; text-decoration: none; vertical-align: baseline; white-space: pre-wrap;"&gt;proferida por este Relator&amp;#160;&lt;/span&gt;</w:t>
              <w:tab/>
              <w:t>&lt;span style="color: #000000; background-color: transparent; font-weight: 700; font-style: normal; font-variant: normal; text-decoration: none; vertical-align: baseline; white-space: pre- wrap;"&gt;dando provimento ao apelo&lt;/span&gt;</w:t>
              <w:tab/>
              <w:t>&lt;span style="color: #000000; background- color: transparent; font-weight: 400; font-style: normal; font-variant: normal; text-decoration: none; vertical-align: baseline; white-space: pre-wrap;"&gt;para reformar a sentença de origem e&amp;#160; A) reconhecer a legitimidade do Banco do Brasil para figurar no polo passivo, bem como a competência da justiça comum para julgar o feito; B) afastar a incidência da prescrição; C) determinar o retorno dos autos ao Juízo de origem, para o regular processamento e desenvolvimento da ação judicial conforme a legislação processual civil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661" w:val="left" w:leader="none"/>
                <w:tab w:pos="3329" w:val="left" w:leader="none"/>
                <w:tab w:pos="4821" w:val="left" w:leader="none"/>
                <w:tab w:pos="6444" w:val="left" w:leader="none"/>
                <w:tab w:pos="6878" w:val="left" w:leader="none"/>
              </w:tabs>
              <w:spacing w:line="208" w:lineRule="auto" w:before="26"/>
              <w:ind w:right="18"/>
              <w:rPr>
                <w:sz w:val="20"/>
              </w:rPr>
            </w:pPr>
            <w:r>
              <w:rPr>
                <w:sz w:val="20"/>
              </w:rPr>
              <w:t>especialmente para análise e decisão quanto a realização de perícia requerida pela </w:t>
            </w:r>
            <w:r>
              <w:rPr>
                <w:spacing w:val="-3"/>
                <w:sz w:val="20"/>
              </w:rPr>
              <w:t>autora, </w:t>
            </w:r>
            <w:r>
              <w:rPr>
                <w:sz w:val="20"/>
              </w:rPr>
              <w:t>ora apelante , ID&amp;#160; 26602824.&lt;/span&gt;&lt;/span&gt;</w:t>
              <w:tab/>
              <w:t>&lt;/span&gt; &lt;/span&gt;&lt;/p&gt;&lt;p style="line- height: 1.7999999999999998;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style="font- size: small;"&gt;</w:t>
              <w:tab/>
              <w:t>&lt;span style="font-size: medium;"&gt;É o relatório.&lt;/span&gt;</w:t>
              <w:tab/>
              <w:t>&lt;/span&gt;</w:t>
            </w:r>
          </w:p>
          <w:p>
            <w:pPr>
              <w:pStyle w:val="TableParagraph"/>
              <w:tabs>
                <w:tab w:pos="5119" w:val="left" w:leader="none"/>
              </w:tabs>
              <w:spacing w:line="208" w:lineRule="auto" w:before="0"/>
              <w:ind w:right="53"/>
              <w:rPr>
                <w:sz w:val="20"/>
              </w:rPr>
            </w:pPr>
            <w:r>
              <w:rPr>
                <w:sz w:val="20"/>
              </w:rPr>
              <w:t>&lt;/span&gt; &lt;/span&gt;&lt;/p&gt;&lt;p style="line-height: 1.7999999999999998; text-align: center; margin-top: 6pt; margin-bottom: 6pt;" dir="ltr"&gt; &lt;span style="color: #000000; background- color: transparent; font-weight: 700; font-style: normal; font-variant: normal; text-decoration: none; vertical-align: baseline; white-space: pre-wrap;"&gt;</w:t>
              <w:tab/>
              <w:t>&lt;span style="font-size: small;"&gt;</w:t>
            </w:r>
          </w:p>
          <w:p>
            <w:pPr>
              <w:pStyle w:val="TableParagraph"/>
              <w:tabs>
                <w:tab w:pos="3266" w:val="left" w:leader="none"/>
              </w:tabs>
              <w:spacing w:line="190" w:lineRule="exact" w:before="0"/>
              <w:rPr>
                <w:sz w:val="20"/>
              </w:rPr>
            </w:pPr>
            <w:r>
              <w:rPr>
                <w:sz w:val="20"/>
              </w:rPr>
              <w:t>&lt;span style="font-size: small;"&gt;</w:t>
              <w:tab/>
              <w:t>&lt;span style="font-size: medium;"&gt;VOTO&lt;/span&gt;</w:t>
            </w:r>
          </w:p>
          <w:p>
            <w:pPr>
              <w:pStyle w:val="TableParagraph"/>
              <w:tabs>
                <w:tab w:pos="985" w:val="left" w:leader="none"/>
              </w:tabs>
              <w:spacing w:line="208" w:lineRule="auto" w:before="9"/>
              <w:ind w:right="246"/>
              <w:rPr>
                <w:sz w:val="20"/>
              </w:rPr>
            </w:pPr>
            <w:r>
              <w:rPr>
                <w:sz w:val="20"/>
              </w:rPr>
              <w:t>&lt;/span&gt;</w:t>
              <w:tab/>
              <w:t>&lt;/span&gt; &lt;/span&gt;&lt;/p&gt;&lt;p style="line-height: 1.7999999999999998; </w:t>
            </w:r>
            <w:r>
              <w:rPr>
                <w:spacing w:val="-2"/>
                <w:sz w:val="20"/>
              </w:rPr>
              <w:t>text-indent: </w:t>
            </w:r>
            <w:r>
              <w:rPr>
                <w:sz w:val="20"/>
              </w:rPr>
              <w:t>56.692913385826756pt; text-align: justify; margin-top: 6pt; margin-bottom: 6pt;"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small;"&gt;</w:t>
              <w:tab/>
              <w:t>&lt;span style="font-size: small;"&gt;</w:t>
            </w:r>
          </w:p>
          <w:p>
            <w:pPr>
              <w:pStyle w:val="TableParagraph"/>
              <w:tabs>
                <w:tab w:pos="5912" w:val="left" w:leader="none"/>
                <w:tab w:pos="6857" w:val="left" w:leader="none"/>
              </w:tabs>
              <w:spacing w:line="190" w:lineRule="exact" w:before="0"/>
              <w:rPr>
                <w:sz w:val="20"/>
              </w:rPr>
            </w:pPr>
            <w:r>
              <w:rPr>
                <w:sz w:val="20"/>
              </w:rPr>
              <w:t>&lt;span style="font-size: medium;"&gt;ADMISSIBILIDADE:&lt;/span&gt;</w:t>
              <w:tab/>
              <w:t>&lt;/span&gt;</w:t>
              <w:tab/>
              <w:t>&lt;/span&gt;</w:t>
            </w:r>
          </w:p>
          <w:p>
            <w:pPr>
              <w:pStyle w:val="TableParagraph"/>
              <w:spacing w:line="208" w:lineRule="auto" w:before="10"/>
              <w:ind w:right="244"/>
              <w:rPr>
                <w:sz w:val="20"/>
              </w:rPr>
            </w:pPr>
            <w:r>
              <w:rPr>
                <w:sz w:val="20"/>
              </w:rPr>
              <w:t>&lt;/span&gt;&lt;/p&gt;&lt;p style="line-height: 1.7999999999999998; text-indent: 56.692913385826756pt; text-align: justify; margin-top: 6pt; margin-bottom: 6pt;"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small;"&gt;</w:t>
            </w:r>
          </w:p>
          <w:p>
            <w:pPr>
              <w:pStyle w:val="TableParagraph"/>
              <w:tabs>
                <w:tab w:pos="7076" w:val="left" w:leader="none"/>
              </w:tabs>
              <w:spacing w:line="208" w:lineRule="auto" w:before="0"/>
              <w:ind w:right="138"/>
              <w:rPr>
                <w:sz w:val="20"/>
              </w:rPr>
            </w:pPr>
            <w:r>
              <w:rPr>
                <w:sz w:val="20"/>
              </w:rPr>
              <w:t>&lt;span style="font-size: medium;"&gt;Conheço do recurso interposto, porquanto presentes </w:t>
            </w:r>
            <w:r>
              <w:rPr>
                <w:spacing w:val="-9"/>
                <w:sz w:val="20"/>
              </w:rPr>
              <w:t>os </w:t>
            </w:r>
            <w:r>
              <w:rPr>
                <w:sz w:val="20"/>
              </w:rPr>
              <w:t>pressupostos intrínsecos e extrínsecos de admissibilidade recursal.&lt;/span&gt;</w:t>
              <w:tab/>
              <w:t>&lt;/span&gt;</w:t>
            </w:r>
          </w:p>
          <w:p>
            <w:pPr>
              <w:pStyle w:val="TableParagraph"/>
              <w:tabs>
                <w:tab w:pos="2549" w:val="left" w:leader="none"/>
                <w:tab w:pos="3595" w:val="left" w:leader="none"/>
                <w:tab w:pos="4540" w:val="left" w:leader="none"/>
                <w:tab w:pos="5102" w:val="left" w:leader="none"/>
                <w:tab w:pos="5776" w:val="left" w:leader="none"/>
                <w:tab w:pos="6553" w:val="left" w:leader="none"/>
              </w:tabs>
              <w:spacing w:line="208" w:lineRule="auto" w:before="0"/>
              <w:ind w:right="174"/>
              <w:rPr>
                <w:sz w:val="20"/>
              </w:rPr>
            </w:pPr>
            <w:r>
              <w:rPr>
                <w:sz w:val="20"/>
              </w:rPr>
              <w:t>&lt;/span&gt; &lt;/span&gt;&lt;/p&gt;&lt;p style="line-height: 1.7999999999999998; text-indent: 57pt; text- align: justify; margin-top: 6pt; margin-bottom: 6pt;" dir="ltr"&gt; &lt;span style="color: #000000; background-color: transparent; font-weight: 700; font-style: normal; font-variant: normal; text-decoration: none; vertical-align: baseline; white-space: pre-wrap;"&gt;</w:t>
              <w:tab/>
              <w:t>&lt;span style="font-size: small;"&gt;</w:t>
              <w:tab/>
              <w:t>&lt;span style="font-size: small;"&gt;</w:t>
              <w:tab/>
              <w:t>&lt;span style="font-size: medium;"&gt;PRELIMINARES:&lt;/span&gt;</w:t>
              <w:tab/>
              <w:t>&lt;/span&gt;</w:t>
              <w:tab/>
              <w:t>&lt;/span&gt; &lt;/span&gt;&lt;/p&gt;&lt;p style="line- height: 1.7999999999999998; text-indent: 57pt; text-align: justify; margin-top: 6pt; </w:t>
            </w:r>
            <w:r>
              <w:rPr>
                <w:spacing w:val="-3"/>
                <w:sz w:val="20"/>
              </w:rPr>
              <w:t>margin- </w:t>
            </w:r>
            <w:r>
              <w:rPr>
                <w:sz w:val="20"/>
              </w:rPr>
              <w:t>bottom: 6pt;" dir="ltr"&gt;  &lt;span style="font-size: small;"&gt;</w:t>
              <w:tab/>
              <w:t>&lt;span style="font-size: small;"&gt;</w:t>
            </w:r>
          </w:p>
          <w:p>
            <w:pPr>
              <w:pStyle w:val="TableParagraph"/>
              <w:tabs>
                <w:tab w:pos="3511" w:val="left" w:leader="none"/>
                <w:tab w:pos="3575" w:val="left" w:leader="none"/>
                <w:tab w:pos="5452" w:val="left" w:leader="none"/>
                <w:tab w:pos="6397" w:val="left" w:leader="none"/>
              </w:tabs>
              <w:spacing w:line="208" w:lineRule="auto" w:before="0"/>
              <w:ind w:right="42"/>
              <w:rPr>
                <w:sz w:val="20"/>
              </w:rPr>
            </w:pPr>
            <w:r>
              <w:rPr>
                <w:sz w:val="20"/>
              </w:rPr>
              <w:t>&lt;span style="font-size: medium;"&gt;</w:t>
              <w:tab/>
              <w:t>&lt;span style="color: #000000; background-color: transparent; font-weight: 700; font-style: normal; font-variant: normal; text-decoration: </w:t>
            </w:r>
            <w:r>
              <w:rPr>
                <w:spacing w:val="-4"/>
                <w:sz w:val="20"/>
              </w:rPr>
              <w:t>none; </w:t>
            </w:r>
            <w:r>
              <w:rPr>
                <w:sz w:val="20"/>
              </w:rPr>
              <w:t>vertical-align: baseline; white-space: pre-wrap;"&gt;Ilegitimidade passiva, incompetência absoluta da justiça comum&lt;/span&gt;</w:t>
              <w:tab/>
              <w:tab/>
              <w:t>&lt;span style="color: #000000; background-color: transparent; font-weight: 400; font-style: normal; font-variant: normal; text-decoration: </w:t>
            </w:r>
            <w:r>
              <w:rPr>
                <w:spacing w:val="-4"/>
                <w:sz w:val="20"/>
              </w:rPr>
              <w:t>none; </w:t>
            </w:r>
            <w:r>
              <w:rPr>
                <w:sz w:val="20"/>
              </w:rPr>
              <w:t>vertical-align: baseline; white-space: pre-wrap;"&gt;:&lt;/span&gt;</w:t>
              <w:tab/>
              <w:t>&lt;/span&gt;</w:t>
              <w:tab/>
              <w:t>&lt;/span&gt;</w:t>
            </w:r>
          </w:p>
          <w:p>
            <w:pPr>
              <w:pStyle w:val="TableParagraph"/>
              <w:tabs>
                <w:tab w:pos="2549" w:val="left" w:leader="none"/>
                <w:tab w:pos="5642" w:val="left" w:leader="none"/>
                <w:tab w:pos="5776" w:val="left" w:leader="none"/>
                <w:tab w:pos="6553" w:val="left" w:leader="none"/>
                <w:tab w:pos="6587" w:val="left" w:leader="none"/>
              </w:tabs>
              <w:spacing w:line="208" w:lineRule="auto" w:before="0"/>
              <w:ind w:right="274"/>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ab/>
              <w:t>&lt;span style="font-size: medium;"&gt;Sabe-se que uma das condições da ação centra-se na legitimidade de parte, que se refere ao aspecto subjetivo da relação jurídica processual. Ao abordar o </w:t>
            </w:r>
            <w:r>
              <w:rPr>
                <w:spacing w:val="-3"/>
                <w:sz w:val="20"/>
              </w:rPr>
              <w:t>conceito </w:t>
            </w:r>
            <w:r>
              <w:rPr>
                <w:sz w:val="20"/>
              </w:rPr>
              <w:t>de ilegitimidade, Humberto Theodoro Jr., assevera:&lt;/span&gt;</w:t>
              <w:tab/>
              <w:t>&lt;/span&gt;</w:t>
              <w:tab/>
              <w:tab/>
              <w:t>&lt;/span&gt;</w:t>
            </w:r>
          </w:p>
          <w:p>
            <w:pPr>
              <w:pStyle w:val="TableParagraph"/>
              <w:tabs>
                <w:tab w:pos="1550" w:val="left" w:leader="none"/>
                <w:tab w:pos="2549" w:val="left" w:leader="none"/>
                <w:tab w:pos="5776" w:val="left" w:leader="none"/>
                <w:tab w:pos="6676" w:val="left" w:leader="none"/>
                <w:tab w:pos="7275" w:val="left" w:leader="none"/>
              </w:tabs>
              <w:spacing w:line="208" w:lineRule="auto" w:before="0"/>
              <w:ind w:right="180"/>
              <w:rPr>
                <w:sz w:val="20"/>
              </w:rPr>
            </w:pPr>
            <w:r>
              <w:rPr>
                <w:sz w:val="20"/>
              </w:rPr>
              <w:t>&lt;/span&gt;&lt;/p&gt;&lt;p style="line-height: 1.7999999999999998; margin-left: 113pt; text-indent: 57pt; text-align: justify; margin-top: 6pt; margin-bottom: 6pt;" dir="ltr"&gt; &lt;span </w:t>
            </w:r>
            <w:r>
              <w:rPr>
                <w:spacing w:val="-2"/>
                <w:sz w:val="20"/>
              </w:rPr>
              <w:t>style="color: </w:t>
            </w:r>
            <w:r>
              <w:rPr>
                <w:sz w:val="20"/>
              </w:rPr>
              <w:t>#000000; background-color: transparent; font-weight: 400; font-style: normal; font-variant: normal; text-decoration: none; vertical-align: baseline; white-space: pre-wrap;"&gt;</w:t>
              <w:tab/>
              <w:t>&lt;span style="font-size: small;"&gt;</w:t>
              <w:tab/>
              <w:t>&lt;span style="font-size: small;"&gt;</w:t>
              <w:tab/>
              <w:t>&lt;span style="font-size: medium;"&gt;</w:t>
              <w:tab/>
              <w:t>&lt;em&gt;“Legitimidade para a causa (legitimatio ad causam) é a qualidade para agir juridicamente, como autor, ou réu, por ser, a parte, o sujeito ativo ou passivo do direito material controvertido ou declaração que se pleiteia. Para que se verifique a legitimação ad causam é necessário que haja identidade entre o sujeito da relação processual e as pessoas a quem ou contra quem a lei concede ação.” (Pedro Batista Martins). (In. Código de Processo Civil Anotado, Forense, p. 3).&lt;/em&gt;</w:t>
              <w:tab/>
              <w:t>&lt;/span&gt;</w:t>
            </w:r>
          </w:p>
          <w:p>
            <w:pPr>
              <w:pStyle w:val="TableParagraph"/>
              <w:tabs>
                <w:tab w:pos="985" w:val="left" w:leader="none"/>
                <w:tab w:pos="4562" w:val="left" w:leader="none"/>
              </w:tabs>
              <w:spacing w:line="208" w:lineRule="auto" w:before="0"/>
              <w:ind w:right="42"/>
              <w:rPr>
                <w:sz w:val="20"/>
              </w:rPr>
            </w:pPr>
            <w:r>
              <w:rPr>
                <w:sz w:val="20"/>
              </w:rPr>
              <w:t>&lt;/span&gt;</w:t>
              <w:tab/>
              <w:t>&lt;/span&gt; &lt;/span&gt;&lt;/p&gt;&lt;p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2930" w:val="left" w:leader="none"/>
                <w:tab w:pos="3266" w:val="left" w:leader="none"/>
                <w:tab w:pos="3875" w:val="left" w:leader="none"/>
                <w:tab w:pos="4562" w:val="left" w:leader="none"/>
              </w:tabs>
              <w:spacing w:line="208" w:lineRule="auto" w:before="0"/>
              <w:ind w:right="42"/>
              <w:rPr>
                <w:sz w:val="20"/>
              </w:rPr>
            </w:pPr>
            <w:r>
              <w:rPr>
                <w:sz w:val="20"/>
              </w:rPr>
              <w:t>&lt;span style="font-size: small;"&gt;</w:t>
              <w:tab/>
              <w:tab/>
              <w:t>&lt;span style="font-size: medium;"&gt;Complementa, ainda, o doutrinador:&lt;/span&gt;</w:t>
              <w:tab/>
              <w:t>&lt;/span&gt;</w:t>
              <w:tab/>
              <w:t>&lt;/span&gt; &lt;/span&gt;&lt;/p&gt;&lt;p style="line-height: 1.7999999999999998; margin-left: 113pt;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jc w:val="both"/>
              <w:rPr>
                <w:sz w:val="20"/>
              </w:rPr>
            </w:pPr>
            <w:r>
              <w:rPr>
                <w:sz w:val="20"/>
              </w:rPr>
              <w:t>&lt;span style="font-size: small;"&gt; &lt;span style="font-size: medium;"&gt;</w:t>
            </w:r>
          </w:p>
          <w:p>
            <w:pPr>
              <w:pStyle w:val="TableParagraph"/>
              <w:spacing w:line="208" w:lineRule="auto" w:before="9"/>
              <w:ind w:right="275"/>
              <w:jc w:val="both"/>
              <w:rPr>
                <w:sz w:val="20"/>
              </w:rPr>
            </w:pPr>
            <w:r>
              <w:rPr>
                <w:sz w:val="20"/>
              </w:rPr>
              <w:t>&lt;em&gt;“Legitimados ao processo são os sujeitos da lide, isto é, os titulares dos interesses em conflito. A legitimação ativa caberá ao titular do interesse afirmado na pretensão, e a passiva ao titular do interesse que se opõe ou resiste à pretensão”.&lt;/em&gt; &lt;/span&gt;</w:t>
            </w:r>
          </w:p>
          <w:p>
            <w:pPr>
              <w:pStyle w:val="TableParagraph"/>
              <w:tabs>
                <w:tab w:pos="985" w:val="left" w:leader="none"/>
                <w:tab w:pos="4562" w:val="left" w:leader="none"/>
              </w:tabs>
              <w:spacing w:line="208" w:lineRule="auto" w:before="0"/>
              <w:ind w:right="42"/>
              <w:rPr>
                <w:sz w:val="20"/>
              </w:rPr>
            </w:pPr>
            <w:r>
              <w:rPr>
                <w:sz w:val="20"/>
              </w:rPr>
              <w:t>&lt;/span&gt;</w:t>
              <w:tab/>
              <w:t>&lt;/span&gt; &lt;/span&gt;&lt;/p&gt;&lt;p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6788" w:val="left" w:leader="none"/>
              </w:tabs>
              <w:spacing w:line="208" w:lineRule="auto" w:before="0"/>
              <w:ind w:right="185"/>
              <w:rPr>
                <w:sz w:val="20"/>
              </w:rPr>
            </w:pPr>
            <w:r>
              <w:rPr>
                <w:sz w:val="20"/>
              </w:rPr>
              <w:t>&lt;span style="font-size: small;"&gt;</w:t>
              <w:tab/>
              <w:t>&lt;span style="font-size: medium;"&gt;Desse modo, o titular da pretensão posto em juízo possui legitimidade ativa, ao passo que aquele que </w:t>
            </w:r>
            <w:r>
              <w:rPr>
                <w:spacing w:val="-9"/>
                <w:sz w:val="20"/>
              </w:rPr>
              <w:t>se </w:t>
            </w:r>
            <w:r>
              <w:rPr>
                <w:sz w:val="20"/>
              </w:rPr>
              <w:t>encontra sujeito à pretensão deduzida tem legitimidade passiva.&lt;/span&gt;</w:t>
              <w:tab/>
              <w:t>&lt;/span&gt;</w:t>
            </w:r>
          </w:p>
          <w:p>
            <w:pPr>
              <w:pStyle w:val="TableParagraph"/>
              <w:tabs>
                <w:tab w:pos="2549" w:val="left" w:leader="none"/>
                <w:tab w:pos="5776" w:val="left" w:leader="none"/>
                <w:tab w:pos="6553" w:val="left" w:leader="none"/>
              </w:tabs>
              <w:spacing w:line="208" w:lineRule="auto" w:before="0"/>
              <w:ind w:right="180"/>
              <w:rPr>
                <w:sz w:val="20"/>
              </w:rPr>
            </w:pPr>
            <w:r>
              <w:rPr>
                <w:sz w:val="20"/>
              </w:rPr>
              <w:t>&lt;/span&gt; &lt;/span&gt;&lt;/p&gt;&lt;p style="line-height: 1.7999999999999998; text-indent: 57pt; text- align: justify; margin-top: 6pt; margin-bottom: 6pt;" dir="ltr"&gt; &lt;span style="color: </w:t>
            </w:r>
            <w:r>
              <w:rPr>
                <w:spacing w:val="-3"/>
                <w:sz w:val="20"/>
              </w:rPr>
              <w:t>#000000; </w:t>
            </w:r>
            <w:r>
              <w:rPr>
                <w:sz w:val="20"/>
              </w:rPr>
              <w:t>background-color: transparent; font-weight: 400; font-style: normal; font-variant: normal; text-decoration: none; vertical-align: baseline; white-space: pre-wrap;"&gt;</w:t>
              <w:tab/>
              <w:t>&lt;span style="font-size: small;"&gt;</w:t>
              <w:tab/>
              <w:t>&lt;span style="font-size: small;"&gt;</w:t>
              <w:tab/>
              <w:t>&lt;span style="font-size: medium;"&gt;Cumpre esclarecer que o Banco do Brasil S/A não é o órgão gestor do</w:t>
            </w:r>
          </w:p>
          <w:p>
            <w:pPr>
              <w:pStyle w:val="TableParagraph"/>
              <w:tabs>
                <w:tab w:pos="5409" w:val="left" w:leader="none"/>
                <w:tab w:pos="6354" w:val="left" w:leader="none"/>
              </w:tabs>
              <w:spacing w:line="208" w:lineRule="auto" w:before="0"/>
              <w:ind w:right="31"/>
              <w:rPr>
                <w:sz w:val="20"/>
              </w:rPr>
            </w:pPr>
            <w:r>
              <w:rPr>
                <w:sz w:val="20"/>
              </w:rPr>
              <w:t>Programa de Formação do Patrimônio do Servidor Público PASEP, mas sim, como se </w:t>
            </w:r>
            <w:r>
              <w:rPr>
                <w:spacing w:val="-5"/>
                <w:sz w:val="20"/>
              </w:rPr>
              <w:t>verá </w:t>
            </w:r>
            <w:r>
              <w:rPr>
                <w:sz w:val="20"/>
              </w:rPr>
              <w:t>a seguir, administrador e responsável pelas contas bancárias onde estão presentes os montantes provenientes da contribuição em tela.&lt;/span&gt;</w:t>
              <w:tab/>
              <w:t>&lt;/span&gt;</w:t>
              <w:tab/>
              <w:t>&lt;/span&gt;</w:t>
            </w:r>
          </w:p>
          <w:p>
            <w:pPr>
              <w:pStyle w:val="TableParagraph"/>
              <w:tabs>
                <w:tab w:pos="2549" w:val="left" w:leader="none"/>
                <w:tab w:pos="5776" w:val="left" w:leader="none"/>
                <w:tab w:pos="6310" w:val="left" w:leader="none"/>
                <w:tab w:pos="6553" w:val="left" w:leader="none"/>
                <w:tab w:pos="7255" w:val="left" w:leader="none"/>
              </w:tabs>
              <w:spacing w:line="208" w:lineRule="auto" w:before="0"/>
              <w:ind w:right="174"/>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medium;"&gt;O Decreto n.º 9.978/2019, em seu artigo 12, estabelece as seguintes atribuições da instituição financeira em relação ao PASEP:&lt;/span&gt;</w:t>
              <w:tab/>
              <w:t>&lt;/span&gt;</w:t>
              <w:tab/>
            </w:r>
            <w:r>
              <w:rPr>
                <w:spacing w:val="-3"/>
                <w:sz w:val="20"/>
              </w:rPr>
              <w:t>&lt;/span&gt;</w:t>
            </w:r>
          </w:p>
          <w:p>
            <w:pPr>
              <w:pStyle w:val="TableParagraph"/>
              <w:tabs>
                <w:tab w:pos="1550" w:val="left" w:leader="none"/>
                <w:tab w:pos="2549" w:val="left" w:leader="none"/>
                <w:tab w:pos="2608" w:val="left" w:leader="none"/>
                <w:tab w:pos="2985" w:val="left" w:leader="none"/>
                <w:tab w:pos="3553" w:val="left" w:leader="none"/>
                <w:tab w:pos="4042" w:val="left" w:leader="none"/>
                <w:tab w:pos="4987" w:val="left" w:leader="none"/>
                <w:tab w:pos="5776" w:val="left" w:leader="none"/>
                <w:tab w:pos="6553" w:val="left" w:leader="none"/>
                <w:tab w:pos="7275" w:val="left" w:leader="none"/>
              </w:tabs>
              <w:spacing w:line="208" w:lineRule="auto" w:before="0"/>
              <w:ind w:right="180"/>
              <w:rPr>
                <w:sz w:val="20"/>
              </w:rPr>
            </w:pPr>
            <w:r>
              <w:rPr>
                <w:sz w:val="20"/>
              </w:rPr>
              <w:t>&lt;/span&gt;&lt;/p&gt;&lt;p style="line-height: 1.7999999999999998; margin-left: 113pt; text-indent: 57pt; text-align: justify; margin-top: 6pt; margin-bottom: 6pt;" dir="ltr"&gt; &lt;span </w:t>
            </w:r>
            <w:r>
              <w:rPr>
                <w:spacing w:val="-2"/>
                <w:sz w:val="20"/>
              </w:rPr>
              <w:t>style="color: </w:t>
            </w:r>
            <w:r>
              <w:rPr>
                <w:sz w:val="20"/>
              </w:rPr>
              <w:t>#000000; background-color: transparent; font-weight: 400; font-style: normal; font-variant: normal; text-decoration: none; vertical-align: baseline; white-space: pre-wrap;"&gt;</w:t>
              <w:tab/>
              <w:t>&lt;span style="font-size: small;"&gt;</w:t>
              <w:tab/>
              <w:t>&lt;span style="font-size: small;"&gt;</w:t>
              <w:tab/>
              <w:t>&lt;span style="font-size: medium;"&gt;</w:t>
              <w:tab/>
              <w:t>&lt;em&gt;Art. 12. Cabe ao Banco do Brasil S.A., em relação ao PASEP, as seguintes atribuições:&lt;/em&gt;</w:t>
              <w:tab/>
              <w:tab/>
              <w:tab/>
              <w:t>&lt;/span&gt;</w:t>
              <w:tab/>
              <w:t>&lt;/span&gt;</w:t>
              <w:tab/>
              <w:t>&lt;/span&gt; &lt;/span&gt;&lt;/p&gt;&lt;p style="line-height: 1.7999999999999998; margin-left: 113pt;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w:t>
              <w:tab/>
              <w:t>&lt;em&gt;I - Manter, em nome dos servidores e empregados, as contas individuais a que se refere o art. 5º da Lei Complementar nº 8, de 3 de dezembro de 1970;&lt;/em&gt;</w:t>
              <w:tab/>
              <w:t>&lt;/span&gt;</w:t>
              <w:tab/>
              <w:tab/>
              <w:t>&lt;/span&gt;</w:t>
              <w:tab/>
              <w:t>&lt;/span&gt; &lt;/span&gt;&lt;/p&gt;&lt;p style="line-height: 1.7999999999999998; margin-left: 113pt; text-indent: 57pt; text-align: justify; margin-top: 6pt; margin-bottom: 6pt;" dir="ltr"&gt; &lt;span style="color: #000000; background-color:</w:t>
            </w:r>
          </w:p>
          <w:p>
            <w:pPr>
              <w:pStyle w:val="TableParagraph"/>
              <w:tabs>
                <w:tab w:pos="4562" w:val="left" w:leader="none"/>
              </w:tabs>
              <w:spacing w:line="208" w:lineRule="auto" w:before="0"/>
              <w:ind w:right="42"/>
              <w:rPr>
                <w:sz w:val="20"/>
              </w:rPr>
            </w:pPr>
            <w:r>
              <w:rPr>
                <w:sz w:val="20"/>
              </w:rPr>
              <w:t>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6848" w:val="left" w:leader="none"/>
              </w:tabs>
              <w:spacing w:line="208" w:lineRule="auto" w:before="0"/>
              <w:ind w:right="257"/>
              <w:rPr>
                <w:sz w:val="20"/>
              </w:rPr>
            </w:pPr>
            <w:r>
              <w:rPr>
                <w:sz w:val="20"/>
              </w:rPr>
              <w:t>&lt;span style="font-size: small;"&gt;</w:t>
              <w:tab/>
              <w:t>&lt;span style="font-size: medium;"&gt;</w:t>
              <w:tab/>
              <w:t>&lt;em&gt;II - Creditar nas contas individuais, quando autorizado pelo Conselho Diretor do Fundo PISPASEP, as parcelas e os benefícios de que trata o inciso II do caput do art.</w:t>
            </w:r>
            <w:r>
              <w:rPr>
                <w:spacing w:val="6"/>
                <w:sz w:val="20"/>
              </w:rPr>
              <w:t> </w:t>
            </w:r>
            <w:r>
              <w:rPr>
                <w:spacing w:val="-3"/>
                <w:sz w:val="20"/>
              </w:rPr>
              <w:t>4º;&lt;/em&gt;</w:t>
            </w:r>
          </w:p>
          <w:p>
            <w:pPr>
              <w:pStyle w:val="TableParagraph"/>
              <w:tabs>
                <w:tab w:pos="1096" w:val="left" w:leader="none"/>
                <w:tab w:pos="1939" w:val="left" w:leader="none"/>
                <w:tab w:pos="2041" w:val="left" w:leader="none"/>
                <w:tab w:pos="5055" w:val="left" w:leader="none"/>
              </w:tabs>
              <w:spacing w:line="208" w:lineRule="auto" w:before="0"/>
              <w:ind w:right="20"/>
              <w:rPr>
                <w:sz w:val="20"/>
              </w:rPr>
            </w:pPr>
            <w:r>
              <w:rPr>
                <w:sz w:val="20"/>
              </w:rPr>
              <w:t>&lt;/span&gt;</w:t>
              <w:tab/>
              <w:t>&lt;/span&gt;</w:t>
              <w:tab/>
              <w:tab/>
              <w:t>&lt;/span&gt; &lt;/span&gt;&lt;/p&gt;&lt;p style="line-height: 1.7999999999999998; margin-left: 113pt; text-indent: 57pt;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3622" w:val="left" w:leader="none"/>
                <w:tab w:pos="5293" w:val="left" w:leader="none"/>
                <w:tab w:pos="6349" w:val="left" w:leader="none"/>
                <w:tab w:pos="7294" w:val="left" w:leader="none"/>
              </w:tabs>
              <w:spacing w:line="208" w:lineRule="auto" w:before="0"/>
              <w:ind w:right="117"/>
              <w:rPr>
                <w:sz w:val="20"/>
              </w:rPr>
            </w:pPr>
            <w:r>
              <w:rPr>
                <w:sz w:val="20"/>
              </w:rPr>
              <w:t>&lt;span style="font-size: medium;"&gt;</w:t>
              <w:tab/>
              <w:t>&lt;em&gt;III - processar as solicitações de saque e </w:t>
            </w:r>
            <w:r>
              <w:rPr>
                <w:spacing w:val="-9"/>
                <w:sz w:val="20"/>
              </w:rPr>
              <w:t>de </w:t>
            </w:r>
            <w:r>
              <w:rPr>
                <w:sz w:val="20"/>
              </w:rPr>
              <w:t>retirada e efetuar os correspondentes pagamentos, nos períodos estabelecidos, quando autorizados pelo Conselho Diretor do Fundo PISPASEP, nos termos do disposto na Lei Complementar nº 26, de 1975, e neste Decreto;&lt;/em&gt;</w:t>
              <w:tab/>
              <w:t>&lt;/span&gt;</w:t>
              <w:tab/>
              <w:t>&lt;/span&gt;</w:t>
              <w:tab/>
              <w:t>&lt;/span&gt;</w:t>
            </w:r>
          </w:p>
          <w:p>
            <w:pPr>
              <w:pStyle w:val="TableParagraph"/>
              <w:tabs>
                <w:tab w:pos="1550" w:val="left" w:leader="none"/>
                <w:tab w:pos="2549" w:val="left" w:leader="none"/>
                <w:tab w:pos="3919" w:val="left" w:leader="none"/>
                <w:tab w:pos="4976" w:val="left" w:leader="none"/>
                <w:tab w:pos="5776" w:val="left" w:leader="none"/>
                <w:tab w:pos="5921" w:val="left" w:leader="none"/>
                <w:tab w:pos="7275" w:val="left" w:leader="none"/>
              </w:tabs>
              <w:spacing w:line="208" w:lineRule="auto" w:before="0"/>
              <w:ind w:right="46"/>
              <w:rPr>
                <w:sz w:val="20"/>
              </w:rPr>
            </w:pPr>
            <w:r>
              <w:rPr>
                <w:sz w:val="20"/>
              </w:rPr>
              <w:t>&lt;/span&gt;&lt;/p&gt;&lt;p style="line-height: 1.7999999999999998; margin-left: 113pt;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w:t>
              <w:tab/>
              <w:t>&lt;em&gt;IV - Fornecer, nos períodos estabelecidos e sempre que solicitado, ao gestor do Fundo PISPASEP, as informações, os dados e a documentação relativos aos repasses de recursos, ao cadastro de servidores e empregados vinculados ao PASEP, às contas individuais de participantes e às solicitações de saque e de retirada e seus correspondentes pagamentos; e&lt;/em&gt;</w:t>
              <w:tab/>
              <w:t>&lt;/span&gt;</w:t>
              <w:tab/>
              <w:t>&lt;/span&gt;</w:t>
              <w:tab/>
              <w:tab/>
              <w:t>&lt;/span&gt; </w:t>
            </w:r>
            <w:r>
              <w:rPr>
                <w:spacing w:val="8"/>
                <w:sz w:val="20"/>
              </w:rPr>
              <w:t> </w:t>
            </w:r>
            <w:r>
              <w:rPr>
                <w:spacing w:val="-2"/>
                <w:sz w:val="20"/>
              </w:rPr>
              <w:t>&lt;/span&gt;&lt;/p&gt;&lt;p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50" w:val="left" w:leader="none"/>
                <w:tab w:pos="2549" w:val="left" w:leader="none"/>
                <w:tab w:pos="4619" w:val="left" w:leader="none"/>
                <w:tab w:pos="5676" w:val="left" w:leader="none"/>
                <w:tab w:pos="5776" w:val="left" w:leader="none"/>
                <w:tab w:pos="6553" w:val="left" w:leader="none"/>
                <w:tab w:pos="6621" w:val="left" w:leader="none"/>
              </w:tabs>
              <w:spacing w:line="208" w:lineRule="auto" w:before="26"/>
              <w:ind w:right="255"/>
              <w:rPr>
                <w:sz w:val="20"/>
              </w:rPr>
            </w:pPr>
            <w:r>
              <w:rPr>
                <w:sz w:val="20"/>
              </w:rPr>
              <w:t>style="line-height: 1.7999999999999998; margin-left: 113pt;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ab/>
              <w:t>&lt;span style="font-size: medium;"&gt;</w:t>
              <w:tab/>
              <w:t>&lt;em&gt;V - Cumprir e fazer cumprir as normas operacionais editadas </w:t>
            </w:r>
            <w:r>
              <w:rPr>
                <w:spacing w:val="-5"/>
                <w:sz w:val="20"/>
              </w:rPr>
              <w:t>pelo </w:t>
            </w:r>
            <w:r>
              <w:rPr>
                <w:sz w:val="20"/>
              </w:rPr>
              <w:t>Conselho Diretor do Fundo PIS-PASEP.&lt;/em&gt;</w:t>
              <w:tab/>
              <w:t>&lt;/span&gt;</w:t>
              <w:tab/>
              <w:t>&lt;/span&gt;</w:t>
              <w:tab/>
              <w:tab/>
              <w:t>&lt;/span&gt;</w:t>
            </w:r>
          </w:p>
          <w:p>
            <w:pPr>
              <w:pStyle w:val="TableParagraph"/>
              <w:tabs>
                <w:tab w:pos="939" w:val="left" w:leader="none"/>
                <w:tab w:pos="1194" w:val="left" w:leader="none"/>
                <w:tab w:pos="1550" w:val="left" w:leader="none"/>
                <w:tab w:pos="2274" w:val="left" w:leader="none"/>
                <w:tab w:pos="2473" w:val="left" w:leader="none"/>
                <w:tab w:pos="2549" w:val="left" w:leader="none"/>
                <w:tab w:pos="3074" w:val="left" w:leader="none"/>
                <w:tab w:pos="3219" w:val="left" w:leader="none"/>
                <w:tab w:pos="4054" w:val="left" w:leader="none"/>
                <w:tab w:pos="4131" w:val="left" w:leader="none"/>
                <w:tab w:pos="5076" w:val="left" w:leader="none"/>
                <w:tab w:pos="5588" w:val="left" w:leader="none"/>
                <w:tab w:pos="5776" w:val="left" w:leader="none"/>
                <w:tab w:pos="7275" w:val="left" w:leader="none"/>
              </w:tabs>
              <w:spacing w:line="208" w:lineRule="auto" w:before="0"/>
              <w:ind w:right="31"/>
              <w:rPr>
                <w:sz w:val="20"/>
              </w:rPr>
            </w:pPr>
            <w:r>
              <w:rPr>
                <w:sz w:val="20"/>
              </w:rPr>
              <w:t>&lt;/span&gt;&lt;/p&gt;&lt;p style="line-height: 1.7999999999999998; margin-left: 113pt;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ab/>
              <w:tab/>
              <w:t>&lt;span style="font-size: small;"&gt;</w:t>
              <w:tab/>
              <w:tab/>
              <w:t>&lt;span style="font-size: medium;"&gt;</w:t>
              <w:tab/>
              <w:tab/>
              <w:t>&lt;em&gt;Parágrafo único. O Banco do Brasil S.A. exercerá as atribuições previstas no caput de acordo com as normas, as diretrizes e os critérios estabelecidos </w:t>
            </w:r>
            <w:r>
              <w:rPr>
                <w:spacing w:val="-5"/>
                <w:sz w:val="20"/>
              </w:rPr>
              <w:t>pelo </w:t>
            </w:r>
            <w:r>
              <w:rPr>
                <w:sz w:val="20"/>
              </w:rPr>
              <w:t>Conselho Diretor do Fundo PIS-PASEP e nos termos do disposto na Lei Complementar nº 26, de 1975, e neste Decreto. e nos termos do disposto na Lei Complementar nº 26, de 1975, e neste Decreto.&lt;/em&gt;</w:t>
              <w:tab/>
              <w:t>&lt;/span&gt;</w:t>
              <w:tab/>
              <w:tab/>
              <w:t>&lt;/span&gt;</w:t>
              <w:tab/>
              <w:t>&lt;/span&gt; &lt;/span&gt;&lt;/p&gt;&lt;p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&lt;span style="font-size: small;"&gt;</w:t>
              <w:tab/>
              <w:t>&lt;span style="font-size: medium;"&gt;Verifica-se, no todo, que a demanda gira em torno da responsabilidade do promovido frente a eventuais saques indevidos e/ou ausência de correção monetária da quantia proveniente do programa em foco e do prazo prescricional.&lt;/span&gt;</w:t>
              <w:tab/>
              <w:t>&lt;/span&gt;</w:t>
              <w:tab/>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&lt;span style="font-size: small;"&gt;</w:t>
              <w:tab/>
              <w:t>&lt;span style="font-size: small;"&gt;</w:t>
              <w:tab/>
              <w:tab/>
              <w:t>&lt;span style="font-size: medium;"&gt;Com relação a essa temática, o Superior Tribunal de Justiça, firmou o Tema Repetitivo nº 1.150 (STJ. REsp n. 1.895.936/TO. Rel.</w:t>
            </w:r>
          </w:p>
          <w:p>
            <w:pPr>
              <w:pStyle w:val="TableParagraph"/>
              <w:tabs>
                <w:tab w:pos="1485" w:val="left" w:leader="none"/>
                <w:tab w:pos="2430" w:val="left" w:leader="none"/>
                <w:tab w:pos="4562" w:val="left" w:leader="none"/>
              </w:tabs>
              <w:spacing w:line="208" w:lineRule="auto" w:before="0"/>
              <w:ind w:right="42"/>
              <w:rPr>
                <w:sz w:val="20"/>
              </w:rPr>
            </w:pPr>
            <w:r>
              <w:rPr>
                <w:sz w:val="20"/>
              </w:rPr>
              <w:t>Min. Herman Benjamin. Primeira Seção. DJe: 21/9/2023.), no qual restou decidido que:&lt;/span&gt;</w:t>
              <w:tab/>
              <w:t>&lt;/span&gt;</w:t>
              <w:tab/>
              <w:t>&lt;/span&gt; &lt;/span&gt;&lt;/p&gt;&lt;p style="line-height: 1.7999999999999998; margin-left: 113pt;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6848" w:val="left" w:leader="none"/>
                <w:tab w:pos="7399" w:val="left" w:leader="none"/>
              </w:tabs>
              <w:spacing w:line="208" w:lineRule="auto" w:before="0"/>
              <w:ind w:right="30"/>
              <w:rPr>
                <w:sz w:val="20"/>
              </w:rPr>
            </w:pPr>
            <w:r>
              <w:rPr>
                <w:sz w:val="20"/>
              </w:rPr>
              <w:t>&lt;span style="font-size: small;"&gt;</w:t>
              <w:tab/>
              <w:t>&lt;span style="font-size: medium;"&gt;</w:t>
              <w:tab/>
              <w:t>&lt;em&gt;i) o Banco do Brasil possui legitimidade passiva ad causam para figurar no polo passivo de demanda na qual se discute eventual falha na prestação do serviço quanto à conta vinculada ao Pasep, saques indevidos e desfalques, além da ausência de aplicação dos rendimentos estabelecidas pelo Conselho Diretor do referido programa;&lt;/em&gt;</w:t>
              <w:tab/>
            </w:r>
            <w:r>
              <w:rPr>
                <w:spacing w:val="-3"/>
                <w:sz w:val="20"/>
              </w:rPr>
              <w:t>&lt;/span&gt;</w:t>
            </w:r>
          </w:p>
          <w:p>
            <w:pPr>
              <w:pStyle w:val="TableParagraph"/>
              <w:tabs>
                <w:tab w:pos="985" w:val="left" w:leader="none"/>
              </w:tabs>
              <w:spacing w:line="208" w:lineRule="auto" w:before="0"/>
              <w:ind w:right="244"/>
              <w:rPr>
                <w:sz w:val="20"/>
              </w:rPr>
            </w:pPr>
            <w:r>
              <w:rPr>
                <w:sz w:val="20"/>
              </w:rPr>
              <w:t>&lt;/span&gt;</w:t>
              <w:tab/>
              <w:t>&lt;/span&gt; &lt;/span&gt;&lt;/p&gt;&lt;p style="line-height: 1.7999999999999998; </w:t>
            </w:r>
            <w:r>
              <w:rPr>
                <w:spacing w:val="-2"/>
                <w:sz w:val="20"/>
              </w:rPr>
              <w:t>margin-left: </w:t>
            </w:r>
            <w:r>
              <w:rPr>
                <w:sz w:val="20"/>
              </w:rPr>
              <w:t>113pt; text-indent: 57pt; text-align: justify; margin-top: 6pt; margin-bottom: 6pt;"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small;"&gt;</w:t>
            </w:r>
          </w:p>
          <w:p>
            <w:pPr>
              <w:pStyle w:val="TableParagraph"/>
              <w:tabs>
                <w:tab w:pos="3622" w:val="left" w:leader="none"/>
              </w:tabs>
              <w:spacing w:line="208" w:lineRule="auto" w:before="0"/>
              <w:ind w:right="183"/>
              <w:jc w:val="both"/>
              <w:rPr>
                <w:sz w:val="20"/>
              </w:rPr>
            </w:pPr>
            <w:r>
              <w:rPr>
                <w:sz w:val="20"/>
              </w:rPr>
              <w:t>&lt;span style="font-size: medium;"&gt;</w:t>
              <w:tab/>
              <w:t>&lt;em&gt;ii) a pretensão ao ressarcimento dos </w:t>
            </w:r>
            <w:r>
              <w:rPr>
                <w:spacing w:val="-4"/>
                <w:sz w:val="20"/>
              </w:rPr>
              <w:t>danos </w:t>
            </w:r>
            <w:r>
              <w:rPr>
                <w:sz w:val="20"/>
              </w:rPr>
              <w:t>havidos em razão dos desfalques em conta individual vinculada ao Pasep se submete ao prazo prescricional decenal previsto pelo art. 205 do Código Civil; e&lt;/em&gt; &lt;/span&gt;</w:t>
            </w:r>
          </w:p>
          <w:p>
            <w:pPr>
              <w:pStyle w:val="TableParagraph"/>
              <w:spacing w:line="208" w:lineRule="auto" w:before="0"/>
              <w:ind w:right="236"/>
              <w:jc w:val="both"/>
              <w:rPr>
                <w:sz w:val="20"/>
              </w:rPr>
            </w:pPr>
            <w:r>
              <w:rPr>
                <w:sz w:val="20"/>
              </w:rPr>
              <w:t>&lt;/span&gt; &lt;/span&gt; &lt;/span&gt;&lt;/p&gt;&lt;p style="line-height: 1.7999999999999998; </w:t>
            </w:r>
            <w:r>
              <w:rPr>
                <w:spacing w:val="-2"/>
                <w:sz w:val="20"/>
              </w:rPr>
              <w:t>margin-left: </w:t>
            </w:r>
            <w:r>
              <w:rPr>
                <w:sz w:val="20"/>
              </w:rPr>
              <w:t>113pt; text-indent: 57pt; text-align: justify; margin-top: 6pt; margin-bottom: 6pt;"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small;"&gt;</w:t>
            </w:r>
          </w:p>
          <w:p>
            <w:pPr>
              <w:pStyle w:val="TableParagraph"/>
              <w:tabs>
                <w:tab w:pos="3622" w:val="left" w:leader="none"/>
                <w:tab w:pos="5532" w:val="left" w:leader="none"/>
                <w:tab w:pos="6588" w:val="left" w:leader="none"/>
              </w:tabs>
              <w:spacing w:line="208" w:lineRule="auto" w:before="0"/>
              <w:ind w:right="139"/>
              <w:rPr>
                <w:sz w:val="20"/>
              </w:rPr>
            </w:pPr>
            <w:r>
              <w:rPr>
                <w:sz w:val="20"/>
              </w:rPr>
              <w:t>&lt;span style="font-size: medium;"&gt;</w:t>
              <w:tab/>
              <w:t>&lt;em&gt;iii) o termo inicial para a contagem do </w:t>
            </w:r>
            <w:r>
              <w:rPr>
                <w:spacing w:val="-4"/>
                <w:sz w:val="20"/>
              </w:rPr>
              <w:t>prazo </w:t>
            </w:r>
            <w:r>
              <w:rPr>
                <w:sz w:val="20"/>
              </w:rPr>
              <w:t>prescricional é o dia em que o titular, comprovadamente, toma ciência dos desfalques realizados na conta individual vinculada ao Pasep.&lt;/em&gt;</w:t>
              <w:tab/>
              <w:t>&lt;/span&gt;</w:t>
              <w:tab/>
              <w:t>&lt;/span&gt;</w:t>
            </w:r>
          </w:p>
          <w:p>
            <w:pPr>
              <w:pStyle w:val="TableParagraph"/>
              <w:tabs>
                <w:tab w:pos="1661" w:val="left" w:leader="none"/>
                <w:tab w:pos="3329" w:val="left" w:leader="none"/>
                <w:tab w:pos="6444" w:val="left" w:leader="none"/>
              </w:tabs>
              <w:spacing w:line="208" w:lineRule="auto" w:before="0"/>
              <w:ind w:right="102"/>
              <w:rPr>
                <w:sz w:val="20"/>
              </w:rPr>
            </w:pPr>
            <w:r>
              <w:rPr>
                <w:sz w:val="20"/>
              </w:rPr>
              <w:t>&lt;/span&gt; &lt;/span&gt;&lt;/p&gt;&lt;p style="line-height: 1.7999999999999998; text-indent: 57pt; text- align: justify; margin-top: 6pt; margin-bottom: 6pt;" dir="ltr"&gt;&amp;#160;&lt;/p&gt;&lt;p style="line- height: 1.7999999999999998;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w:t>
            </w:r>
            <w:r>
              <w:rPr>
                <w:spacing w:val="-2"/>
                <w:sz w:val="20"/>
              </w:rPr>
              <w:t>style="font- </w:t>
            </w:r>
            <w:r>
              <w:rPr>
                <w:sz w:val="20"/>
              </w:rPr>
              <w:t>size: small;"&gt;</w:t>
              <w:tab/>
              <w:t>&lt;span style="font-size: medium;"&gt;Dito isto, resta evidente que a Justiça Estadual é competente para processar e julgar demanda proposta em face do Banco do Brasil em que se discute eventual gestão inadequada do fundo baseada na aplicação equivocada dos índices de correção monetária e de percentual de juros.&lt;/span&gt;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85" w:val="left" w:leader="none"/>
                <w:tab w:pos="1550" w:val="left" w:leader="none"/>
                <w:tab w:pos="2549" w:val="left" w:leader="none"/>
                <w:tab w:pos="3273" w:val="left" w:leader="none"/>
                <w:tab w:pos="4218" w:val="left" w:leader="none"/>
                <w:tab w:pos="4910" w:val="left" w:leader="none"/>
                <w:tab w:pos="5776" w:val="left" w:leader="none"/>
                <w:tab w:pos="6169" w:val="left" w:leader="none"/>
                <w:tab w:pos="7275" w:val="left" w:leader="none"/>
              </w:tabs>
              <w:spacing w:line="208" w:lineRule="auto" w:before="26"/>
              <w:ind w:right="54"/>
              <w:rPr>
                <w:sz w:val="20"/>
              </w:rPr>
            </w:pPr>
            <w:r>
              <w:rPr>
                <w:sz w:val="20"/>
              </w:rPr>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medium;"&gt;Neste sentido&lt;/span&gt;</w:t>
              <w:tab/>
              <w:t>&lt;/span&gt;</w:t>
              <w:tab/>
              <w:t>&lt;/span&gt; &lt;/span&gt;&lt;/p&gt;&lt;p style="line-height: 1.7999999999999998; margin-left: 113pt; text-indent: 57pt; text-align: justify; margin-top: 6pt; margin-bottom: 6pt;" dir="ltr"&gt;  &lt;span style="font-size: small;"&gt;</w:t>
              <w:tab/>
              <w:t>&lt;span style="font- size: small;"&gt;</w:t>
              <w:tab/>
              <w:t>&lt;span style="font-size: medium;"&gt;</w:t>
              <w:tab/>
              <w:t>&lt;span style="color: #000000; background-color: transparent; font-weight: 400; font-style: normal; font-variant: normal; text-decoration: none; vertical-align: baseline; white-space: pre-wrap;"&gt;APELAÇÃO </w:t>
            </w:r>
            <w:r>
              <w:rPr>
                <w:spacing w:val="-3"/>
                <w:sz w:val="20"/>
              </w:rPr>
              <w:t>CÍVEL. </w:t>
            </w:r>
            <w:r>
              <w:rPr>
                <w:sz w:val="20"/>
              </w:rPr>
              <w:t>AÇÃO DE INDENIZAÇÃO. PASEP. BANCO DO BRASIL. LEGITIMIDADE PASSIVA. TESE FIXADA PELO STJ NO TEMA 1150. RECURSO PARCIALMENTE PROVIDO. 1.</w:t>
            </w:r>
            <w:r>
              <w:rPr>
                <w:spacing w:val="1"/>
                <w:sz w:val="20"/>
              </w:rPr>
              <w:t> </w:t>
            </w:r>
            <w:r>
              <w:rPr>
                <w:spacing w:val="-9"/>
                <w:sz w:val="20"/>
              </w:rPr>
              <w:t>De</w:t>
            </w:r>
          </w:p>
          <w:p>
            <w:pPr>
              <w:pStyle w:val="TableParagraph"/>
              <w:tabs>
                <w:tab w:pos="3396" w:val="left" w:leader="none"/>
              </w:tabs>
              <w:spacing w:line="208" w:lineRule="auto" w:before="0"/>
              <w:ind w:right="18"/>
              <w:rPr>
                <w:sz w:val="20"/>
              </w:rPr>
            </w:pPr>
            <w:r>
              <w:rPr>
                <w:sz w:val="20"/>
              </w:rPr>
              <w:t>início, destaco as recentes teses firmadas no julgamento do Tema 1150 do STJ, a respeito dos valores depositados nas conta vinculada ao PASEP: 1) O Banco do Brasil S/A detém </w:t>
            </w:r>
            <w:r>
              <w:rPr>
                <w:spacing w:val="-17"/>
                <w:sz w:val="20"/>
              </w:rPr>
              <w:t>a </w:t>
            </w:r>
            <w:r>
              <w:rPr>
                <w:sz w:val="20"/>
              </w:rPr>
              <w:t>responsabilidade em responder pelas irregularidades vinculadas às contas PASEP, eximindo-se a União Federal, visto que não está em pauta os valores aportados por esta última, mas a adequada gestão dos montantes sob custódia da referida instituição bancária; 2) A prescrição a ser observada é a decenal, conforme preceitua o artigo 205 do Código Civil de 2002; 3) O marco inicial da contagem prescricional é o instante em que o servidor obtém, de forma inequívoca, o conhecimento acerca dos danos, circunstância esta que se consuma apenas com a entrega, por parte do Banco do Brasil, dos extratos microfilmados referentes.&lt;/span&gt;</w:t>
              <w:tab/>
              <w:t>&lt;span style="color: #000000; background-color: transparent; font-weight: 700; font-style: normal; font-variant: normal; text-decoration: none; vertical-align: baseline; white-space: pre-wrap;"&gt;2. Assim, conforme precedente acima colacionado, restou reconhecida a legitimidade do Banco do Brasil para figurar no polo passivo de demanda na qual se discute eventual falha na prestação do serviço quanto a conta vinculada ao PASEP, saques indevidos e desfalques, além da ausência de aplicação dos rendimentos estabelecidas pelo Conselho Diretor do referido programa.&lt;/span&gt;</w:t>
            </w:r>
          </w:p>
          <w:p>
            <w:pPr>
              <w:pStyle w:val="TableParagraph"/>
              <w:tabs>
                <w:tab w:pos="7017" w:val="left" w:leader="none"/>
              </w:tabs>
              <w:spacing w:line="208" w:lineRule="auto" w:before="0"/>
              <w:ind w:right="68"/>
              <w:rPr>
                <w:sz w:val="20"/>
              </w:rPr>
            </w:pPr>
            <w:r>
              <w:rPr>
                <w:sz w:val="20"/>
              </w:rPr>
              <w:t>&lt;span style="color: #000000; background-color: transparent; font-weight: 400; font-style: normal; font-variant: normal; text-decoration: none; vertical-align: baseline; white-space: pre-wrap;"&gt;3. Dessa maneira, equivocada a decisão vergastada, na medida em que há legitimidade do Banco do Brasil para figurar o polo passivo da presente ação no que diz respeito à cobrança de reparação por eventual diferença de correção monetária e juros remuneratórios na conta individual da autora vinculada ao fundo PASEP. 4. Recurso parcialmente provido. (TJCE. AC nº 0050254- 95.2021.8.06.0131. Rel. Des. Carlos </w:t>
            </w:r>
            <w:r>
              <w:rPr>
                <w:spacing w:val="-3"/>
                <w:sz w:val="20"/>
              </w:rPr>
              <w:t>Alberto </w:t>
            </w:r>
            <w:r>
              <w:rPr>
                <w:sz w:val="20"/>
              </w:rPr>
              <w:t>Mendes Forte. 2ª Câmara Direito Privado. DJe: 07/12/2023)&lt;/span&gt;&lt;/span&gt;</w:t>
              <w:tab/>
              <w:t>&lt;/span&gt;</w:t>
            </w:r>
          </w:p>
          <w:p>
            <w:pPr>
              <w:pStyle w:val="TableParagraph"/>
              <w:tabs>
                <w:tab w:pos="1194" w:val="left" w:leader="none"/>
                <w:tab w:pos="1918" w:val="left" w:leader="none"/>
                <w:tab w:pos="2473" w:val="left" w:leader="none"/>
                <w:tab w:pos="2863" w:val="left" w:leader="none"/>
                <w:tab w:pos="5588" w:val="left" w:leader="none"/>
                <w:tab w:pos="5810" w:val="left" w:leader="none"/>
                <w:tab w:pos="6755" w:val="left" w:leader="none"/>
              </w:tabs>
              <w:spacing w:line="208" w:lineRule="auto" w:before="0"/>
              <w:ind w:right="73"/>
              <w:rPr>
                <w:sz w:val="20"/>
              </w:rPr>
            </w:pPr>
            <w:r>
              <w:rPr>
                <w:sz w:val="20"/>
              </w:rPr>
              <w:t>&lt;/span&gt;&lt;/p&gt;&lt;p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medium;"&gt;Por conseguinte, a pretensão de restituição de valores possivelmente retirados das contas individuais do mencionado programa deve ser direcionada àquela pessoa jurídica que recebeu as contribuições e administrou os recursos.&lt;/span&gt;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medium;"&gt;É de se ressaltar, por oportuno, que a questão central não é sobre o os depósitos efetuados na conta (contribuições), mas sim sobre a responsabilidade civil pelo erro na aplicação da atualização monetária e juros definidos pelo Conselho Diretor e nos saques indevidos dos valores ali depositados e consequente aplicação no mercado financeiro, de sorte que a instituição financeira apelada é parte legítima para compor o polo passivo.&lt;/span&gt;</w:t>
              <w:tab/>
              <w:tab/>
              <w:t>&lt;/span&gt;</w:t>
              <w:tab/>
              <w:t>&lt;/span&gt;</w:t>
            </w:r>
          </w:p>
          <w:p>
            <w:pPr>
              <w:pStyle w:val="TableParagraph"/>
              <w:tabs>
                <w:tab w:pos="1194" w:val="left" w:leader="none"/>
                <w:tab w:pos="2473" w:val="left" w:leader="none"/>
                <w:tab w:pos="2549" w:val="left" w:leader="none"/>
                <w:tab w:pos="3051" w:val="left" w:leader="none"/>
                <w:tab w:pos="3996" w:val="left" w:leader="none"/>
                <w:tab w:pos="5588" w:val="left" w:leader="none"/>
                <w:tab w:pos="5776" w:val="left" w:leader="none"/>
                <w:tab w:pos="6553" w:val="left" w:leader="none"/>
              </w:tabs>
              <w:spacing w:line="208" w:lineRule="auto" w:before="0"/>
              <w:ind w:right="163"/>
              <w:rPr>
                <w:sz w:val="20"/>
              </w:rPr>
            </w:pPr>
            <w:r>
              <w:rPr>
                <w:sz w:val="20"/>
              </w:rPr>
              <w:t>&lt;/span&gt;&lt;/p&gt;&lt;p style="line-height: 1.7999999999999998; text-indent: 57pt; text-align: justify; margin-top: 6pt; margin-bottom: 6pt;" dir="ltr"&gt; &lt;span style="color: #000000; background-color: transparent; font-weight: 700; font-style: normal; font-variant: normal; text-decoration: none; vertical-align: baseline; white-space: pre-wrap;"&gt;</w:t>
              <w:tab/>
              <w:t>&lt;span style="font-size: small;"&gt;</w:t>
              <w:tab/>
              <w:tab/>
              <w:t>&lt;span style="font-size: small;"&gt;</w:t>
              <w:tab/>
              <w:tab/>
              <w:t>&lt;span style="font-size: medium;"&gt;Prescrição:&lt;/span&gt;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medium;"&gt;A controvérsia versa sobre o termo inicial da contagem do prazo prescricional quanto à pretensão ao ressarcimento dos danos havidos em demanda que questiona a má gestão da conta do Programa de Formação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 w:pos="4742" w:val="left" w:leader="none"/>
                <w:tab w:pos="5687" w:val="left" w:leader="none"/>
              </w:tabs>
              <w:spacing w:line="208" w:lineRule="auto" w:before="26"/>
              <w:ind w:right="42"/>
              <w:rPr>
                <w:sz w:val="20"/>
              </w:rPr>
            </w:pPr>
            <w:r>
              <w:rPr>
                <w:sz w:val="20"/>
              </w:rPr>
              <w:t>Patrimônio do Servidor Público - PASEP.&lt;/span&gt;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4562" w:val="left" w:leader="none"/>
                <w:tab w:pos="4780" w:val="left" w:leader="none"/>
                <w:tab w:pos="5725" w:val="left" w:leader="none"/>
              </w:tabs>
              <w:spacing w:line="208" w:lineRule="auto" w:before="0"/>
              <w:ind w:right="42"/>
              <w:rPr>
                <w:sz w:val="20"/>
              </w:rPr>
            </w:pPr>
            <w:r>
              <w:rPr>
                <w:sz w:val="20"/>
              </w:rPr>
              <w:t>&lt;span style="font-size: small;"&gt;</w:t>
              <w:tab/>
              <w:t>&lt;span style="font-size: medium;"&gt;Em outros termos, deve-se esclarecer o alcance e conteúdo da tese fixada pelo STJ no Tema Repetitivo nº 1150: "o dia em que o titular, comprovadamente, toma ciência dos desfalques realizados na conta individual vinculada ao PASEP".&lt;/span&gt;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s>
              <w:spacing w:line="190" w:lineRule="exact" w:before="0"/>
              <w:rPr>
                <w:sz w:val="20"/>
              </w:rPr>
            </w:pPr>
            <w:r>
              <w:rPr>
                <w:sz w:val="20"/>
              </w:rPr>
              <w:t>&lt;span style="font-size: small;"&gt;</w:t>
              <w:tab/>
              <w:t>&lt;span style="font-size: medium;"&gt;Pois bem.&lt;/span&gt;</w:t>
            </w:r>
          </w:p>
          <w:p>
            <w:pPr>
              <w:pStyle w:val="TableParagraph"/>
              <w:tabs>
                <w:tab w:pos="985" w:val="left" w:leader="none"/>
                <w:tab w:pos="2549" w:val="left" w:leader="none"/>
                <w:tab w:pos="5776" w:val="left" w:leader="none"/>
                <w:tab w:pos="7275" w:val="left" w:leader="none"/>
              </w:tabs>
              <w:spacing w:line="208" w:lineRule="auto" w:before="9"/>
              <w:ind w:right="180"/>
              <w:rPr>
                <w:sz w:val="20"/>
              </w:rPr>
            </w:pPr>
            <w:r>
              <w:rPr>
                <w:sz w:val="20"/>
              </w:rPr>
              <w:t>&lt;/span&gt;</w:t>
              <w:tab/>
              <w:t>&lt;/span&gt; &lt;/span&gt;&lt;/p&gt;&lt;p style="line-height: 1.7999999999999998; text-indent: 57pt; text-align: justify; margin-top: 6pt; margin-bottom: 6pt;" dir="ltr"&gt; &lt;span </w:t>
            </w:r>
            <w:r>
              <w:rPr>
                <w:spacing w:val="-2"/>
                <w:sz w:val="20"/>
              </w:rPr>
              <w:t>style="color: </w:t>
            </w:r>
            <w:r>
              <w:rPr>
                <w:sz w:val="20"/>
              </w:rPr>
              <w:t>#000000; background-color: transparent; font-weight: 400; font-style: normal; font-variant: normal; text-decoration: none; vertical-align: baseline; white-space: pre-wrap;"&gt;</w:t>
              <w:tab/>
              <w:t>&lt;span style="font-size: small;"&gt;</w:t>
              <w:tab/>
              <w:t>&lt;span style="font-size: small;"&gt;</w:t>
              <w:tab/>
              <w:t>&lt;span style="font-size: medium;"&gt;No julgamento dos Recursos Especiais nº 1895936/TO, 1895941/TO e 1951931/DF (Tema nº 1.150) sob o rito dos recursos repetitivos, de relatoria do Min.</w:t>
            </w:r>
          </w:p>
          <w:p>
            <w:pPr>
              <w:pStyle w:val="TableParagraph"/>
              <w:tabs>
                <w:tab w:pos="5609" w:val="left" w:leader="none"/>
                <w:tab w:pos="6554" w:val="left" w:leader="none"/>
              </w:tabs>
              <w:spacing w:line="190" w:lineRule="exact" w:before="0"/>
              <w:rPr>
                <w:sz w:val="20"/>
              </w:rPr>
            </w:pPr>
            <w:r>
              <w:rPr>
                <w:sz w:val="20"/>
              </w:rPr>
              <w:t>Herman Benjamin, o STJ firmou a seguintes teses:&lt;/span&gt;</w:t>
              <w:tab/>
              <w:t>&lt;/span&gt;</w:t>
              <w:tab/>
              <w:t>&lt;/span&gt;</w:t>
            </w:r>
          </w:p>
          <w:p>
            <w:pPr>
              <w:pStyle w:val="TableParagraph"/>
              <w:tabs>
                <w:tab w:pos="1550" w:val="left" w:leader="none"/>
                <w:tab w:pos="1962" w:val="left" w:leader="none"/>
                <w:tab w:pos="2549" w:val="left" w:leader="none"/>
                <w:tab w:pos="3019" w:val="left" w:leader="none"/>
                <w:tab w:pos="3964" w:val="left" w:leader="none"/>
                <w:tab w:pos="5776" w:val="left" w:leader="none"/>
                <w:tab w:pos="6553" w:val="left" w:leader="none"/>
              </w:tabs>
              <w:spacing w:line="208" w:lineRule="auto" w:before="10"/>
              <w:ind w:right="285"/>
              <w:rPr>
                <w:sz w:val="20"/>
              </w:rPr>
            </w:pPr>
            <w:r>
              <w:rPr>
                <w:sz w:val="20"/>
              </w:rPr>
              <w:t>&lt;/span&gt;&lt;/p&gt;&lt;p style="line-height: 1.7999999999999998; margin-left: 120pt; text-indent: 57pt; text-align: justify; margin-top: 6pt; margin-bottom: 6pt;" dir="ltr"&gt;&amp;#160;&lt;/p&gt;&lt;p style="line-height: 1.7999999999999998; margin-left: 120pt;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w:t>
              <w:tab/>
              <w:t>&lt;em&gt;i) O Banco do Brasil possui legitimidade passiva ad causam para figurar no polo passivo de demanda na qual se discute eventual falha na prestação do serviço quanto a conta vinculada ao Pasep, saques indevidos e desfalques, além da ausência de aplicação dos rendimentos estabelecidas pelo Conselho Diretor do referido programa;&lt;/em&gt;</w:t>
              <w:tab/>
              <w:tab/>
              <w:t>&lt;/span&gt;</w:t>
              <w:tab/>
              <w:t>&lt;/span&gt;</w:t>
              <w:tab/>
              <w:t>&lt;/span&gt; &lt;/span&gt;&lt;/p&gt;&lt;p style="line-height: 1.7999999999999998; margin-left: 120pt; text-indent: 57pt; text-align: justify; margin-top: 6pt; margin-bottom: 6pt;" dir="ltr"&gt; &lt;span style="color: #000000; background-color:</w:t>
            </w:r>
          </w:p>
          <w:p>
            <w:pPr>
              <w:pStyle w:val="TableParagraph"/>
              <w:tabs>
                <w:tab w:pos="4562" w:val="left" w:leader="none"/>
              </w:tabs>
              <w:spacing w:line="208" w:lineRule="auto" w:before="0"/>
              <w:ind w:right="42"/>
              <w:rPr>
                <w:sz w:val="20"/>
              </w:rPr>
            </w:pPr>
            <w:r>
              <w:rPr>
                <w:sz w:val="20"/>
              </w:rPr>
              <w:t>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2549" w:val="left" w:leader="none"/>
                <w:tab w:pos="3266" w:val="left" w:leader="none"/>
                <w:tab w:pos="3397" w:val="left" w:leader="none"/>
                <w:tab w:pos="4453" w:val="left" w:leader="none"/>
                <w:tab w:pos="5398" w:val="left" w:leader="none"/>
                <w:tab w:pos="5776" w:val="left" w:leader="none"/>
                <w:tab w:pos="6553" w:val="left" w:leader="none"/>
                <w:tab w:pos="6848" w:val="left" w:leader="none"/>
              </w:tabs>
              <w:spacing w:line="208" w:lineRule="auto" w:before="0"/>
              <w:ind w:right="342"/>
              <w:rPr>
                <w:sz w:val="20"/>
              </w:rPr>
            </w:pPr>
            <w:r>
              <w:rPr>
                <w:sz w:val="20"/>
              </w:rPr>
              <w:t>&lt;span style="font-size: small;"&gt;</w:t>
              <w:tab/>
              <w:t>&lt;span style="font-size: medium;"&gt;</w:t>
              <w:tab/>
              <w:tab/>
              <w:t>&lt;em&gt;ii) a pretensão ao ressarcimento dos danos havidos em razão dos desfalques em conta individual vinculada ao Pasep se submete ao prazo prescricional decenal previsto pelo artigo 205 do Código Civil;&lt;/em&gt;</w:t>
              <w:tab/>
              <w:tab/>
              <w:t>&lt;/span&gt;</w:t>
              <w:tab/>
              <w:t>&lt;/span&gt;</w:t>
              <w:tab/>
              <w:t>&lt;/span&gt; &lt;/span&gt;&lt;/p&gt;&lt;p style="line-height: 1.7999999999999998; margin-left: 120pt;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ab/>
              <w:t>&lt;span style="font-size:</w:t>
            </w:r>
          </w:p>
          <w:p>
            <w:pPr>
              <w:pStyle w:val="TableParagraph"/>
              <w:tabs>
                <w:tab w:pos="939" w:val="left" w:leader="none"/>
                <w:tab w:pos="1550" w:val="left" w:leader="none"/>
                <w:tab w:pos="2119" w:val="left" w:leader="none"/>
                <w:tab w:pos="2252" w:val="left" w:leader="none"/>
                <w:tab w:pos="2794" w:val="left" w:leader="none"/>
                <w:tab w:pos="3064" w:val="left" w:leader="none"/>
                <w:tab w:pos="3813" w:val="left" w:leader="none"/>
                <w:tab w:pos="4054" w:val="left" w:leader="none"/>
                <w:tab w:pos="4380" w:val="left" w:leader="none"/>
                <w:tab w:pos="4869" w:val="left" w:leader="none"/>
                <w:tab w:pos="5814" w:val="left" w:leader="none"/>
                <w:tab w:pos="7281" w:val="left" w:leader="none"/>
                <w:tab w:pos="7495" w:val="left" w:leader="none"/>
              </w:tabs>
              <w:spacing w:line="208" w:lineRule="auto" w:before="0"/>
              <w:ind w:right="42"/>
              <w:rPr>
                <w:sz w:val="20"/>
              </w:rPr>
            </w:pPr>
            <w:r>
              <w:rPr>
                <w:sz w:val="20"/>
              </w:rPr>
              <w:t>medium;"&gt;</w:t>
              <w:tab/>
              <w:t>&lt;em&gt;iii) o termo inicial para a contagem do prazo prescricional é o dia </w:t>
            </w:r>
            <w:r>
              <w:rPr>
                <w:spacing w:val="-8"/>
                <w:sz w:val="20"/>
              </w:rPr>
              <w:t>em </w:t>
            </w:r>
            <w:r>
              <w:rPr>
                <w:sz w:val="20"/>
              </w:rPr>
              <w:t>que o titular, comprovadamente, toma ciência dos desfalques realizados na conta individual vinculada ao Pasep".&lt;/em&gt;</w:t>
              <w:tab/>
              <w:t>&lt;/span&gt;</w:t>
              <w:tab/>
              <w:t>&lt;/span&gt;</w:t>
              <w:tab/>
              <w:t>&lt;/span&gt; &lt;/span&gt;&lt;/p&gt;&lt;p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ab/>
              <w:t>&lt;span style="font-size: small;"&gt;</w:t>
              <w:tab/>
              <w:t>&lt;span style="font-size: medium;"&gt;Nesse contexto, o Tema nº 1.150 estabeleceu que o prazo prescricional é decenal e somente se inicia quando o titular toma ciência dos desfalques.&lt;/span&gt;</w:t>
              <w:tab/>
              <w:t>&lt;/span&gt;</w:t>
              <w:tab/>
              <w:t>&lt;/span&gt; &lt;/span&gt;&lt;/p&gt;&lt;p style="line-height: 1.7999999999999998; text-indent: 57pt; text-align: justify; margin-top: 6pt; margin-bottom: 6pt;" dir="ltr"&gt;  &lt;span style="font-size: small;"&gt;</w:t>
              <w:tab/>
              <w:t>&lt;span style="font-size: small;"&gt;</w:t>
              <w:tab/>
              <w:tab/>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pre-wrap;"&gt;&amp;#160;A redação conferida pela Primeira Seção do Superior Tribunal de Justiça à tese firmada no julgamento do mencionado Tema 1.150, estabeleceu, como dito acima, que o termo inicial do prazo prescricional é o dia em que o titular,&lt;/span&gt;</w:t>
              <w:tab/>
              <w:tab/>
              <w:t>&lt;span style="color: #000000; background-color: transparent; font- weight: 400; font-style: normal; font-variant: normal; text-decoration: none; vertical-align: baseline; white-space: pre-wrap;"&gt;comprovadamente, toma ciência dos desfalques realizados na conta individual vinculada ao Pasep, o que entendo ter ocorrido com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843" w:val="left" w:leader="none"/>
                <w:tab w:pos="5102" w:val="left" w:leader="none"/>
              </w:tabs>
              <w:spacing w:line="208" w:lineRule="auto" w:before="26"/>
              <w:ind w:right="99"/>
              <w:rPr>
                <w:sz w:val="20"/>
              </w:rPr>
            </w:pPr>
            <w:r>
              <w:rPr>
                <w:sz w:val="20"/>
              </w:rPr>
              <w:t>obtenção da microfilmagem dos extratos em 06/09/2024, ID&amp;#160; 19717964, em que pese o excessivo lapso temporal decorrido a partir de sua “mera suspeita” de irregularidade, que se deu por ocasião de sua aposentadoria, que ocorreu em 12/2019, conforme documento ID 19717942.&lt;/span&gt;&lt;/span&gt;</w:t>
              <w:tab/>
              <w:t>&lt;/span&gt; &lt;/span&gt;&lt;/p&gt;&lt;p </w:t>
            </w:r>
            <w:r>
              <w:rPr>
                <w:spacing w:val="-2"/>
                <w:sz w:val="20"/>
              </w:rPr>
              <w:t>style="line- </w:t>
            </w:r>
            <w:r>
              <w:rPr>
                <w:sz w:val="20"/>
              </w:rPr>
              <w:t>height: 1.7999999999999998; text-indent: 57pt; text-align: justify; margin-top: 6pt; margin- bottom: 6pt;" dir="ltr"&gt;  &lt;span style="font-size: small;"&gt;</w:t>
              <w:tab/>
              <w:t>&lt;span style="font-size: small;"&gt;</w:t>
            </w:r>
          </w:p>
          <w:p>
            <w:pPr>
              <w:pStyle w:val="TableParagraph"/>
              <w:tabs>
                <w:tab w:pos="3400"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pre-wrap;"&gt;Tanto o é, que o voto proferido pelo eminente Ministro Relator contém a ressalva de que “o curso do prazo prescricional do direito de reclamar inicia-se somente quando o titular do direito subjetivo violado&lt;/span&gt;</w:t>
            </w:r>
          </w:p>
          <w:p>
            <w:pPr>
              <w:pStyle w:val="TableParagraph"/>
              <w:tabs>
                <w:tab w:pos="939" w:val="left" w:leader="none"/>
                <w:tab w:pos="1194" w:val="left" w:leader="none"/>
                <w:tab w:pos="1640" w:val="left" w:leader="none"/>
                <w:tab w:pos="2019" w:val="left" w:leader="none"/>
                <w:tab w:pos="2074" w:val="left" w:leader="none"/>
                <w:tab w:pos="2473" w:val="left" w:leader="none"/>
                <w:tab w:pos="3019" w:val="left" w:leader="none"/>
                <w:tab w:pos="3407" w:val="left" w:leader="none"/>
                <w:tab w:pos="4054" w:val="left" w:leader="none"/>
                <w:tab w:pos="5588" w:val="left" w:leader="none"/>
                <w:tab w:pos="6556" w:val="left" w:leader="none"/>
                <w:tab w:pos="7281" w:val="left" w:leader="none"/>
              </w:tabs>
              <w:spacing w:line="208" w:lineRule="auto" w:before="0"/>
              <w:ind w:right="42"/>
              <w:rPr>
                <w:sz w:val="20"/>
              </w:rPr>
            </w:pPr>
            <w:r>
              <w:rPr>
                <w:sz w:val="20"/>
              </w:rPr>
              <w:t>&lt;span style="color: #000000; background-color: transparent; font-weight: 400; font-style: normal; font-variant: normal; text-decoration: none; vertical-align: baseline; white-space: pre-wrap;"&gt;passa a conhecer o fato e a extensão de suas consequências”, donde se extrai que a “estranheza” manifestada pela parte, ao se deparar com quantia considerada irrisória ao efetuar o saque do Pasep no ano de 2019, não deve ser compreendida como&lt;/span&gt;</w:t>
              <w:tab/>
              <w:t>&lt;span style="color: #000000; background-color: transparent; font-weight: 700; font-style: normal; font-variant: normal; text-decoration: none; vertical-align: baseline; white-space: pre-wrap;"&gt;c&lt;/span&gt;</w:t>
              <w:tab/>
              <w:t>&lt;span style="color: #000000; background-color: transparent; font-weight: 400; font-style: normal; font-variant: normal; text-decoration: </w:t>
            </w:r>
            <w:r>
              <w:rPr>
                <w:spacing w:val="-4"/>
                <w:sz w:val="20"/>
              </w:rPr>
              <w:t>none; </w:t>
            </w:r>
            <w:r>
              <w:rPr>
                <w:sz w:val="20"/>
              </w:rPr>
              <w:t>vertical-align: baseline; white-space: pre-wrap;"&gt;omprovada ciência dos desfalques, para fins de deflagração do prazo prescricional; do contrário, não seria necessária a solicitação da microfilmagem de seus extratos que, segundo a parte autora, tivera por escopo confirmar sua suspeita de que o valor sacado não correspondia ao que alega fazer jus.&lt;/span&gt;&lt;/span&gt;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&lt;span style="font-size: small;"&gt;</w:t>
              <w:tab/>
              <w:t>&lt;span style="font-size: medium;"&gt;Assim, na hipótese vertente, considerando que apenas em setembro de 2024,&amp;#160; a parte apelante teve ciência da suposta lesão ao seu direito, isto é, após ter acesso ao extrato de sua movimentação bancária, e que a presente ação foi ajuizada em 14/08/2024 não há que se falar em prescrição em incidência da prescrição.&lt;/span&gt;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ab/>
              <w:t>&lt;span style="font-size: medium;"&gt;Neste sentido:&lt;/span&gt;</w:t>
              <w:tab/>
              <w:t>&lt;/span&gt;</w:t>
            </w:r>
          </w:p>
          <w:p>
            <w:pPr>
              <w:pStyle w:val="TableParagraph"/>
              <w:tabs>
                <w:tab w:pos="1327" w:val="left" w:leader="none"/>
                <w:tab w:pos="2438" w:val="left" w:leader="none"/>
                <w:tab w:pos="5553" w:val="left" w:leader="none"/>
              </w:tabs>
              <w:spacing w:line="208" w:lineRule="auto" w:before="0"/>
              <w:ind w:right="125"/>
              <w:rPr>
                <w:sz w:val="20"/>
              </w:rPr>
            </w:pPr>
            <w:r>
              <w:rPr>
                <w:sz w:val="20"/>
              </w:rPr>
              <w:t>&lt;/span&gt; &lt;/span&gt;&lt;/p&gt;&lt;p style="line-height: 1.7999999999999998; margin-left: 113pt; </w:t>
            </w:r>
            <w:r>
              <w:rPr>
                <w:spacing w:val="-4"/>
                <w:sz w:val="20"/>
              </w:rPr>
              <w:t>text- </w:t>
            </w:r>
            <w:r>
              <w:rPr>
                <w:sz w:val="20"/>
              </w:rPr>
              <w:t>indent: 57pt; text-align: justify; margin-top: 6pt; margin-bottom: 6pt;" dir="ltr"&gt; &lt;span style="font-size: small;"&gt;</w:t>
              <w:tab/>
              <w:t>&lt;span style="font-size: small;"&gt;</w:t>
              <w:tab/>
              <w:t>&lt;span style="font-size: medium;"&gt;</w:t>
              <w:tab/>
              <w:t>&lt;span style="color: #000000; background-color: transparent; font-weight: 400; font-style: normal; font-variant: normal; text-decoration: none; vertical-align: baseline; white-space: pre-wrap;"&gt;&amp;#160;APELAÇÃO CÍVEL. AÇÃO DE COBRANÇA E INDENIZAÇÃO POR DANOS MORAIS. PROGRAMA DE FORMAÇÃO DO PATRIMÔNIO DO SERVIDOR (PASEP). SENTENÇA DECLARATÓRIA DE PRESCRIÇÃO DA PRETENSÃO AUTORAL. IRRESIGNAÇÃO DA PARTE AUTORA. ANÁLISE SOBRE O TERMO INICIAL DA PRESCRIÇÃO. APLICAÇÃO DO TEMA REPETITIVO Nº 1.150 DO STJ. RECURSO CONHECIDO E PARCIALMENTE PROVIDO. SENTENÇA ANULADA.</w:t>
            </w:r>
          </w:p>
          <w:p>
            <w:pPr>
              <w:pStyle w:val="TableParagraph"/>
              <w:tabs>
                <w:tab w:pos="2763" w:val="left" w:leader="none"/>
              </w:tabs>
              <w:spacing w:line="208" w:lineRule="auto" w:before="0"/>
              <w:ind w:right="25"/>
              <w:rPr>
                <w:sz w:val="20"/>
              </w:rPr>
            </w:pPr>
            <w:r>
              <w:rPr>
                <w:sz w:val="20"/>
              </w:rPr>
              <w:t>RETORNO DOS AUTOS AO JUÍZO DE ORIGEM. 1. No caso, o presente recurso limita-se a impugnar a improcedência do pedido exordial, ante o reconhecimento da prescrição da pretensão autoral.&lt;/span&gt;</w:t>
              <w:tab/>
              <w:t>&lt;span style="color: #000000; background-color: </w:t>
            </w:r>
            <w:r>
              <w:rPr>
                <w:spacing w:val="-2"/>
                <w:sz w:val="20"/>
              </w:rPr>
              <w:t>transparent; </w:t>
            </w:r>
            <w:r>
              <w:rPr>
                <w:sz w:val="20"/>
              </w:rPr>
              <w:t>font-weight: 700; font-style: normal; font-variant: normal; text-decoration: none; vertical- align: baseline; white-space: pre-wrap;"&gt;2. Sobre o tema, o Superior Tribunal de Justiça (STJ) firmou o Tema Repetitivo nº 1.150, na qual restou decidido que ¿ii) a pretensão ao ressarcimento dos danos havidos em razão dos desfalques em conta individual vinculada ao Pasep se submete ao prazo prescricional decenal previsto pelo art. 205 do Código </w:t>
            </w:r>
            <w:r>
              <w:rPr>
                <w:spacing w:val="-3"/>
                <w:sz w:val="20"/>
              </w:rPr>
              <w:t>Civil; </w:t>
            </w:r>
            <w:r>
              <w:rPr>
                <w:sz w:val="20"/>
              </w:rPr>
              <w:t>e iii) o termo inicial para a contagem do prazo prescricional é o dia em que o titular, comprovadamente, toma ciência dos desfalques realizados na conta individual vinculada ao Pasep.¿ 3. Dessa maneira, o lapso da prescrição teve início quando o autor teve acesso à microfilmagem dos extratos da sua conta vinculada ao PASEP, ocorrido em 2023, não fulminando o direito de ação exercitado no início deste ano de 2024.&lt;/span&gt;</w:t>
            </w:r>
          </w:p>
          <w:p>
            <w:pPr>
              <w:pStyle w:val="TableParagraph"/>
              <w:spacing w:line="208" w:lineRule="auto" w:before="0"/>
              <w:ind w:right="96"/>
              <w:rPr>
                <w:sz w:val="20"/>
              </w:rPr>
            </w:pPr>
            <w:r>
              <w:rPr>
                <w:sz w:val="20"/>
              </w:rPr>
              <w:t>&lt;span style="color: #000000; background-color: transparent; font-weight: 400; font-style: normal; font-variant: normal; text-decoration: none; vertical-align: baseline; white-space: pre-wrap;"&gt;4. Outrossim, ainda que o art. 1.013, § 4º, do CPC, permita o julgamento da demanda neste 2º grau, como pretende a parte autora, não vislumbro presentes os elementos necessários ao julgamento da causa no estado em que se encontra, haja vista a complexidade da demanda, com necessária dilação probatória e atenção às orientações contidas em Nota Técnica nº 07/2024, do Órgão da Vice-Presidência do Tribunal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
              <w:rPr>
                <w:sz w:val="20"/>
              </w:rPr>
            </w:pPr>
            <w:r>
              <w:rPr>
                <w:sz w:val="20"/>
              </w:rPr>
              <w:t>Justiça do Estado do Ceará, emitida com a finalidade de conduzir os procedimentos a serem adotados nas ações indenizatórias vinculadas ao Tema 1150. 5. Recurso conhecido e parcialmente provido. Sentença anulada, com retorno dos autos ao juízo de origem para o devido processamento e julgamento.&amp;#160; (Apelação Cível - 0202505- 95.2024.8.06.0001, Rel. Desembargador(a) MARCOS WILLIAM LEITE DE OLIVEIRA, 3ª</w:t>
            </w:r>
          </w:p>
          <w:p>
            <w:pPr>
              <w:pStyle w:val="TableParagraph"/>
              <w:tabs>
                <w:tab w:pos="2549" w:val="left" w:leader="none"/>
                <w:tab w:pos="4476" w:val="left" w:leader="none"/>
                <w:tab w:pos="5909" w:val="left" w:leader="none"/>
                <w:tab w:pos="7236" w:val="left" w:leader="none"/>
              </w:tabs>
              <w:spacing w:line="208" w:lineRule="auto" w:before="0"/>
              <w:ind w:right="55"/>
              <w:rPr>
                <w:sz w:val="20"/>
              </w:rPr>
            </w:pPr>
            <w:r>
              <w:rPr>
                <w:sz w:val="20"/>
              </w:rPr>
              <w:t>Câmara Direito Privado, data do julgamento:&amp;#160; 11/09/2024, data da publicação:&amp;#160; 11/09/2024)&lt;/span&gt;&lt;/span&gt;</w:t>
              <w:tab/>
              <w:t>&lt;/span&gt; &lt;/span&gt;&lt;/p&gt;&lt;p style="line- height: 1.7999999999999998; margin-left: 113pt; text-indent: 57pt; text-align: justify; margin-top: 6pt; margin-bottom: 6pt;" dir="ltr"&gt;  &lt;span style="font-size: small;"&gt;</w:t>
              <w:tab/>
              <w:t>&lt;span style="font-size: small;"&gt;</w:t>
              <w:tab/>
              <w:t>&lt;span style="font-size: medium;"&gt;</w:t>
              <w:tab/>
              <w:t>&lt;span style="color: #000000; background-color: transparent; font-weight: 400; font-style: normal; font-variant: normal; text-decoration: none; vertical-align: baseline; white-space: pre- wrap;"&gt;APELAÇÃO. AÇÃO ORDINÁRIA DE INDENIZAÇÃO RELACIONADA AOS SALDOS, ACRÉSCIMOS ILEGAIS, SAQUES E À DIFERENÇA DE VALORES NA </w:t>
            </w:r>
            <w:r>
              <w:rPr>
                <w:spacing w:val="-4"/>
                <w:sz w:val="20"/>
              </w:rPr>
              <w:t>CONTA </w:t>
            </w:r>
            <w:r>
              <w:rPr>
                <w:sz w:val="20"/>
              </w:rPr>
              <w:t>VINCULADA DO PASEP DO AUTOR/RECORRENTE. SENTENÇA QUE RECONHECEU A PRESCRIÇÃO E EXTINGUIU O FEITO COM ANÁLISE DO MÉRITO. QUESTIONAMENTO SOLUCIONADO NO JULGAMENTO DO TEMA REPETITIVO Nº</w:t>
            </w:r>
          </w:p>
          <w:p>
            <w:pPr>
              <w:pStyle w:val="TableParagraph"/>
              <w:tabs>
                <w:tab w:pos="2174" w:val="left" w:leader="none"/>
                <w:tab w:pos="2541" w:val="left" w:leader="none"/>
                <w:tab w:pos="6311" w:val="left" w:leader="none"/>
              </w:tabs>
              <w:spacing w:line="208" w:lineRule="auto" w:before="0"/>
              <w:ind w:right="18"/>
              <w:rPr>
                <w:sz w:val="20"/>
              </w:rPr>
            </w:pPr>
            <w:r>
              <w:rPr>
                <w:sz w:val="20"/>
              </w:rPr>
              <w:t>1.150 QUE UNIFORMIZOU A INTERPRETAÇÃO DA LEGISLAÇÃO INFRACONSTITUCIONAL. PRAZO PRESCRICIONAL QUE NÃO FULMINA O DIREITO DE AÇÃO. PRINCÍPIO DA ACTIO NATA. LAPSO QUE FLUI A PARTIR DO MOMENTO EM QUE A PARTE TOMA CONHECIMENTO DA OCORRÊNCIA DE IRREGULARIDADE NA SUA CONTA VINCULADA DO PASEP. SENTENÇA ANULADA. REMESSA DO FEITO PARA A VARA DE ORIGEM PARA O DEVIDO PROCESSAMENTO E JULGAMENTO DO LITÍGIO. - A petição inicial remete à apreciação do Judiciário litígio que envolve a responsabilidade do Banco do Brasil S/A quanto à má gestão dos valores depositados </w:t>
            </w:r>
            <w:r>
              <w:rPr>
                <w:spacing w:val="-5"/>
                <w:sz w:val="20"/>
              </w:rPr>
              <w:t>pela </w:t>
            </w:r>
            <w:r>
              <w:rPr>
                <w:sz w:val="20"/>
              </w:rPr>
              <w:t>União do programa PIS/PASEP. - O Tribunal da Cidadania uniformizou a interpretação da legislação infraconstitucional no julgamento do tema repetitivo nº 1.150 para reconhecer, dentre outras teses não devolvidas na via apelatória, que "ii) a pretensão ao ressarcimento dos danos havidos em razão dos desfalques em conta individual vinculada ao Pasep se submete ao prazo prescricional decenal previsto pelo artigo 205 do Código Civil"; e que "iii) o termo inicial para a contagem do prazo prescricional é o dia em que o titular, comprovadamente, toma ciência dos desfalques realizados na conta individual vinculada ao Pasep. -&lt;/span&gt;</w:t>
              <w:tab/>
              <w:t>&lt;span style="color: #000000; background-color: transparent; font- weight: 700; font-style: normal; font-variant: normal; text-decoration: none; vertical-align: baseline; white-space: pre-wrap;"&gt;Em relação à prescrição, a jurisprudência entende ser aplicável o princípio da actio nata, iniciando-se o prazo prescricional a partir do momento em que a parte tem conhecimento da violação do seu direito e, aplicando a tese repetitiva nº 1.150 firmada pelo Tribunal da Cidadania, tem-se que: "A pretensão ao ressarcimento dos danos havidos em razão dos desfalques em conta individual vinculada ao PASEP se submete ao prazo prescricional decenal previsto pelo artigo 205 do Código Civil ou ao prazo quinquenal estipulado pelo artigo 1° do Decreto n° 20.910/32" e que "O termo inicial para a contagem do prazo prescricional é o dia em que o titular toma ciência dos desfalques ou a data do último depósito efetuado na conta individual vinculada ao PASEP". Desta forma, o lapso da prescrição teve início quando o autor teve acesso à microfilmagem dos extratos da sua conta vinculada ao PASEP, requisitada em 09/02/2024 e com previsão de entrega no dia 08/06/2024, não fulminando o direito de ação exercitado em 27/06/2024.&lt;/span&gt;</w:t>
              <w:tab/>
              <w:tab/>
              <w:t>&lt;span style="color: #000000; background-color: transparent; font-weight: 400; font-style: normal; font-variant: normal; text-decoration: none; vertical- align: baseline; white-space: pre-wrap;"&gt;RECURSO CONHECIDO E PROVIDO EM PARTE. (Apelação Cível - 0246192-25.2024.8.06.0001, Rel. Desembargador(a) PAULO AIRTON ALBUQUERQUE FILHO, 2ª Câmara Direito Privado, data do julgamento:&amp;#160; 02/10/2024, data da publicação:&amp;#160; 02/10/2024)&lt;/span&gt;&lt;/span&gt;</w:t>
              <w:tab/>
              <w:t>&lt;/span&gt;</w:t>
            </w:r>
          </w:p>
          <w:p>
            <w:pPr>
              <w:pStyle w:val="TableParagraph"/>
              <w:tabs>
                <w:tab w:pos="2549" w:val="left" w:leader="none"/>
                <w:tab w:pos="5776" w:val="left" w:leader="none"/>
                <w:tab w:pos="6553" w:val="left" w:leader="none"/>
              </w:tabs>
              <w:spacing w:line="208" w:lineRule="auto" w:before="0"/>
              <w:ind w:right="173"/>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medium;"&gt;Em que pese a anulação da sentença, com o afastamento da prescrição, constata-se que a causa não se encontra em condições de imediato julgamento por esta instância (art. 1.013, § 4º do CPC). Afinal, o magistrado procedeu ao julgamento antecipado da lide, não havendo se manifestado quanto ao pedido de danos morais, </w:t>
            </w:r>
            <w:r>
              <w:rPr>
                <w:spacing w:val="-6"/>
                <w:sz w:val="20"/>
              </w:rPr>
              <w:t>bem </w:t>
            </w:r>
            <w:r>
              <w:rPr>
                <w:sz w:val="20"/>
              </w:rPr>
              <w:t>como pelo fato de não existir, neste momento, meios de se afirmar, com a segurança necessária, que teriam ocorrido saques indevidos na conta vinculada ao Pasep, os quais poderiam ser tidos como “desfalques” para fins de ressarcimento da apelante.&lt;/span&gt;</w:t>
            </w:r>
          </w:p>
          <w:p>
            <w:pPr>
              <w:pStyle w:val="TableParagraph"/>
              <w:spacing w:line="208" w:lineRule="auto" w:before="0"/>
              <w:ind w:right="246"/>
              <w:jc w:val="both"/>
              <w:rPr>
                <w:sz w:val="20"/>
              </w:rPr>
            </w:pPr>
            <w:r>
              <w:rPr>
                <w:sz w:val="20"/>
              </w:rPr>
              <w:t>&lt;/span&gt; &lt;/span&gt; &lt;/span&gt;&lt;/p&gt;&lt;p style="line-height: 1.7999999999999998; </w:t>
            </w:r>
            <w:r>
              <w:rPr>
                <w:spacing w:val="-2"/>
                <w:sz w:val="20"/>
              </w:rPr>
              <w:t>text-indent: </w:t>
            </w:r>
            <w:r>
              <w:rPr>
                <w:sz w:val="20"/>
              </w:rPr>
              <w:t>57pt; text-align: justify; margin-top: 6pt; margin-bottom: 6pt;" dir="ltr"&gt; &lt;span style="font- size: small;"&gt; &lt;span style="font-size: small;"&gt; &lt;span style="font-size: medium;"&gt;</w:t>
            </w:r>
          </w:p>
          <w:p>
            <w:pPr>
              <w:pStyle w:val="TableParagraph"/>
              <w:tabs>
                <w:tab w:pos="2873"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pre-wrap;"&gt;&amp;#160;&lt;/span&gt;</w:t>
              <w:tab/>
              <w:t>&lt;span style="color: #000000; background-color: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230" w:val="left" w:leader="none"/>
                <w:tab w:pos="7175" w:val="left" w:leader="none"/>
              </w:tabs>
              <w:spacing w:line="208" w:lineRule="auto" w:before="26"/>
              <w:ind w:right="42"/>
              <w:rPr>
                <w:sz w:val="20"/>
              </w:rPr>
            </w:pPr>
            <w:r>
              <w:rPr>
                <w:sz w:val="20"/>
              </w:rPr>
              <w:t>transparent; font-weight: 700; font-style: normal; font-variant: normal; text-decoration: </w:t>
            </w:r>
            <w:r>
              <w:rPr>
                <w:spacing w:val="-4"/>
                <w:sz w:val="20"/>
              </w:rPr>
              <w:t>none; </w:t>
            </w:r>
            <w:r>
              <w:rPr>
                <w:sz w:val="20"/>
              </w:rPr>
              <w:t>vertical-align: baseline; white-space: pre-wrap;"&gt;MÉRITO.&lt;/span&gt;</w:t>
              <w:tab/>
              <w:t>&lt;/span&gt;</w:t>
              <w:tab/>
              <w:t>&lt;/span&gt;</w:t>
            </w:r>
          </w:p>
          <w:p>
            <w:pPr>
              <w:pStyle w:val="TableParagraph"/>
              <w:spacing w:line="208" w:lineRule="auto" w:before="0"/>
              <w:ind w:right="415"/>
              <w:rPr>
                <w:sz w:val="20"/>
              </w:rPr>
            </w:pPr>
            <w:r>
              <w:rPr>
                <w:sz w:val="20"/>
              </w:rPr>
              <w:t>&lt;/span&gt;&lt;/p&gt;&lt;p style="line-height: 1.7999999999999998; text-indent: 57pt; text-align: justify; margin-top: 6pt; margin-bottom: 6pt;" dir="ltr"&gt; &lt;span style="font-size: small;"&gt;</w:t>
            </w:r>
          </w:p>
          <w:p>
            <w:pPr>
              <w:pStyle w:val="TableParagraph"/>
              <w:tabs>
                <w:tab w:pos="2296" w:val="left" w:leader="none"/>
                <w:tab w:pos="2440" w:val="left" w:leader="none"/>
                <w:tab w:pos="2540" w:val="left" w:leader="none"/>
                <w:tab w:pos="2794" w:val="left" w:leader="none"/>
                <w:tab w:pos="2852" w:val="left" w:leader="none"/>
                <w:tab w:pos="3155" w:val="left" w:leader="none"/>
                <w:tab w:pos="4380" w:val="left" w:leader="none"/>
                <w:tab w:pos="4562" w:val="left" w:leader="none"/>
                <w:tab w:pos="6515" w:val="left" w:leader="none"/>
                <w:tab w:pos="6655" w:val="left" w:leader="none"/>
                <w:tab w:pos="7142" w:val="left" w:leader="none"/>
                <w:tab w:pos="7495" w:val="left" w:leader="none"/>
              </w:tabs>
              <w:spacing w:line="208" w:lineRule="auto" w:before="0"/>
              <w:ind w:right="42"/>
              <w:rPr>
                <w:sz w:val="20"/>
              </w:rPr>
            </w:pPr>
            <w:r>
              <w:rPr>
                <w:sz w:val="20"/>
              </w:rPr>
              <w:t>&lt;span style="font-size: small;"&gt;</w:t>
              <w:tab/>
              <w:tab/>
              <w:t>&lt;span style="font-size: medium;"&gt;</w:t>
              <w:tab/>
              <w:t>&lt;span style="color: #000000; background-color: transparent; font-weight: 400; font-style: normal; font-variant: normal; text-decoration: none; vertical-align: baseline; white-space: pre- wrap;"&gt;Superadas as premissas acima mencionadas, entendo que não poderia o Magistrado Singular ter determinado o julgamento antecipado da lide, o que me leva ao reconhecimento do&lt;/span&gt;</w:t>
              <w:tab/>
              <w:tab/>
              <w:tab/>
              <w:t>&lt;span style="color: #000000; background-color: transparent; font-weight: 400; font-style: italic; font-variant: normal; text-decoration: none; vertical-align: baseline; white-space: pre-wrap;"&gt;error in procedendo&lt;/span&gt;</w:t>
              <w:tab/>
              <w:t>&lt;span style="color: #000000; background-color: transparent; font-weight: 400; font-style: normal; font-variant: normal; text-decoration: none; vertical-align: baseline; white-space: pre- wrap;"&gt;.&lt;/span&gt;&lt;/span&gt;</w:t>
              <w:tab/>
              <w:tab/>
              <w:t>&lt;/span&gt; &lt;/span&gt;&lt;/p&gt;&lt;p style="line-height: 1.7999999999999998; text-indent: 57pt; text-align: justify; margin-top: 6pt; margin-bottom: 6pt;" dir="ltr"&gt;  &lt;span style="font-size: small;"&gt;</w:t>
              <w:tab/>
              <w:t>&lt;span style="font-size: small;"&gt;</w:t>
              <w:tab/>
              <w:t>&lt;span style="font-size: medium;"&gt;</w:t>
              <w:tab/>
              <w:tab/>
              <w:t>&lt;span style="color: #000000; background-color: transparent; font-weight: 400; font-style: normal; font-variant: normal; text-decoration: </w:t>
            </w:r>
            <w:r>
              <w:rPr>
                <w:spacing w:val="-4"/>
                <w:sz w:val="20"/>
              </w:rPr>
              <w:t>none; </w:t>
            </w:r>
            <w:r>
              <w:rPr>
                <w:sz w:val="20"/>
              </w:rPr>
              <w:t>vertical-align: baseline; white-space: pre-wrap;"&gt;De certo, a ausência de fase instrutória nos feitos que envolvem pedido de indenização, não acarreta,&lt;/span&gt;</w:t>
              <w:tab/>
              <w:tab/>
              <w:t>&lt;span style="color: #000000; background-color: transparent; font-weight: 400; font-style: italic; font-variant: normal; text-decoration: none; vertical-align: baseline; white-space: pre- wrap;"&gt;de per si&lt;/span&gt;</w:t>
              <w:tab/>
              <w:tab/>
              <w:tab/>
              <w:t>&lt;span style="color: #000000; background-color: transparent; font-weight: 400; font-style: normal; font-variant: normal; text-decoration: none; vertical- align: baseline; white-space: pre-wrap;"&gt;, nulidade da sentença, porquanto o Magistrado tenha o poder-dever de julgar antecipadamente a lide quando o processo já se encontrar suficientemente instruído, nos termos do artigo 355, inciso I, do Código de Processo Civil, verbis:&lt;/span&gt;&lt;/span&gt;</w:t>
              <w:tab/>
              <w:t>&lt;/span&gt; &lt;/span&gt;&lt;/p&gt;&lt;p style="line-height: 1.7999999999999998; margin-left: 128pt;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ab/>
              <w:t>&lt;span style="font-size: small;"&gt;</w:t>
            </w:r>
          </w:p>
          <w:p>
            <w:pPr>
              <w:pStyle w:val="TableParagraph"/>
              <w:tabs>
                <w:tab w:pos="1819" w:val="left" w:leader="none"/>
                <w:tab w:pos="2764" w:val="left" w:leader="none"/>
                <w:tab w:pos="3266" w:val="left" w:leader="none"/>
                <w:tab w:pos="4562" w:val="left" w:leader="none"/>
              </w:tabs>
              <w:spacing w:line="208" w:lineRule="auto" w:before="0"/>
              <w:ind w:right="42"/>
              <w:rPr>
                <w:sz w:val="20"/>
              </w:rPr>
            </w:pPr>
            <w:r>
              <w:rPr>
                <w:sz w:val="20"/>
              </w:rPr>
              <w:t>&lt;span style="font-size: small;"&gt;</w:t>
              <w:tab/>
              <w:t>&lt;span style="font-size: medium;"&gt;Art. 355. O juiz julgará antecipadamente o pedido, proferindo sentença com resolução de mérito, quando:&lt;/span&gt;</w:t>
              <w:tab/>
              <w:t>&lt;/span&gt;</w:t>
              <w:tab/>
              <w:t>&lt;/span&gt; &lt;/span&gt;&lt;/p&gt;&lt;p style="line-height: 1.7999999999999998; margin-left: 128pt;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5654" w:val="left" w:leader="none"/>
                <w:tab w:pos="6599" w:val="left" w:leader="none"/>
              </w:tabs>
              <w:spacing w:line="208" w:lineRule="auto" w:before="0"/>
              <w:ind w:right="569"/>
              <w:rPr>
                <w:sz w:val="20"/>
              </w:rPr>
            </w:pPr>
            <w:r>
              <w:rPr>
                <w:sz w:val="20"/>
              </w:rPr>
              <w:t>&lt;span style="font-size: small;"&gt;</w:t>
              <w:tab/>
              <w:t>&lt;span style="font-size: medium;"&gt;I - quando </w:t>
            </w:r>
            <w:r>
              <w:rPr>
                <w:spacing w:val="-6"/>
                <w:sz w:val="20"/>
              </w:rPr>
              <w:t>não </w:t>
            </w:r>
            <w:r>
              <w:rPr>
                <w:sz w:val="20"/>
              </w:rPr>
              <w:t>houver necessidade de produção de outras provas;&lt;/span&gt;</w:t>
              <w:tab/>
              <w:t>&lt;/span&gt;</w:t>
              <w:tab/>
              <w:t>&lt;/span&gt;</w:t>
            </w:r>
          </w:p>
          <w:p>
            <w:pPr>
              <w:pStyle w:val="TableParagraph"/>
              <w:tabs>
                <w:tab w:pos="1194" w:val="left" w:leader="none"/>
                <w:tab w:pos="2363" w:val="left" w:leader="none"/>
                <w:tab w:pos="2473" w:val="left" w:leader="none"/>
                <w:tab w:pos="3308" w:val="left" w:leader="none"/>
                <w:tab w:pos="5387" w:val="left" w:leader="none"/>
                <w:tab w:pos="5588" w:val="left" w:leader="none"/>
                <w:tab w:pos="6332" w:val="left" w:leader="none"/>
              </w:tabs>
              <w:spacing w:line="208" w:lineRule="auto" w:before="0"/>
              <w:ind w:right="52"/>
              <w:rPr>
                <w:sz w:val="20"/>
              </w:rPr>
            </w:pPr>
            <w:r>
              <w:rPr>
                <w:sz w:val="20"/>
              </w:rPr>
              <w:t>&lt;/span&gt;&lt;/p&gt;&lt;p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&lt;span style="font-size: small;"&gt;</w:t>
              <w:tab/>
              <w:tab/>
              <w:t>&lt;span style="font-size: small;"&gt;</w:t>
              <w:tab/>
              <w:t>&lt;span style="font-size: medium;"&gt;Contudo, o que se verificou foi o proferimento da sentença em que se realizou o julgamento antecipado da demanda, sem que houvesse prévia prolatação de decisão saneadora nos autos, com a fixação de </w:t>
            </w:r>
            <w:r>
              <w:rPr>
                <w:spacing w:val="-3"/>
                <w:sz w:val="20"/>
              </w:rPr>
              <w:t>pontos </w:t>
            </w:r>
            <w:r>
              <w:rPr>
                <w:sz w:val="20"/>
              </w:rPr>
              <w:t>controvertidos e a indicação de meios de provas a incidir sobre as teses apresentadas.&lt;/span&gt;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&lt;span style="font-size: small;"&gt;</w:t>
              <w:tab/>
              <w:tab/>
              <w:t>&lt;span style="font-size: small;"&gt;</w:t>
              <w:tab/>
              <w:t>&lt;span style="font-size: medium;"&gt;Destarte, seguindo o entendimento deste Tribunal de Justiça, o julgamento é nulo, pois ao julgar antecipadamente o mérito, sem sanear o processo e fixar os pontos controvertidos, a sentença violou a garantia de contraditório e maculou o devido processo legal.&lt;/span&gt;</w:t>
              <w:tab/>
              <w:t>&lt;/span&gt;</w:t>
              <w:tab/>
              <w:t>&lt;/span&gt;</w:t>
            </w:r>
          </w:p>
          <w:p>
            <w:pPr>
              <w:pStyle w:val="TableParagraph"/>
              <w:tabs>
                <w:tab w:pos="2549" w:val="left" w:leader="none"/>
                <w:tab w:pos="5776" w:val="left" w:leader="none"/>
                <w:tab w:pos="6553" w:val="left" w:leader="none"/>
              </w:tabs>
              <w:spacing w:line="208" w:lineRule="auto" w:before="0"/>
              <w:ind w:right="84"/>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&lt;span style="font-size: medium;"&gt;Por oportuno, registro que o Centro de Inteligência da Justiça Estadual do Ceará, Órgão da Vice-Presidência do Tribunal de Justiça do Estado do Ceará, emitiu a Nota Técnica n° 07/2024 (https://portal.tjce.jus.br/uploads/2022/08/NT- no-7-2024-PASEP- 1.pdf), a fim de orientar os procedimentos a serem adotados nas ações indenizatórias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 w:pos="4620" w:val="left" w:leader="none"/>
                <w:tab w:pos="5565" w:val="left" w:leader="none"/>
              </w:tabs>
              <w:spacing w:line="208" w:lineRule="auto" w:before="26"/>
              <w:ind w:right="42"/>
              <w:rPr>
                <w:sz w:val="20"/>
              </w:rPr>
            </w:pPr>
            <w:r>
              <w:rPr>
                <w:sz w:val="20"/>
              </w:rPr>
              <w:t>vinculadas ao referido Tema Repetitivo.&lt;/span&gt;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1939" w:val="left" w:leader="none"/>
                <w:tab w:pos="3266" w:val="left" w:leader="none"/>
                <w:tab w:pos="4220" w:val="left" w:leader="none"/>
                <w:tab w:pos="5055" w:val="left" w:leader="none"/>
              </w:tabs>
              <w:spacing w:line="208" w:lineRule="auto" w:before="0"/>
              <w:ind w:right="20"/>
              <w:rPr>
                <w:sz w:val="20"/>
              </w:rPr>
            </w:pPr>
            <w:r>
              <w:rPr>
                <w:sz w:val="20"/>
              </w:rPr>
              <w:t>&lt;span style="font-size: small;"&gt;</w:t>
              <w:tab/>
              <w:t>&lt;span style="font-size: medium;"&gt;Entre as recomendações, consta:&lt;/span&gt;</w:t>
              <w:tab/>
              <w:t>&lt;/span&gt;</w:t>
              <w:tab/>
              <w:t>&lt;/span&gt; &lt;/span&gt;&lt;/p&gt;&lt;p style="line-height: 1.7999999999999998; margin-left: 113pt; text-indent: 57pt; text-align: justify; margin-top: 6pt; margin-bottom: 6pt;" dir="ltr"&gt;&amp;#160;&lt;/p&gt;&lt;p style="line-height: 1.7999999999999998; margin-left: 113pt; text-indent: 57pt;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small;"&gt;</w:t>
            </w:r>
          </w:p>
          <w:p>
            <w:pPr>
              <w:pStyle w:val="TableParagraph"/>
              <w:tabs>
                <w:tab w:pos="2173" w:val="left" w:leader="none"/>
                <w:tab w:pos="3230" w:val="left" w:leader="none"/>
                <w:tab w:pos="3622" w:val="left" w:leader="none"/>
                <w:tab w:pos="4175" w:val="left" w:leader="none"/>
                <w:tab w:pos="4562" w:val="left" w:leader="none"/>
              </w:tabs>
              <w:spacing w:line="208" w:lineRule="auto" w:before="0"/>
              <w:ind w:right="42"/>
              <w:rPr>
                <w:sz w:val="20"/>
              </w:rPr>
            </w:pPr>
            <w:r>
              <w:rPr>
                <w:sz w:val="20"/>
              </w:rPr>
              <w:t>&lt;span style="font-size: medium;"&gt;</w:t>
              <w:tab/>
              <w:tab/>
              <w:t>&lt;em&gt;RECOMENDAÇÕES PARA O DESPACHO SANEADOR&lt;/em&gt;</w:t>
              <w:tab/>
              <w:t>&lt;/span&gt;</w:t>
              <w:tab/>
              <w:t>&lt;/span&gt;</w:t>
              <w:tab/>
              <w:t>&lt;/span&gt; &lt;/span&gt;&lt;/p&gt;&lt;p style="line-height: 1.7999999999999998; margin-left: 113pt;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266" w:val="left" w:leader="none"/>
                <w:tab w:pos="5887" w:val="left" w:leader="none"/>
                <w:tab w:pos="6848" w:val="left" w:leader="none"/>
                <w:tab w:pos="6943" w:val="left" w:leader="none"/>
              </w:tabs>
              <w:spacing w:line="208" w:lineRule="auto" w:before="0"/>
              <w:ind w:right="486"/>
              <w:rPr>
                <w:sz w:val="20"/>
              </w:rPr>
            </w:pPr>
            <w:r>
              <w:rPr>
                <w:sz w:val="20"/>
              </w:rPr>
              <w:t>&lt;span style="font-size: small;"&gt;</w:t>
              <w:tab/>
              <w:t>&lt;span style="font-size: medium;"&gt;</w:t>
              <w:tab/>
              <w:t>&lt;em&gt;j) Atentar para as teses fixadas pelo STJ no Tema 1150;&lt;/em&gt;</w:t>
              <w:tab/>
              <w:t>&lt;/span&gt;</w:t>
              <w:tab/>
              <w:tab/>
            </w:r>
            <w:r>
              <w:rPr>
                <w:spacing w:val="-3"/>
                <w:sz w:val="20"/>
              </w:rPr>
              <w:t>&lt;/span&gt;</w:t>
            </w:r>
          </w:p>
          <w:p>
            <w:pPr>
              <w:pStyle w:val="TableParagraph"/>
              <w:tabs>
                <w:tab w:pos="939" w:val="left" w:leader="none"/>
                <w:tab w:pos="3016" w:val="left" w:leader="none"/>
                <w:tab w:pos="4054" w:val="left" w:leader="none"/>
                <w:tab w:pos="5404" w:val="left" w:leader="none"/>
                <w:tab w:pos="6461" w:val="left" w:leader="none"/>
                <w:tab w:pos="7281" w:val="left" w:leader="none"/>
                <w:tab w:pos="7406" w:val="left" w:leader="none"/>
              </w:tabs>
              <w:spacing w:line="208" w:lineRule="auto" w:before="0"/>
              <w:ind w:right="23"/>
              <w:rPr>
                <w:sz w:val="20"/>
              </w:rPr>
            </w:pPr>
            <w:r>
              <w:rPr>
                <w:sz w:val="20"/>
              </w:rPr>
              <w:t>&lt;/span&gt; &lt;/span&gt;&lt;/p&gt;&lt;p style="line-height: 1.7999999999999998; margin-left: 113pt; text- 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&lt;span style="font-size: small;"&gt;</w:t>
              <w:tab/>
              <w:t>&lt;span style="font-size: medium;"&gt;</w:t>
              <w:tab/>
              <w:t>&lt;em&gt;k) Analisar a possibilidade de eventual inversão do ônus da prova, nos moldes do art. 373§ 1º, CPC;&lt;/em&gt;</w:t>
              <w:tab/>
              <w:t>&lt;/span&gt;</w:t>
              <w:tab/>
              <w:t>&lt;/span&gt;</w:t>
              <w:tab/>
              <w:tab/>
            </w:r>
            <w:r>
              <w:rPr>
                <w:spacing w:val="-3"/>
                <w:sz w:val="20"/>
              </w:rPr>
              <w:t>&lt;/span&gt;</w:t>
            </w:r>
          </w:p>
          <w:p>
            <w:pPr>
              <w:pStyle w:val="TableParagraph"/>
              <w:tabs>
                <w:tab w:pos="1550" w:val="left" w:leader="none"/>
                <w:tab w:pos="2549" w:val="left" w:leader="none"/>
                <w:tab w:pos="4653" w:val="left" w:leader="none"/>
                <w:tab w:pos="5710" w:val="left" w:leader="none"/>
                <w:tab w:pos="5776" w:val="left" w:leader="none"/>
                <w:tab w:pos="6655" w:val="left" w:leader="none"/>
                <w:tab w:pos="7275" w:val="left" w:leader="none"/>
              </w:tabs>
              <w:spacing w:line="208" w:lineRule="auto" w:before="0"/>
              <w:ind w:right="180"/>
              <w:rPr>
                <w:sz w:val="20"/>
              </w:rPr>
            </w:pPr>
            <w:r>
              <w:rPr>
                <w:sz w:val="20"/>
              </w:rPr>
              <w:t>&lt;/span&gt;&lt;/p&gt;&lt;p style="line-height: 1.7999999999999998; margin-left: 113pt; text-indent: 57pt; text-align: justify; margin-top: 6pt; margin-bottom: 6pt;" dir="ltr"&gt; &lt;span </w:t>
            </w:r>
            <w:r>
              <w:rPr>
                <w:spacing w:val="-2"/>
                <w:sz w:val="20"/>
              </w:rPr>
              <w:t>style="color: </w:t>
            </w:r>
            <w:r>
              <w:rPr>
                <w:sz w:val="20"/>
              </w:rPr>
              <w:t>#000000; background-color: transparent; font-weight: 400; font-style: normal; font-variant: normal; text-decoration: none; vertical-align: baseline; white-space: pre-wrap;"&gt;</w:t>
              <w:tab/>
              <w:t>&lt;span style="font-size: small;"&gt;</w:t>
              <w:tab/>
              <w:t>&lt;span style="font-size: small;"&gt;</w:t>
              <w:tab/>
              <w:tab/>
              <w:t>&lt;span style="font-size: medium;"&gt;</w:t>
              <w:tab/>
              <w:t>&lt;em&gt;l) Fixar os pontos controvertidos da lide, determinando que as partes especifiquem as provas para demonstrar: 1) legitimidade dos cálculos com o respectivo índice aplicado; 2) a indicação específica do dano moral sofrido, uma vez que não se cogita da modalidade presumida.&lt;/em&gt;</w:t>
              <w:tab/>
              <w:t>&lt;/span&gt;</w:t>
              <w:tab/>
              <w:t>&lt;/span&gt;</w:t>
              <w:tab/>
              <w:t>&lt;/span&gt;</w:t>
            </w:r>
          </w:p>
          <w:p>
            <w:pPr>
              <w:pStyle w:val="TableParagraph"/>
              <w:tabs>
                <w:tab w:pos="1194" w:val="left" w:leader="none"/>
                <w:tab w:pos="2408" w:val="left" w:leader="none"/>
                <w:tab w:pos="2473" w:val="left" w:leader="none"/>
                <w:tab w:pos="3353" w:val="left" w:leader="none"/>
                <w:tab w:pos="5588" w:val="left" w:leader="none"/>
              </w:tabs>
              <w:spacing w:line="208" w:lineRule="auto" w:before="0"/>
              <w:ind w:right="29"/>
              <w:rPr>
                <w:sz w:val="20"/>
              </w:rPr>
            </w:pPr>
            <w:r>
              <w:rPr>
                <w:sz w:val="20"/>
              </w:rPr>
              <w:t>&lt;/span&gt;&lt;/p&gt;&lt;p style="line-height: 1.7999999999999998; text-indent: 57pt; text-align: justify; margin-top: 6pt; margin-bottom: 6pt;" dir="ltr"&gt;&amp;#160;&lt;/p&gt;&lt;p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&lt;span style="font-size: small;"&gt;</w:t>
              <w:tab/>
              <w:t>&lt;span style="font-size: small;"&gt;</w:t>
              <w:tab/>
              <w:t>&lt;span style="font-size: medium;"&gt;Os autos, portanto, não se encontravam </w:t>
            </w:r>
            <w:r>
              <w:rPr>
                <w:spacing w:val="-9"/>
                <w:sz w:val="20"/>
              </w:rPr>
              <w:t>em </w:t>
            </w:r>
            <w:r>
              <w:rPr>
                <w:sz w:val="20"/>
              </w:rPr>
              <w:t>condições de imediato julgamento, sobretudo pela necessidade de prosseguir com a dilação probatória relativa à imputação de má gestão do Programa PASEP, pelo que deve, ainda, serem atendidas às recomendações contidas na Nota Técnica 07/2024, emitida por este Sodalício.&lt;/span&gt;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ab/>
              <w:t>&lt;span style="font-size: small;"&gt;</w:t>
              <w:tab/>
              <w:t>&lt;span style="font-size: small;"&gt;</w:t>
              <w:tab/>
              <w:t>&lt;span style="font-size: medium;"&gt;O presente caso possui natureza complexa, sendo necessária a realização de perícia contábil para que se possa aferir os critérios de atualização em discussão, suscitados pela parte autora, ora Apelante. Em razão do Magistrado não deter conhecimento técnico contábil para realização dos cálculos de correção monetária e determinação precisa dos eventuais valores devidos, o processo desafia maior instrução, restando, pois, prematuro o julgamento de mérito.&lt;/span&gt;</w:t>
            </w:r>
          </w:p>
          <w:p>
            <w:pPr>
              <w:pStyle w:val="TableParagraph"/>
              <w:tabs>
                <w:tab w:pos="985" w:val="left" w:leader="none"/>
                <w:tab w:pos="2549" w:val="left" w:leader="none"/>
                <w:tab w:pos="4562" w:val="left" w:leader="none"/>
                <w:tab w:pos="4765" w:val="left" w:leader="none"/>
                <w:tab w:pos="5710" w:val="left" w:leader="none"/>
                <w:tab w:pos="5776" w:val="left" w:leader="none"/>
                <w:tab w:pos="7275" w:val="left" w:leader="none"/>
              </w:tabs>
              <w:spacing w:line="208" w:lineRule="auto" w:before="0"/>
              <w:ind w:right="42"/>
              <w:rPr>
                <w:sz w:val="20"/>
              </w:rPr>
            </w:pPr>
            <w:r>
              <w:rPr>
                <w:sz w:val="20"/>
              </w:rPr>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small;"&gt;</w:t>
              <w:tab/>
              <w:tab/>
              <w:t>&lt;span style="font-size: medium;"&gt;Assim, verifico restar demonstrada a necessidade de anulação da sentença prolatada pelo Douto Juízo de primeiro grau, por error in procedendo, ficando prejudicada a análise meritória da presente apelação.&lt;/span&gt;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0201058-98.2024.8.06.0154</w:t>
            </w:r>
          </w:p>
        </w:tc>
      </w:tr>
      <w:tr>
        <w:trPr>
          <w:trHeight w:val="10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66" w:val="left" w:leader="none"/>
                <w:tab w:pos="4353" w:val="left" w:leader="none"/>
                <w:tab w:pos="4562" w:val="left" w:leader="none"/>
                <w:tab w:pos="5298" w:val="left" w:leader="none"/>
              </w:tabs>
              <w:spacing w:line="208" w:lineRule="auto" w:before="26"/>
              <w:ind w:right="19"/>
              <w:rPr>
                <w:sz w:val="20"/>
              </w:rPr>
            </w:pPr>
            <w:r>
              <w:rPr>
                <w:sz w:val="20"/>
              </w:rPr>
              <w:t>&lt;span style="font-size: small;"&gt;</w:t>
              <w:tab/>
              <w:t>&lt;span style="font-size: medium;"&gt;Dessa forma, verificado a inexistência de fundamentos fático-jurídicos aptos a lastrear a reforma da decisão monocrática vergastada, mantendo integralmente a decisão agravada, cujo teor </w:t>
            </w:r>
            <w:r>
              <w:rPr>
                <w:spacing w:val="-9"/>
                <w:sz w:val="20"/>
              </w:rPr>
              <w:t>se </w:t>
            </w:r>
            <w:r>
              <w:rPr>
                <w:sz w:val="20"/>
              </w:rPr>
              <w:t>encontra em consonância com o ordenamento jurídico e a jurisprudência desta Egrégia Corte e dos demais tribunais pátrios.&lt;/span&gt;</w:t>
              <w:tab/>
              <w:t>&lt;/span&gt;</w:t>
              <w:tab/>
              <w:t>&lt;/span&gt; &lt;/span&gt;&lt;/p&gt;&lt;p style="line-height: 1.7999999999999998; text-indent: 57pt; text-align: justify; margin-top: 6pt; margin-bottom: 6pt;" dir="ltr"&gt; &lt;span style="color: #000000; background-color: transparent; font-weight: 700; font-style: normal; font-variant: normal; text-decoration: none; vertical-align: baseline; white-space: pre-wrap;"&gt;</w:t>
              <w:tab/>
              <w:tab/>
              <w:t>&lt;span style="font-size: small;"&gt;</w:t>
            </w:r>
          </w:p>
          <w:p>
            <w:pPr>
              <w:pStyle w:val="TableParagraph"/>
              <w:tabs>
                <w:tab w:pos="2486" w:val="left" w:leader="none"/>
                <w:tab w:pos="2794" w:val="left" w:leader="none"/>
                <w:tab w:pos="3266" w:val="left" w:leader="none"/>
                <w:tab w:pos="3328" w:val="left" w:leader="none"/>
                <w:tab w:pos="4273" w:val="left" w:leader="none"/>
                <w:tab w:pos="4380" w:val="left" w:leader="none"/>
                <w:tab w:pos="7495" w:val="left" w:leader="none"/>
              </w:tabs>
              <w:spacing w:line="208" w:lineRule="auto" w:before="0"/>
              <w:ind w:right="42"/>
              <w:rPr>
                <w:sz w:val="20"/>
              </w:rPr>
            </w:pPr>
            <w:r>
              <w:rPr>
                <w:sz w:val="20"/>
              </w:rPr>
              <w:t>&lt;span style="font-size: small;"&gt;</w:t>
              <w:tab/>
              <w:t>&lt;span style="font-size: medium;"&gt;DISPOSITIVO&lt;/span&gt;</w:t>
              <w:tab/>
              <w:tab/>
              <w:t>&lt;/span&gt;</w:t>
              <w:tab/>
              <w:t>&lt;/span&gt; &lt;/span&gt;&lt;/p&gt;&lt;p style="line-height: 1.7999999999999998; text-indent: 57pt; text-align: justify; margin-top: 6pt; margin-bottom: 6pt;" dir="ltr"&gt;  &lt;span style="font-size: small;"&gt;</w:t>
              <w:tab/>
              <w:tab/>
              <w:t>&lt;span style="font-size: small;"&gt;</w:t>
              <w:tab/>
              <w:t>&lt;span style="font-size: medium;"&gt;</w:t>
              <w:tab/>
              <w:tab/>
              <w:t>&lt;span style="color: #000000; background-color: transparent; font-weight: 400; font-style: normal; font-variant: normal; text-decoration: </w:t>
            </w:r>
            <w:r>
              <w:rPr>
                <w:spacing w:val="-4"/>
                <w:sz w:val="20"/>
              </w:rPr>
              <w:t>none; </w:t>
            </w:r>
            <w:r>
              <w:rPr>
                <w:sz w:val="20"/>
              </w:rPr>
              <w:t>vertical-align: baseline; white-space: pre-wrap;"&gt;Diante do que acima foi exposto e fundamentado,&lt;/span&gt;</w:t>
              <w:tab/>
              <w:t>&lt;span style="color: #000000; background-color: transparent; font-weight: 700; font-style: normal; font-variant: normal; text-decoration: none; vertical- align: baseline; white-space: pre-wrap;"&gt;conheço da Agravo Interno Cível para NEGAR- LHE provimento, mantendo integralmente a decisão agravada.&amp;#160;&lt;/span&gt;&lt;/span&gt;</w:t>
            </w:r>
          </w:p>
          <w:p>
            <w:pPr>
              <w:pStyle w:val="TableParagraph"/>
              <w:tabs>
                <w:tab w:pos="2473" w:val="left" w:leader="none"/>
                <w:tab w:pos="2549" w:val="left" w:leader="none"/>
                <w:tab w:pos="3218" w:val="left" w:leader="none"/>
                <w:tab w:pos="4163" w:val="left" w:leader="none"/>
                <w:tab w:pos="5588" w:val="left" w:leader="none"/>
                <w:tab w:pos="5776" w:val="left" w:leader="none"/>
                <w:tab w:pos="6553" w:val="left" w:leader="none"/>
              </w:tabs>
              <w:spacing w:line="208" w:lineRule="auto" w:before="0"/>
              <w:ind w:right="163"/>
              <w:rPr>
                <w:sz w:val="20"/>
              </w:rPr>
            </w:pPr>
            <w:r>
              <w:rPr>
                <w:sz w:val="20"/>
              </w:rPr>
              <w:t>&lt;/span&gt; &lt;/span&gt;&lt;/p&gt;&lt;p style="line-height: 1.7999999999999998; text-indent: 57pt; text- align: justify; margin-top: 6pt; margin-bottom: 6pt;" dir="ltr"&gt; &lt;span style="color: #000000; background-color: transparent; font-weight: 400; font-style: normal; font-variant: normal; text-decoration: none; vertical-align: baseline; white-space: pre-wrap;"&gt;</w:t>
              <w:tab/>
              <w:t>&lt;span style="font-size: small;"&gt;</w:t>
              <w:tab/>
              <w:tab/>
              <w:t>&lt;span style="font-size: small;"&gt;</w:t>
              <w:tab/>
              <w:tab/>
              <w:t>&lt;span style="font-size: medium;"&gt;É como voto.&lt;/span&gt;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w:t>
            </w:r>
          </w:p>
          <w:p>
            <w:pPr>
              <w:pStyle w:val="TableParagraph"/>
              <w:tabs>
                <w:tab w:pos="1194" w:val="left" w:leader="none"/>
              </w:tabs>
              <w:spacing w:line="190" w:lineRule="exact" w:before="0"/>
              <w:rPr>
                <w:sz w:val="20"/>
              </w:rPr>
            </w:pPr>
            <w:r>
              <w:rPr>
                <w:sz w:val="20"/>
              </w:rPr>
              <w:t>small;"&gt;</w:t>
              <w:tab/>
              <w:t>&lt;span style="font-size: medium;"&gt;Fortaleza, 04 de novembro de 2025&lt;/span&gt;</w:t>
            </w:r>
          </w:p>
          <w:p>
            <w:pPr>
              <w:pStyle w:val="TableParagraph"/>
              <w:tabs>
                <w:tab w:pos="985" w:val="left" w:leader="none"/>
                <w:tab w:pos="2473" w:val="left" w:leader="none"/>
                <w:tab w:pos="5588" w:val="left" w:leader="none"/>
              </w:tabs>
              <w:spacing w:line="208" w:lineRule="auto" w:before="8"/>
              <w:ind w:right="52"/>
              <w:rPr>
                <w:sz w:val="20"/>
              </w:rPr>
            </w:pPr>
            <w:r>
              <w:rPr>
                <w:sz w:val="20"/>
              </w:rPr>
              <w:t>&lt;/span&gt;</w:t>
              <w:tab/>
              <w:t>&lt;/span&gt; &lt;/span&gt; &lt;span style="font-size: medium; background-color: transparent; font-style: italic; white-space-collapse: preserve;"&gt;&amp;#160;&lt;/span&gt;&lt;/p&gt;&lt;p style="line-height: 1.7999999999999998; text-align: justify; margin-top: 6pt; margin-bottom: 6pt;" dir="ltr"&gt; &lt;span style="color: #000000; background-color: transparent; font-weight: 400; font-style: italic; font-variant: normal; text-decoration: none; vertical-align: baseline; white-space: pre-wrap;"&gt;</w:t>
              <w:tab/>
              <w:t>&lt;span style="font-size: small;"&gt;</w:t>
              <w:tab/>
              <w:t>&lt;span style="font-size: medium;"&gt;&amp;#160;&amp;#160;&amp;#160;&amp;#160;&amp;#160;&amp;#160;&amp;#160;&amp;#160;&amp;#160;&amp;#160;&amp;#160;&amp;</w:t>
            </w:r>
          </w:p>
          <w:p>
            <w:pPr>
              <w:pStyle w:val="TableParagraph"/>
              <w:tabs>
                <w:tab w:pos="3387" w:val="left" w:leader="none"/>
                <w:tab w:pos="4732" w:val="left" w:leader="none"/>
              </w:tabs>
              <w:spacing w:line="208" w:lineRule="auto" w:before="0"/>
              <w:ind w:right="99"/>
              <w:rPr>
                <w:sz w:val="20"/>
              </w:rPr>
            </w:pPr>
            <w:r>
              <w:rPr>
                <w:sz w:val="20"/>
              </w:rPr>
              <w:t>#160;&amp;#160;&amp;#160;&amp;#160;&lt;/span&gt;</w:t>
              <w:tab/>
              <w:t>&lt;/span&gt; &lt;/span&gt;&lt;/p&gt;&lt;p style="text-indent: 8%; </w:t>
            </w:r>
            <w:r>
              <w:rPr>
                <w:spacing w:val="-4"/>
                <w:sz w:val="20"/>
              </w:rPr>
              <w:t>text- </w:t>
            </w:r>
            <w:r>
              <w:rPr>
                <w:sz w:val="20"/>
              </w:rPr>
              <w:t>align: center;"&gt;  &lt;span style="font-size: medium;"&gt;</w:t>
              <w:tab/>
              <w:t>&lt;strong style="font-size: small;"&gt;</w:t>
            </w:r>
          </w:p>
          <w:p>
            <w:pPr>
              <w:pStyle w:val="TableParagraph"/>
              <w:tabs>
                <w:tab w:pos="2017" w:val="left" w:leader="none"/>
                <w:tab w:pos="3473" w:val="left" w:leader="none"/>
                <w:tab w:pos="6234" w:val="left" w:leader="none"/>
                <w:tab w:pos="7033" w:val="left" w:leader="none"/>
              </w:tabs>
              <w:spacing w:line="208" w:lineRule="auto" w:before="0"/>
              <w:ind w:right="314"/>
              <w:rPr>
                <w:sz w:val="20"/>
              </w:rPr>
            </w:pPr>
            <w:r>
              <w:rPr>
                <w:sz w:val="20"/>
              </w:rPr>
              <w:t>&lt;span style="font-family: &amp;quot;times new roman&amp;quot;, times;"&gt;</w:t>
              <w:tab/>
              <w:t>&lt;span </w:t>
            </w:r>
            <w:r>
              <w:rPr>
                <w:spacing w:val="-2"/>
                <w:sz w:val="20"/>
              </w:rPr>
              <w:t>style="font- </w:t>
            </w:r>
            <w:r>
              <w:rPr>
                <w:sz w:val="20"/>
              </w:rPr>
              <w:t>size: medium;"&gt;</w:t>
              <w:tab/>
              <w:t>&lt;strong&gt;</w:t>
              <w:tab/>
              <w:t>&lt;span style="font-size: small;"&gt;</w:t>
              <w:tab/>
              <w:t>&lt;span style="font-size: medium;"&gt;FRANCISCO LUCÍDIO DE QUEIROZ JÚNIOR&lt;/span&gt;</w:t>
            </w:r>
          </w:p>
          <w:p>
            <w:pPr>
              <w:pStyle w:val="TableParagraph"/>
              <w:tabs>
                <w:tab w:pos="1318" w:val="left" w:leader="none"/>
                <w:tab w:pos="2607" w:val="left" w:leader="none"/>
                <w:tab w:pos="3664" w:val="left" w:leader="none"/>
                <w:tab w:pos="4488" w:val="left" w:leader="none"/>
                <w:tab w:pos="4609" w:val="left" w:leader="none"/>
              </w:tabs>
              <w:spacing w:line="208" w:lineRule="auto" w:before="0"/>
              <w:ind w:right="233"/>
              <w:rPr>
                <w:sz w:val="20"/>
              </w:rPr>
            </w:pPr>
            <w:r>
              <w:rPr>
                <w:sz w:val="20"/>
              </w:rPr>
              <w:t>&lt;/span&gt;</w:t>
              <w:tab/>
              <w:t>&lt;/strong&gt;</w:t>
              <w:tab/>
              <w:t>&lt;/span&gt;</w:t>
              <w:tab/>
              <w:t>&lt;/span&gt;</w:t>
              <w:tab/>
              <w:tab/>
              <w:t>&lt;/strong&gt; &lt;/span&gt;&lt;/p&gt;&lt;p </w:t>
            </w:r>
            <w:r>
              <w:rPr>
                <w:spacing w:val="-2"/>
                <w:sz w:val="20"/>
              </w:rPr>
              <w:t>style="text- </w:t>
            </w:r>
            <w:r>
              <w:rPr>
                <w:sz w:val="20"/>
              </w:rPr>
              <w:t>align: center;"&gt;  &lt;span style="font-size: small;"&gt;</w:t>
              <w:tab/>
              <w:t>&lt;strong style="font-size: small;"&gt;</w:t>
            </w:r>
          </w:p>
          <w:p>
            <w:pPr>
              <w:pStyle w:val="TableParagraph"/>
              <w:tabs>
                <w:tab w:pos="3511" w:val="left" w:leader="none"/>
                <w:tab w:pos="5762" w:val="left" w:leader="none"/>
                <w:tab w:pos="6818" w:val="left" w:leader="none"/>
                <w:tab w:pos="6848" w:val="left" w:leader="none"/>
              </w:tabs>
              <w:spacing w:line="208" w:lineRule="auto" w:before="0"/>
              <w:ind w:right="611"/>
              <w:rPr>
                <w:sz w:val="20"/>
              </w:rPr>
            </w:pPr>
            <w:r>
              <w:rPr>
                <w:sz w:val="20"/>
              </w:rPr>
              <w:t>&lt;span style="font-size: medium;"&gt;</w:t>
              <w:tab/>
              <w:t>&lt;span style="font-size: small;"&gt;</w:t>
              <w:tab/>
              <w:tab/>
              <w:t>&lt;span style="font-size: medium;"&gt;Desembargador Relator&lt;/span&gt;</w:t>
              <w:tab/>
              <w:t>&lt;/span&gt;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ADEMAR GOMES SOARES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MARCIO EMANUEL FERNANDES DE OLIVEIRA - (CE53206-A)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&lt;strong&gt;PROCESSO&lt;/strong&gt;:&amp;#160;0201865-79.2024.8.06.0070 -&amp;#160;APELAÇÃO</w:t>
            </w:r>
          </w:p>
          <w:p>
            <w:pPr>
              <w:pStyle w:val="TableParagraph"/>
              <w:tabs>
                <w:tab w:pos="6291" w:val="left" w:leader="none"/>
                <w:tab w:pos="6557" w:val="left" w:leader="none"/>
                <w:tab w:pos="7619" w:val="left" w:leader="none"/>
              </w:tabs>
              <w:spacing w:line="208" w:lineRule="auto" w:before="8"/>
              <w:ind w:right="157"/>
              <w:rPr>
                <w:sz w:val="20"/>
              </w:rPr>
            </w:pPr>
            <w:r>
              <w:rPr>
                <w:sz w:val="20"/>
              </w:rPr>
              <w:t>CÍVEL (198)&lt;/span&gt;  &lt;/span&gt;&lt;/p&gt;&lt;p&gt;  &lt;span style="font-size: small;"&gt;</w:t>
              <w:tab/>
              <w:t>&lt;span style="font-family: &amp;quot;times new roman&amp;quot;, times;"&gt;APELANTE: ADEMAR </w:t>
            </w:r>
            <w:r>
              <w:rPr>
                <w:spacing w:val="-4"/>
                <w:sz w:val="20"/>
              </w:rPr>
              <w:t>GOMES </w:t>
            </w:r>
            <w:r>
              <w:rPr>
                <w:sz w:val="20"/>
              </w:rPr>
              <w:t>SOARES&lt;/span&gt;  &lt;/span&gt;&lt;/p&gt;&lt;p&gt;  &lt;span style="font-size: small;"&gt;</w:t>
              <w:tab/>
              <w:t>&lt;span style="font- family: &amp;quot;times new roman&amp;quot;, times;"&gt;APELADO: BANCO DO BRASIL SA</w:t>
              <w:tab/>
              <w:t>&lt;br</w:t>
            </w:r>
          </w:p>
          <w:p>
            <w:pPr>
              <w:pStyle w:val="TableParagraph"/>
              <w:tabs>
                <w:tab w:pos="434" w:val="left" w:leader="none"/>
                <w:tab w:pos="1179" w:val="left" w:leader="none"/>
                <w:tab w:pos="5517" w:val="left" w:leader="none"/>
                <w:tab w:pos="6262" w:val="left" w:leader="none"/>
                <w:tab w:pos="6841" w:val="left" w:leader="none"/>
              </w:tabs>
              <w:spacing w:line="208" w:lineRule="auto" w:before="0"/>
              <w:ind w:right="760"/>
              <w:rPr>
                <w:sz w:val="20"/>
              </w:rPr>
            </w:pPr>
            <w:r>
              <w:rPr>
                <w:sz w:val="20"/>
              </w:rPr>
              <w:t>/&gt;</w:t>
              <w:tab/>
              <w:t>&lt;br /&gt;</w:t>
              <w:tab/>
              <w:t>&lt;/span&gt;  &lt;/span&gt;&lt;/p&gt;&lt;p&gt;  &lt;span style="font-size: medium;"&gt;</w:t>
              <w:tab/>
            </w:r>
            <w:r>
              <w:rPr>
                <w:spacing w:val="-4"/>
                <w:sz w:val="20"/>
              </w:rPr>
              <w:t>&lt;span </w:t>
            </w:r>
            <w:r>
              <w:rPr>
                <w:sz w:val="20"/>
              </w:rPr>
              <w:t>style="font-family: &amp;quot;times new roman&amp;quot;, times;"&gt;</w:t>
              <w:tab/>
              <w:t>&lt;br /&gt;</w:t>
              <w:tab/>
              <w:t>&lt;/span&gt;</w:t>
            </w:r>
          </w:p>
          <w:p>
            <w:pPr>
              <w:pStyle w:val="TableParagraph"/>
              <w:spacing w:line="208" w:lineRule="auto" w:before="0"/>
              <w:ind w:right="116"/>
              <w:rPr>
                <w:sz w:val="20"/>
              </w:rPr>
            </w:pPr>
            <w:r>
              <w:rPr>
                <w:sz w:val="20"/>
              </w:rPr>
              <w:t>&lt;/span&gt;&lt;/p&gt;&lt;p style="line-height: 1.38; text-align: justify; margin-top: 6pt; margin-bottom: 0pt;" dir="ltr"&gt; &lt;span style="font-size: 12pt; font-family: 'Times New Roman',serif; color: #000000; background-color: transparent; font-weight: 700; font-style: normal; font-variant: normal; text-decoration: none; vertical-align: baseline; white-space: pre-wrap;"&gt;EMENTA: EMBARGOS DE DECLARAÇÃO EM APELAÇÃO CÍVEL. AÇÃO DECLARATÓRIA DE INEXISTÊNCIA DE DÉBITO C/C INDENIZAÇÃO POR DANO MORAL E MATERIAL. INDEFERIMENTO DA INICIAL POR AUSÊNCIA DE COMPARECIMENTO PESSOAL DO AUTOR. LITIGÂNCIA PREDATÓRIA. AUTOR COM 11 AÇÕES SIMILARES AJUIZADAS PERANTE A MESMA COMARCA. DEVIDAMENTE INTIMADO POR ADVOGADO. AUSÊNCIA DE PREQUESTIONAMENTO DA MATÉRIA. SÚMULA 18 TJCE. AUSÊNCIA DE VÍCIO PASSÍVEL DE EMBARGOS. RECURSO CONHECIDO E</w:t>
            </w:r>
          </w:p>
          <w:p>
            <w:pPr>
              <w:pStyle w:val="TableParagraph"/>
              <w:spacing w:line="208" w:lineRule="auto" w:before="0"/>
              <w:ind w:right="48"/>
              <w:rPr>
                <w:sz w:val="20"/>
              </w:rPr>
            </w:pPr>
            <w:r>
              <w:rPr>
                <w:sz w:val="20"/>
              </w:rPr>
              <w:t>DESPROVIDO.&amp;#160;&lt;/span&gt;&lt;/p&gt;&lt;p style="line-height: 1.38; text-align: justify; margin- top: 6pt; margin-bottom: 0pt;" dir="ltr"&gt; &lt;span style="font-size: 12pt; font-family: 'Times New Roman',serif; color: #000000; background-color: transparent; font-weight: 700; font- style: normal; font-variant: normal; text-decoration: none; vertical-align: baseline; white- space: pre-wrap;"&gt;I. Caso em exame:&lt;/span&gt;&lt;/p&gt;&lt;p style="line-height: 1.38; text-align: justify; margin-top: 6pt; margin-bottom: 0pt;" dir="ltr"&gt; &lt;span style="font-size: 12pt; font- family: 'Times New Roman',serif; color: #000000; background-color: transparent; font- weight: 400; font-style: normal; font-variant: normal; text-decoration: none; vertical-align: baseline; white-space: pre-wrap;"&gt;1. Trata-se de Embargos de Declaração visando a reforma de acórdão que CONHECEU do recurso de apelação interposto pelo autor em sede de ação declaratória de inexistência de débito c/c indenização por dano moral e material, para NEGAR-LHE provimento.&lt;/span&gt;&lt;/p&gt;&lt;p style="line-height: 1.38; text-align: justify; margin-top: 6pt; margin-bottom: 0pt;" dir="ltr"&gt; &lt;span style="font-size: 12pt; font- family: 'Times New Roman',serif; color: #000000; background-color: transparent; font- weight: 700; font-style: normal; font-variant: normal; text-decoration: none; vertical-align: baseline; white-space: pre-wrap;"&gt;II. Questão em discussão:&lt;/span&gt;&lt;/p&gt;&lt;p style="line- height: 1.38; text-align: justify; margin-top: 6pt; margin-bottom: 0pt;" dir="ltr"&gt; &lt;span style="font-size: 12pt; font-family: 'Times New Roman',serif; color: #000000; background- color: transparent; font-weight: 400; font-style: normal; font-variant: normal; text-decoration: none; vertical-align: baseline; white-space: pre-wrap;"&gt;2. Cinge-se a controvérsia recursal em avaliar se o acórdão embargado está eivado de omissão e contradição por ter mantido sentença de primeiro grau, que extinguiu o feito sem resolução do mérito em razão de não ter o autor comparecido em Juízo.&lt;/span&gt;&lt;/p&gt;&lt;p style="line-height: 1.38; text-align:</w:t>
            </w:r>
            <w:r>
              <w:rPr>
                <w:spacing w:val="6"/>
                <w:sz w:val="20"/>
              </w:rPr>
              <w:t> </w:t>
            </w:r>
            <w:r>
              <w:rPr>
                <w:spacing w:val="-3"/>
                <w:sz w:val="20"/>
              </w:rPr>
              <w:t>justify;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margin-top: 6pt; margin-bottom: 0pt;"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pre-wrap;"&gt;III. Razões de decidir:&lt;/span&gt;&lt;/p&gt;&lt;p style="line-height: 1.38; text-align: justify; margin-top: 6pt; margin-bottom: 0pt;" dir="ltr"&gt;&lt;span style="font-size: 12pt; font- family: 'Times New Roman',serif; color: #000000; background-color: transparent; font- weight: 400; font-style: normal; font-variant: normal; text-decoration: none; vertical-align: baseline; white-space: pre-wrap;"&gt;3. Não subsistem quaisquer vícios passíveis de embargos, mas tão somente o mero inconformismo da parte autora que não logrou êxito em obter seu pleito autoral diante da manifesta constatação de litigância predatória. Isso porque em nenhum momento dos autos tal temática foi suscitada pela defesa do autor, não sendo passível os presentes embargos de tratar acerca de matéria que verse alguma inovação recursal que não seja o apontamento de alguma omissão, contradição ou obscuridade vigente no&lt;/span&gt; &lt;span style="font-size: 12pt; font-family: 'Times New Roman',serif; color: #000000; background-color: transparent; font-weight: 400; font-style: italic; font-variant: normal; text-decoration: none; vertical-align: baseline; white-space: pre- wrap;"&gt;decisum&lt;/span&gt; &lt;span style="font-size: 12pt; font-family: 'Times New Roman',serif; color: #000000; background-color: transparent; font-weight: 400; font-style: normal; font- variant: normal; text-decoration: none; vertical-align: baseline; white-space: pre- wrap;"&gt;recorrido.&lt;/span&gt;&lt;/p&gt;&lt;p style="line-height: 1.38; text-align: justify; margin-top: 6pt; margin-bottom: 0pt;" dir="ltr"&gt; &lt;span style="font-size: 12pt; font-family: 'Times New Roman',serif; color: #000000; background-color: transparent; font-weight: 700; font-style: normal; font-variant: normal; text-decoration: none; vertical-align: baseline; white-space: pre-wrap;"&gt;IV. Dispositivo e tese:&lt;/span&gt;&lt;/p&gt;&lt;p style="line-height: 1.38; text-align: justify; margin-top: 6pt; margin-bottom: 0pt;"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pre-wrap;"&gt;Recurso conhecido e desprovido.&lt;/span&gt;&lt;/p&gt;&lt;p style="line-height: 1.38; text-align: justify; margin-top: 6pt; margin-bottom: 0pt;" dir="ltr"&gt;&lt;span style="font- size: 12pt; font-family: 'Times New Roman',serif; color: #000000; background-color: transparent; font-weight: 700; font-style: normal; font-variant: normal; text-decoration: none; vertical-align: baseline; white-space: pre-wrap;"&gt;Dispositivos relevantes citados:&lt;/span&gt;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pre-wrap;"&gt;STJ. 1ª Seção. EDcl no MS 21.315-DF; TJCE, Apelação Cível no. 02001779820248060097; TJCE,</w:t>
            </w:r>
          </w:p>
          <w:p>
            <w:pPr>
              <w:pStyle w:val="TableParagraph"/>
              <w:spacing w:line="208" w:lineRule="auto" w:before="0"/>
              <w:ind w:right="1101"/>
              <w:rPr>
                <w:sz w:val="20"/>
              </w:rPr>
            </w:pPr>
            <w:r>
              <w:rPr>
                <w:sz w:val="20"/>
              </w:rPr>
              <w:t>Apelação Cível no. 02001484820248060097;&amp;#160; TJCE. Apelação Cível no. 02005425520248060097; e TJCE, Apelação Cível no.</w:t>
            </w:r>
          </w:p>
          <w:p>
            <w:pPr>
              <w:pStyle w:val="TableParagraph"/>
              <w:tabs>
                <w:tab w:pos="7214" w:val="left" w:leader="none"/>
              </w:tabs>
              <w:spacing w:line="208" w:lineRule="auto" w:before="0"/>
              <w:ind w:right="37"/>
              <w:rPr>
                <w:sz w:val="20"/>
              </w:rPr>
            </w:pPr>
            <w:r>
              <w:rPr>
                <w:sz w:val="20"/>
              </w:rPr>
              <w:t>02001484820248060097.&lt;/span&gt;&lt;/p&gt;&lt;p style="line-height: 1.38; text-align: justify; margin- top: 6pt; margin-bottom: 0pt;" dir="ltr"&gt; &lt;span style="font-size: 12pt; font-family: 'Times New Roman',serif; color: #000000; background-color: transparent; font-weight: 400; font- style: normal; font-variant: normal; text-decoration: none; vertical-align: baseline; white- space: pre-wrap;"&gt;ACÓRDÃO: Vistos, relatados e discutidos estes autos, acorda a do Tribunal de Justiça do Estado do Ceará, por unanimidade, em CONHECER do recurso para NEGAR-LHE provimento, nos termos do voto proferido pelo Desembargador Relator.&lt;/span&gt;&lt;/p&gt;&lt;p style="line-height: 100%; orphans: 0; widows: 0; margin-bottom: 0.21cm;" align="justify"&gt; &lt;span id="docs-internal-guid-6d8952b6-7fff-a72e-d564- 4156e4fb47e7"&gt;&amp;#160;&lt;/span&gt;&lt;/p&gt;&lt;p style="line-height: 1.38; margin-top: 6pt; margin- bottom: 0pt;" dir="ltr"&gt; &lt;span style="font-size: 12pt; font-family: 'Times New Roman',serif; color: #000000; background-color: transparent; font-weight: 400; font-style: normal; font- variant: normal; text-decoration: none; vertical-align: baseline; white-space: pre- wrap;"&gt;Fortaleza, data registrada no sistema.&lt;/span&gt;&lt;/p&gt;&lt;p style="line-height: 115%; orphans: 0; widows: 0; margin-bottom: 0.21cm;" align="center"&gt;&amp;#160;&lt;/p&gt;&lt;p style="line- height: 115%; orphans: 0; widows: 0; margin-bottom: 0.21cm;" align="center"&gt; &lt;span style="font-family: &amp;quot;times new roman&amp;quot;, times; font-size: medium; text-align: start;"&gt;&amp;#160;&lt;/span&gt;&lt;/p&gt;&lt;p&gt;&amp;#160;&lt;/p&gt;&lt;p style="line-height: 100%; orphans: 0; </w:t>
            </w:r>
            <w:r>
              <w:rPr>
                <w:spacing w:val="-3"/>
                <w:sz w:val="20"/>
              </w:rPr>
              <w:t>widows: </w:t>
            </w:r>
            <w:r>
              <w:rPr>
                <w:sz w:val="20"/>
              </w:rPr>
              <w:t>0; margin-bottom: 0.21cm;" align="center"&gt;  &lt;span style="font-size: medium;"&gt;</w:t>
              <w:tab/>
              <w:t>&lt;strong&gt;</w:t>
            </w:r>
          </w:p>
          <w:p>
            <w:pPr>
              <w:pStyle w:val="TableParagraph"/>
              <w:tabs>
                <w:tab w:pos="1216" w:val="left" w:leader="none"/>
                <w:tab w:pos="2818" w:val="left" w:leader="none"/>
                <w:tab w:pos="5517" w:val="left" w:leader="none"/>
                <w:tab w:pos="6262" w:val="left" w:leader="none"/>
                <w:tab w:pos="7214" w:val="left" w:leader="none"/>
              </w:tabs>
              <w:spacing w:line="208" w:lineRule="auto" w:before="0"/>
              <w:ind w:right="192"/>
              <w:rPr>
                <w:sz w:val="20"/>
              </w:rPr>
            </w:pPr>
            <w:r>
              <w:rPr>
                <w:sz w:val="20"/>
              </w:rPr>
              <w:t>&lt;span style="font-family: &amp;quot;times new roman&amp;quot;, times;"&gt;MARIA REGINA OLIVEIRA CÂMARA&lt;/span&gt;</w:t>
              <w:tab/>
              <w:t>&lt;/strong&gt; &lt;/span&gt;&lt;/p&gt;&lt;p style="line-height: 115%; orphans: 0; widows: 0; margin-bottom: 0.21cm;" align="center"&gt; &lt;span style="font-size: medium;"&gt;</w:t>
              <w:tab/>
              <w:t>&lt;span style="font-family: &amp;quot;times new roman&amp;quot;, times;"&gt;Presidente do Órgão Julgador&lt;/span&gt; &lt;/span&gt;&lt;/p&gt;&lt;p style="line-height: 100%; orphans: 0; </w:t>
            </w:r>
            <w:r>
              <w:rPr>
                <w:spacing w:val="-3"/>
                <w:sz w:val="20"/>
              </w:rPr>
              <w:t>widows: </w:t>
            </w:r>
            <w:r>
              <w:rPr>
                <w:sz w:val="20"/>
              </w:rPr>
              <w:t>0; margin-bottom: 0.21cm;" align="center"&gt;  &lt;span style="font-size: medium;"&gt;</w:t>
              <w:tab/>
              <w:t>&lt;span style="font-family: &amp;quot;times new roman&amp;quot;, times;"&gt;</w:t>
              <w:tab/>
              <w:t>&lt;br /&gt;</w:t>
              <w:tab/>
              <w:t>&lt;/span&gt;</w:t>
            </w:r>
          </w:p>
          <w:p>
            <w:pPr>
              <w:pStyle w:val="TableParagraph"/>
              <w:tabs>
                <w:tab w:pos="1216" w:val="left" w:leader="none"/>
                <w:tab w:pos="2339" w:val="left" w:leader="none"/>
                <w:tab w:pos="2773" w:val="left" w:leader="none"/>
                <w:tab w:pos="3518" w:val="left" w:leader="none"/>
                <w:tab w:pos="4754" w:val="left" w:leader="none"/>
                <w:tab w:pos="5850"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&lt;br /&gt;</w:t>
              <w:tab/>
              <w:t>&lt;/span&gt; &lt;/span&gt;&lt;/p&gt;&lt;p style="line-height: 100%; orphans: 0; widows: 0; margin-bottom: 0.21cm;" align="center"&gt; &lt;span style="font-size: medium;"&gt;</w:t>
              <w:tab/>
              <w:t>&lt;strong&gt;</w:t>
              <w:tab/>
              <w:t>&lt;span style="font-family: &amp;quot;times new roman&amp;quot;, times;"&gt;FRANCISCO LUCÍDIO DE QUEIROZ JUNIOR&lt;/span&gt;</w:t>
              <w:tab/>
              <w:t>&lt;/strong&gt;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754" w:val="left" w:leader="none"/>
              </w:tabs>
              <w:spacing w:line="208" w:lineRule="auto" w:before="26"/>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align="center"&gt;&amp;#160;&lt;/p&gt;&lt;p style="text-align: center;"&gt;&amp;#160;&lt;/p&gt;&lt;p style="text-align: center;"&gt;&amp;#160;&lt;/p&gt;&lt;p style="text-align: center;"&gt; &lt;span style="font-size: small;"&gt;</w:t>
            </w:r>
          </w:p>
          <w:p>
            <w:pPr>
              <w:pStyle w:val="TableParagraph"/>
              <w:tabs>
                <w:tab w:pos="1162" w:val="left" w:leader="none"/>
                <w:tab w:pos="4634" w:val="left" w:leader="none"/>
                <w:tab w:pos="5596" w:val="left" w:leader="none"/>
              </w:tabs>
              <w:spacing w:line="208" w:lineRule="auto" w:before="0"/>
              <w:ind w:right="224"/>
              <w:rPr>
                <w:sz w:val="20"/>
              </w:rPr>
            </w:pPr>
            <w:r>
              <w:rPr>
                <w:sz w:val="20"/>
              </w:rPr>
              <w:t>&lt;strong&gt;</w:t>
              <w:tab/>
              <w:t>&lt;span style="font-size: medium;"&gt;</w:t>
              <w:tab/>
              <w:t>&lt;span style="font-family: &amp;quot;times new roman&amp;quot;, times;"&gt;RELATÓRIO&lt;/span&gt;</w:t>
              <w:tab/>
              <w:t>&lt;/span&gt;</w:t>
              <w:tab/>
              <w:t>&lt;/strong&gt; &lt;/span&gt;&lt;/p&gt;&lt;p style="text-align: center;"&gt;&amp;#160;&lt;/p&gt;&lt;p style="line-height:1.7999999999999998;text- indent: 56.692913385826756pt;text-align: justify;margin-top:6pt;margin-bottom:0pt;" dir="ltr"&gt;&lt;span style="font-size:12pt;font-family:'Times New Roman',serif;color:#000000;background-color:transparent;font-weight:400;font- style:normal;font-variant:normal;text-decoration:none;vertical-align:baseline;white- space:pre;white-space:pre-wrap;"&gt;Trata-se de&lt;/span&gt; &lt;span style="font-size:12pt;font- family:'Times New Roman',serif;color:#000000;background-color:transparent;font- weight:700;font-style:normal;font-variant:normal;text-decoration:none;vertical- align:baseline;white-space:pre;white-space:pre-wrap;"&gt;Embargos de Declaração&lt;/span&gt;</w:t>
            </w:r>
          </w:p>
          <w:p>
            <w:pPr>
              <w:pStyle w:val="TableParagraph"/>
              <w:tabs>
                <w:tab w:pos="2749" w:val="left" w:leader="none"/>
              </w:tabs>
              <w:spacing w:line="208" w:lineRule="auto" w:before="0"/>
              <w:ind w:right="56"/>
              <w:rPr>
                <w:sz w:val="20"/>
              </w:rPr>
            </w:pPr>
            <w:r>
              <w:rPr>
                <w:sz w:val="20"/>
              </w:rPr>
              <w:t>&lt;span style="font-size:12pt;font-family:'Times New Roman',serif;color:#000000;background-color:transparent;font-weight:400;font- style:normal;font-variant:normal;text-decoration:none;vertical-align:baseline;white- space:pre;white-space:pre-wrap;"&gt;interpostos por&lt;/span&gt; &lt;span style="font-size:12pt;font- family:'Times New Roman',serif;color:#000000;background-color:transparent;font- weight:700;font-style:normal;font-variant:normal;text-decoration:none;vertical- align:baseline;white-space:pre;white-space:pre-wrap;"&gt;ADEMAR GOMES SOARES&lt;/span&gt;&lt;span style="font-size:12pt;font-family:'Times New Roman',serif;color:#000000;background-color:transparent;font-weight:400;font- style:normal;font-variant:normal;text-decoration:none;vertical-align:baseline;white- space:pre;white-space:pre-wrap;"&gt;, devidamente qualificado, visando a reforma de acórdão proferido pela Terceira Câmara de Direito Privado que&lt;/span&gt; &lt;span style="font- size:12pt;font-family:'Times New Roman',serif;color:#000000;background- color:transparent;font-weight:700;font-style:normal;font-variant:normal;text- decoration:none;vertical-align:baseline;white-space:pre;white-space:pre- wrap;"&gt;CONHECEU&lt;/span&gt; &lt;span style="font-size:12pt;font-family:'Times New Roman',serif;color:#000000;background-color:transparent;font-weight:400;font- style:normal;font-variant:normal;text-decoration:none;vertical-align:baseline;white- space:pre;white-space:pre-wrap;"&gt;do recurso de apelação interposto pelo autor em sede de&lt;/span&gt; &lt;span style="font-size:12pt;font-family:'Times New Roman',serif;color:#000000;background-color:transparent;font-weight:700;font- style:normal;font-variant:normal;text-decoration:none;vertical-align:baseline;white- space:pre;white-space:pre-wrap;"&gt;ação declaratória de inexistência de débito c/c indenização por dano moral e material&lt;/span&gt;&lt;span style="font-size:12pt;font- family:'Times New Roman',serif;color:#000000;background-color:transparent;font- weight:400;font-style:normal;font-variant:normal;text-decoration:none;vertical- align:baseline;white-space:pre;white-space:pre-wrap;"&gt;, em desfavor de&lt;/span&gt; &lt;span style="font-size:12pt;font-family:'Times New Roman',serif;color:#000000;background- color:transparent;font-weight:700;font-style:normal;font-variant:normal;text- decoration:none;vertical-align:baseline;white-space:pre;white-space:pre-wrap;"&gt;BANCO DO BRASIL S.A.&lt;/span&gt;&lt;span style="font-size:12pt;font-family:'Times New Roman',serif;color:#000000;background-color:transparent;font-weight:400;font- style:normal;font-variant:normal;text-decoration:none;vertical-align:baseline;white- space:pre;white-space:pre-wrap;"&gt;, para&lt;/span&gt; &lt;span style="font-size:12pt;font- family:'Times New Roman',serif;color:#000000;background-color:transparent;font- weight:700;font-style:normal;font-variant:normal;text-decoration:none;vertical- align:baseline;white-space:pre;white-space:pre-wrap;"&gt;NEGAR-LHE&lt;/span&gt; &lt;span style="font-size:12pt;font-family:'Times New Roman',serif;color:#000000;background- color:transparent;font-weight:400;font-style:normal;font-variant:normal;text- decoration:none;vertical-align:baseline;white-space:pre;white-space:pre- wrap;"&gt;provimento, nos seguintes termos (PJe, ID. 22610023):&lt;/span&gt;&lt;/p&gt;&lt;p style="text- align: center;"&gt; &lt;strong id="docs-internal-guid-fc85138b-7fff-9a13-e97c-dc9a84c2a7f4" style="font-weight:normal;"&gt;</w:t>
              <w:tab/>
              <w:t>&lt;br /&gt; &lt;/strong&gt;&lt;/p&gt;&lt;p style="line-height:1.38;margin-left: 113.38582677165351pt;text-indent: 2.842170943040401e-14pt;text-align: justify;margin- top:0pt;margin-bottom:0pt;" dir="ltr"&gt;&lt;span style="font-size:11pt;font-family:'Times New Roman',serif;color:#000000;background-color:transparent;font-weight:700;font- style:italic;font-variant:normal;text-decoration:none;vertical-align:baseline;white- space:pre;white-space:pre-wrap;"&gt;Ementa:&lt;/span&gt; &lt;span style="font-size:11pt;font- family:'Times New Roman',serif;color:#000000;background-color:transparent;font- weight:400;font-style:normal;font-variant:normal;text-decoration:none;vertical- align:baseline;white-space:pre;white-space:pre-wrap;"&gt;DIREITO PROCESSUAL CIVIL. APELAÇÃO CÍVEL. AÇÃO DECLARATÓRIA DE INEXISTÊNCIA DE NEGÓCIO JURÍDICO CUMULADA COM REPETIÇÃO DE INDÉBITO E INDENIZAÇÃO POR </w:t>
            </w:r>
            <w:r>
              <w:rPr>
                <w:spacing w:val="-4"/>
                <w:sz w:val="20"/>
              </w:rPr>
              <w:t>DANOS </w:t>
            </w:r>
            <w:r>
              <w:rPr>
                <w:sz w:val="20"/>
              </w:rPr>
              <w:t>MORAIS. INDEFERIMENTO DA INICIAL POR AUSÊNCIA DE COMPARECIMENTO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76"/>
              <w:rPr>
                <w:sz w:val="20"/>
              </w:rPr>
            </w:pPr>
            <w:r>
              <w:rPr>
                <w:sz w:val="20"/>
              </w:rPr>
              <w:t>PESSOAL DO AUTOR. AUSÊNCIA DE FORMALISMO EXCESSIVO. ABUSO DO DIREITO DE DEMANDAR. RECURSO CONHECIDO E DESPROVIDO.&lt;/span&gt;&lt;/p&gt;&lt;p</w:t>
            </w:r>
          </w:p>
          <w:p>
            <w:pPr>
              <w:pStyle w:val="TableParagraph"/>
              <w:spacing w:line="208" w:lineRule="auto" w:before="0"/>
              <w:ind w:right="250"/>
              <w:rPr>
                <w:sz w:val="20"/>
              </w:rPr>
            </w:pPr>
            <w:r>
              <w:rPr>
                <w:sz w:val="20"/>
              </w:rPr>
              <w:t>style="line-height:1.38;margin-left: 113.38582677165351pt;text-indent: 2.842170943040401e-14pt;text-align: justify;margin-top:0pt;margin-bottom:0pt;"</w:t>
            </w:r>
            <w:r>
              <w:rPr>
                <w:spacing w:val="-17"/>
                <w:sz w:val="20"/>
              </w:rPr>
              <w:t> </w:t>
            </w:r>
            <w:r>
              <w:rPr>
                <w:sz w:val="20"/>
              </w:rPr>
              <w:t>dir="ltr"&gt;</w:t>
            </w:r>
          </w:p>
          <w:p>
            <w:pPr>
              <w:pStyle w:val="TableParagraph"/>
              <w:spacing w:line="208" w:lineRule="auto" w:before="0"/>
              <w:ind w:right="54"/>
              <w:rPr>
                <w:sz w:val="20"/>
              </w:rPr>
            </w:pPr>
            <w:r>
              <w:rPr>
                <w:sz w:val="20"/>
              </w:rPr>
              <w:t>&lt;span style="font-size:11pt;font-family:'Times New Roman',serif;color:#000000;background-color:transparent;font-weight:700;font- style:normal;font-variant:normal;text-decoration:none;vertical-align:baseline;white- space:pre;white-space:pre-wrap;"&gt;I. Caso em exame:&lt;/span&gt;&lt;/p&gt;&lt;p style="line- height:1.38;margin-left: 113.38582677165351pt;text-indent: 2.842170943040401e- 14pt;text-align: justify;margin-top:0pt;margin-bottom:0pt;" dir="ltr"&gt; &lt;span style="font- size:11pt;font-family:'Times New Roman',serif;color:#000000;background- color:transparent;font-weight:400;font-style:normal;font-variant:normal;text- decoration:none;vertical-align:baseline;white-space:pre;white-space:pre-wrap;"&gt;1. </w:t>
            </w:r>
            <w:r>
              <w:rPr>
                <w:spacing w:val="-3"/>
                <w:sz w:val="20"/>
              </w:rPr>
              <w:t>Trata-se </w:t>
            </w:r>
            <w:r>
              <w:rPr>
                <w:sz w:val="20"/>
              </w:rPr>
              <w:t>de Apelação Cível interposta contra sentença que, nos autos de Ação Declaratória de Inexistência de Negócio Jurídico cumulada com Repetição de Indébito e Indenização por Danos Morais, julgou extinto o feito sem resolução do mérito, com fundamento no art. 485, I, do CPC, em razão da ausência de comparecimento pessoal do autor à secretaria da Vara para ratificação da procuração e apresentação de documentos originais.&lt;/span&gt;&lt;/p&gt;&lt;p style="line-height:1.38;margin-left: 113.38582677165351pt;text- indent: 2.842170943040401e-14pt;text-align: justify;margin-top:0pt;margin-bottom:0pt;" dir="ltr"&gt; &lt;span style="font-size:11pt;font-family:'Times New Roman',serif;color:#000000;background-color:transparent;font-weight:700;font- style:normal;font-variant:normal;text-decoration:none;vertical-align:baseline;white- space:pre;white-space:pre-wrap;"&gt;II. Questão em discussão:&lt;/span&gt;&lt;/p&gt;&lt;p style="line- height:1.38;margin-left: 113.38582677165351pt;text-indent: 2.842170943040401e- 14pt;text-align: justify;margin-top:0pt;margin-bottom:0pt;" dir="ltr"&gt; &lt;span style="font- size:11pt;font-family:'Times New Roman',serif;color:#000000;background- color:transparent;font-weight:400;font-style:normal;font-variant:normal;text- decoration:none;vertical-align:baseline;white-space:pre;white-space:pre-wrap;"&gt;2. A questão em discussão consiste em verificar se é legítima a extinção do processo sem resolução do mérito com base na ausência de comparecimento pessoal da parte autora à secretaria da Vara, para confirmação de documentos e ratificação de procuração, mesmo diante do cumprimento dos requisitos formais exigidos pelos arts. 319 e 320 do CPC.&lt;/span&gt;&lt;/p&gt;&lt;p style="line-height:1.38;margin-left: 113.38582677165351pt;text- indent: 2.842170943040401e-14pt;text-align: justify;margin-top:0pt;margin-bottom:0pt;" dir="ltr"&gt; &lt;span style="font-size:11pt;font-family:'Times New Roman',serif;color:#000000;background-color:transparent;font-weight:700;font- style:normal;font-variant:normal;text-decoration:none;vertical-align:baseline;white- space:pre;white-space:pre-wrap;"&gt;III. Razões de decidir:&lt;/span&gt;&lt;/p&gt;&lt;p style="line- height:1.38;margin-left: 113.38582677165351pt;text-indent: 2.842170943040401e- 14pt;text-align: justify;margin-top:0pt;margin-bottom:0pt;" dir="ltr"&gt; &lt;span style="font- size:11pt;font-family:'Times New Roman',serif;color:#000000;background- color:transparent;font-weight:400;font-style:normal;font-variant:normal;text- decoration:none;vertical-align:baseline;white-space:pre;white-space:pre-wrap;"&gt;3. O cerne da controvérsia reside na violação de preceitos processuais fundamentais, como a boa-fé, a celeridade e a economia processual, além do abuso no exercício do direito de ação, configurado no uso de estratégias processualmente predatórias. Foi verificado o fracionamento de demandas idênticas que poderiam ter sido reunidas em um único processo, prejudicando a eficiência e a racionalidade do sistema judiciário.&lt;/span&gt;&lt;/p&gt;&lt;p style="line-height:1.38;margin-left: 113.38582677165351pt;text-indent: 2.842170943040401e-14pt;text-align: justify;margin-top:0pt;margin-bottom:0pt;" dir="ltr"&gt;</w:t>
            </w:r>
          </w:p>
          <w:p>
            <w:pPr>
              <w:pStyle w:val="TableParagraph"/>
              <w:spacing w:line="208" w:lineRule="auto" w:before="0"/>
              <w:ind w:right="135"/>
              <w:rPr>
                <w:sz w:val="20"/>
              </w:rPr>
            </w:pPr>
            <w:r>
              <w:rPr>
                <w:sz w:val="20"/>
              </w:rPr>
              <w:t>&lt;span style="font-size:11pt;font-family:'Times New Roman',serif;color:#000000;background-color:transparent;font-weight:400;font- style:normal;font-variant:normal;text-decoration:none;vertical-align:baseline;white- space:pre;white-space:pre-wrap;"&gt;4. Constatou-se que o ajuizamento separado dessas ações, com fundamentação semelhante e pedidos acumuláveis, caracteriza má-fé processual e busca indevida por vantagem econômica desproporcional, configurando abuso do direito de acesso ao Judiciário. Precedentes jurisprudenciais da 3ª Câmara de Direito Privado do TJCE e a Recomendação nº 159/2024 do CNJ reforçam a necessidade de coibir práticas de litigância abusiva e improdutiva.&lt;/span&gt;&lt;/p&gt;&lt;p style="line- height:1.38;margin-left: 113.38582677165351pt;text-indent: 2.842170943040401e- 14pt;text-align: justify;margin-top:0pt;margin-bottom:0pt;" dir="ltr"&gt; &lt;span style="font- size:11pt;font-family:'Times New Roman',serif;color:#000000;background- color:transparent;font-weight:400;font-style:normal;font-variant:normal;text- decoration:none;vertical-align:baseline;white-space:pre;white-space:pre-wrap;"&gt;5. Dessa forma, a determinação de comparecimento da parte autora ao juízo não configura exigência desarrazoada ou contrária ao acesso à justiça, por garantir a lisura do ajuizamento da ação e o abuso do direito de litigar, quando houver evidências da conduta negativa.&lt;/span&gt;&lt;/p&gt;&lt;p style="line-height:1.38;margin-left: 113.38582677165351pt;text- indent: 2.842170943040401e-14pt;text-align: justify;margin-top:0pt;margin-bottom:0pt;"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750" w:val="left" w:leader="none"/>
              </w:tabs>
              <w:spacing w:line="208" w:lineRule="auto" w:before="26"/>
              <w:ind w:right="271"/>
              <w:rPr>
                <w:sz w:val="20"/>
              </w:rPr>
            </w:pPr>
            <w:r>
              <w:rPr>
                <w:sz w:val="20"/>
              </w:rPr>
              <w:t>dir="ltr"&gt; &lt;span style="font-size:11pt;font-family:'Times New Roman',serif;color:#000000;background-color:transparent;font-weight:700;font- style:normal;font-variant:normal;text-decoration:none;vertical-align:baseline;white- space:pre;white-space:pre-wrap;"&gt;IV. Dispositivo:&lt;/span&gt;&lt;/p&gt;&lt;p style="line- height:1.38;margin-left: 113.38582677165351pt;text-indent: 2.842170943040401e- 14pt;text-align: justify;margin-top:0pt;margin-bottom:10pt;" dir="ltr"&gt; &lt;span style="font- size:11pt;font-family:'Times New Roman',serif;color:#000000;background- color:transparent;font-weight:400;font-style:normal;font-variant:normal;text- decoration:none;vertical-align:baseline;white-space:pre;white-space:pre-wrap;"&gt;6. Apelo conhecido e desprovido.&lt;/span&gt;&lt;/p&gt;&lt;p style="text-align: center;"&gt; &lt;strong style="font- weight:normal;"&gt;</w:t>
              <w:tab/>
              <w:t>&lt;br /&gt; &lt;/strong&gt;&lt;/p&gt;&lt;p style="line-height:1.7999999999999998;text- 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space:pre;white-space:pre-wrap;"&gt;Em seus aclaratórios – vide ID. 27475730,&lt;/span&gt;</w:t>
            </w:r>
          </w:p>
          <w:p>
            <w:pPr>
              <w:pStyle w:val="TableParagraph"/>
              <w:spacing w:line="208" w:lineRule="auto" w:before="0"/>
              <w:ind w:right="95"/>
              <w:rPr>
                <w:sz w:val="20"/>
              </w:rPr>
            </w:pPr>
            <w:r>
              <w:rPr>
                <w:sz w:val="20"/>
              </w:rPr>
              <w:t>&lt;span style="font-size:12pt;font-family:'Times New Roman',serif;color:#000000;background-color:transparent;font-weight:700;font- style:normal;font-variant:normal;text-decoration:none;vertical-align:baseline;white- space:pre;white-space:pre-wrap;"&gt;ADEMAR GOMES SOARES&lt;/span&gt; &lt;span style="font- size:12pt;font-family:'Times New Roman',serif;color:#000000;background- color:transparent;font-weight:400;font-style:normal;font-variant:normal;text- decoration:none;vertical-align:baseline;white-space:pre;white-space:pre-wrap;"&gt;sustenta a existência de omissão e contradição no acórdão recorrido, sob a premissa de que a ausência de intimação pessoal do autor para comparecer perante a Secretaria do Juízo, em até quinze dias úteis – circunstância que acarretou na extinção do processo sem resolução do mérito (sentença de ID. 15247890) –, consistiria em vício insanável, incorrendo em violação a normas constitucionais e infraconstitucionais.&lt;/span&gt;&lt;/p&gt;&lt;p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align:baseline;white-space:pre;white-space:pre-wrap;"&gt;Devidamente intimado (ID.</w:t>
            </w:r>
          </w:p>
          <w:p>
            <w:pPr>
              <w:pStyle w:val="TableParagraph"/>
              <w:spacing w:line="208" w:lineRule="auto" w:before="0"/>
              <w:ind w:right="36"/>
              <w:rPr>
                <w:sz w:val="20"/>
              </w:rPr>
            </w:pPr>
            <w:r>
              <w:rPr>
                <w:sz w:val="20"/>
              </w:rPr>
              <w:t>27539260), o BANCO DO BRASIL S.A. quedou-se inerte, decorrendo o prazo para a interposição de contrarrazões recursais em 04/09/2025.&lt;/span&gt;&lt;/p&gt;&lt;p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space:pre;white-space:pre-wrap;"&gt;É o relatório.&lt;/span&gt;&lt;/p&gt;&lt;p style="text-align: center;"&gt;&amp;#160;&lt;/p&gt;&lt;p style="text-align: center;"&gt;&amp;#160;&lt;/p&gt;&lt;p style="text-align: center;"&gt;</w:t>
            </w:r>
          </w:p>
          <w:p>
            <w:pPr>
              <w:pStyle w:val="TableParagraph"/>
              <w:tabs>
                <w:tab w:pos="3044" w:val="left" w:leader="none"/>
                <w:tab w:pos="4167" w:val="left" w:leader="none"/>
              </w:tabs>
              <w:spacing w:line="190" w:lineRule="exact" w:before="0"/>
              <w:rPr>
                <w:sz w:val="20"/>
              </w:rPr>
            </w:pPr>
            <w:r>
              <w:rPr>
                <w:sz w:val="20"/>
              </w:rPr>
              <w:t>&lt;span style="font-size: small;"&gt;</w:t>
              <w:tab/>
              <w:t>&lt;strong&gt;</w:t>
              <w:tab/>
              <w:t>&lt;span style="font-size: medium;"&gt;</w:t>
            </w:r>
          </w:p>
          <w:p>
            <w:pPr>
              <w:pStyle w:val="TableParagraph"/>
              <w:spacing w:line="200" w:lineRule="exact" w:before="0"/>
              <w:rPr>
                <w:sz w:val="20"/>
              </w:rPr>
            </w:pPr>
            <w:r>
              <w:rPr>
                <w:sz w:val="20"/>
              </w:rPr>
              <w:t>&lt;span style="font-family: &amp;quot;times new roman&amp;quot;, times;"&gt;VOTO&lt;/span&gt;</w:t>
            </w:r>
          </w:p>
          <w:p>
            <w:pPr>
              <w:pStyle w:val="TableParagraph"/>
              <w:tabs>
                <w:tab w:pos="985" w:val="left" w:leader="none"/>
                <w:tab w:pos="7353" w:val="left" w:leader="none"/>
              </w:tabs>
              <w:spacing w:line="208" w:lineRule="auto" w:before="7"/>
              <w:ind w:right="85"/>
              <w:rPr>
                <w:sz w:val="20"/>
              </w:rPr>
            </w:pPr>
            <w:r>
              <w:rPr>
                <w:sz w:val="20"/>
              </w:rPr>
              <w:t>&lt;/span&gt;</w:t>
              <w:tab/>
              <w:t>&lt;/strong&gt; &lt;/span&gt;&lt;/p&gt;&lt;p style="line-height:1.7999999999999998;margin-right: 0.28346456692915467pt;text-indent: 1pt;text-align: justify;margin-top:6pt;margin- bottom:0pt;" dir="ltr"&gt; &lt;span style="font-size:11pt;font-family:'Times New Roman',serif;color:#000000;background-color:transparent;font-weight:700;font- style:normal;font-variant:normal;text-decoration:none;vertical-align:baseline;white- space:pre;white-space:pre-wrap;"&gt;I. JUÍZO DE ADMISSIBILIDADE&lt;/span&gt;&lt;/p&gt;&lt;p style="line-height:1.7999999999999998;margin-right: 0.28346456692915467pt;text-indent: 1pt;text-align: justify;margin-top:6pt;margin-bottom:0pt;" dir="ltr"&gt; &lt;span style="font- size:11pt;font-family:'Times New Roman',serif;color:#000000;background- color:transparent;font-weight:700;font-style:normal;font-variant:normal;text- decoration:none;vertical-align:baseline;white-space:pre;white-space:pre-wrap;"&gt;</w:t>
              <w:tab/>
              <w:t>&lt;br /&gt;</w:t>
            </w:r>
          </w:p>
          <w:p>
            <w:pPr>
              <w:pStyle w:val="TableParagraph"/>
              <w:spacing w:line="208" w:lineRule="auto" w:before="0"/>
              <w:ind w:right="43"/>
              <w:rPr>
                <w:sz w:val="20"/>
              </w:rPr>
            </w:pPr>
            <w:r>
              <w:rPr>
                <w:sz w:val="20"/>
              </w:rPr>
              <w:t>&lt;/span&gt;&lt;/p&gt;&lt;p style="line-height:1.7999999999999998;margin-right: 0.28346456692915467pt;text-indent: 56.692913385826756pt;text-align: justify;margin- top:6pt;margin-bottom:0pt;" dir="ltr"&gt; &lt;span style="font-size:12pt;font-family:'Times New Roman',serif;color:#000000;background-color:transparent;font-weight:400;font- style:normal;font-variant:normal;text-decoration:none;vertical-align:baseline;white- space:pre;white-space:pre-wrap;"&gt;O presente recurso de embargos de declaração afigura- se&amp;#160; adequado, tempestivo, cabível e foi interposto por quem detinha legítimo interesse, de modo que, presentes os pressupostos de admissibilidade recursal, conheço dos aclaratórios e passo ao exame de mérito.&lt;/span&gt;&lt;/p&gt;&lt;p style="line- height:1.7999999999999998;margin-right: 0.28346456692915467pt;text-indent: 1pt;text- align: justify;margin-top:6pt;margin-bottom:0pt;" dir="ltr"&gt;&amp;#160;&lt;/p&gt;&lt;p style="line- height:1.7999999999999998;margin-right: 0.28346456692915467pt;text-indent: 1pt;text- align: justify;margin-top:6pt;margin-bottom:0pt;" dir="ltr"&gt; &lt;span style="font-size:11pt;font- family:'Times New Roman',serif;color:#000000;background-color:transparent;font- weight:700;font-style:normal;font-variant:normal;text-decoration:none;vertical- align:baseline;white-space:pre;white-space:pre-wrap;"&gt;III. JUÍZO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51" w:val="left" w:leader="none"/>
              </w:tabs>
              <w:spacing w:line="208" w:lineRule="auto" w:before="26"/>
              <w:ind w:right="110"/>
              <w:rPr>
                <w:sz w:val="20"/>
              </w:rPr>
            </w:pPr>
            <w:r>
              <w:rPr>
                <w:sz w:val="20"/>
              </w:rPr>
              <w:t>MÉRITO&lt;/span&gt;&lt;/p&gt;&lt;p style="line-height:1.7999999999999998;margin-right: 0.28346456692915467pt;text-indent: 1pt;text-align: justify;margin-top:6pt;margin- bottom:0pt;" dir="ltr"&gt; &lt;span style="font-size:11pt;font-family:'Times New Roman',serif;color:#000000;background-color:transparent;font-weight:700;font- style:normal;font-variant:normal;text-decoration:none;vertical-align:baseline;white- space:pre;white-space:pre-wrap;"&gt;</w:t>
              <w:tab/>
              <w:t>&lt;br /&gt; &lt;/span&gt;&lt;/p&gt;&lt;p style="line- height:1.7999999999999998;margin-left: 3.95pt;margin-right: 0.28346456692915467pt;text-indent: 52.74291338582675pt;text-align: justify;margin- top:6pt;margin-bottom:0pt;" dir="ltr"&gt; &lt;span style="font-size:12pt;font-family:'Times New Roman',serif;color:#000000;background-color:transparent;font-weight:400;font- style:normal;font-variant:normal;text-decoration:none;vertical-align:baseline;white- space:pre;white-space:pre-wrap;"&gt;A título de esclarecimentos, frisa-se que os </w:t>
            </w:r>
            <w:r>
              <w:rPr>
                <w:spacing w:val="-2"/>
                <w:sz w:val="20"/>
              </w:rPr>
              <w:t>aclaratórios </w:t>
            </w:r>
            <w:r>
              <w:rPr>
                <w:sz w:val="20"/>
              </w:rPr>
              <w:t>possuem fundamentação vinculada, com a finalidade de elucidar obscuridade, eliminar</w:t>
            </w:r>
          </w:p>
          <w:p>
            <w:pPr>
              <w:pStyle w:val="TableParagraph"/>
              <w:spacing w:line="208" w:lineRule="auto" w:before="0"/>
              <w:ind w:right="54"/>
              <w:rPr>
                <w:sz w:val="20"/>
              </w:rPr>
            </w:pPr>
            <w:r>
              <w:rPr>
                <w:sz w:val="20"/>
              </w:rPr>
              <w:t>contradição, suprir omissão e corrigir erro material. Não apresentam caráter substitutivo </w:t>
            </w:r>
            <w:r>
              <w:rPr>
                <w:spacing w:val="-9"/>
                <w:sz w:val="20"/>
              </w:rPr>
              <w:t>da </w:t>
            </w:r>
            <w:r>
              <w:rPr>
                <w:sz w:val="20"/>
              </w:rPr>
              <w:t>decisão embargada, mas integrativo ou elucidativo. Nos termos do art. 2.022 do CPC/2015:&lt;/span&gt;&lt;/p&gt;&lt;p style="line-height:1.38;margin-left: 117.35pt;margin-right: 0.28346456692915467pt;text-align: justify;margin-top:6pt;margin-bottom:0pt;" dir="ltr"&gt;&amp;#160;&lt;/p&gt;&lt;p style="line-height:1.38;margin-left: 117.35pt;margin-right: 0.28346456692915467pt;text-align: justify;margin-top:6pt;margin-bottom:0pt;" dir="ltr"&gt;</w:t>
            </w:r>
          </w:p>
          <w:p>
            <w:pPr>
              <w:pStyle w:val="TableParagraph"/>
              <w:tabs>
                <w:tab w:pos="3351" w:val="left" w:leader="none"/>
                <w:tab w:pos="5163" w:val="left" w:leader="none"/>
              </w:tabs>
              <w:spacing w:line="208" w:lineRule="auto" w:before="0"/>
              <w:ind w:right="98"/>
              <w:rPr>
                <w:sz w:val="20"/>
              </w:rPr>
            </w:pPr>
            <w:r>
              <w:rPr>
                <w:sz w:val="20"/>
              </w:rPr>
              <w:t>&lt;span style="font-size:11pt;font-family:'Times New Roman',serif;color:#000000;background-color:transparent;font-weight:400;font- style:normal;font-variant:normal;text-decoration:none;vertical-align:baseline;white- space:pre;white-space:pre-wrap;"&gt;</w:t>
              <w:tab/>
              <w:t>&lt;em&gt;Art. 1.022. Cabem embargos de declaração contra qualquer decisão judicial para:&lt;/em&gt; &lt;/span&gt;&lt;/p&gt;&lt;p style="line- 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w:t>
              <w:tab/>
              <w:t>&lt;em&gt;I - esclarecer obscuridade ou eliminar contradição;&lt;/em&gt; &lt;/span&gt;&lt;/p&gt;&lt;p style="line-height:1.38;margin-left: 117.35pt;margin-right: 0.28346456692915467pt;text-align: justify;margin-top:6pt;margin- bottom:0pt;" dir="ltr"&gt; &lt;span style="font-size:11pt;font-family:'Times New Roman',serif;color:#000000;background-color:transparent;font-weight:400;font- style:normal;font-variant:normal;text-decoration:none;vertical-align:baseline;white- space:pre;white-space:pre-wrap;"&gt;</w:t>
              <w:tab/>
              <w:t>&lt;em&gt;II - suprir omissão de ponto ou questão sobre </w:t>
            </w:r>
            <w:r>
              <w:rPr>
                <w:spacing w:val="-17"/>
                <w:sz w:val="20"/>
              </w:rPr>
              <w:t>o </w:t>
            </w:r>
            <w:r>
              <w:rPr>
                <w:sz w:val="20"/>
              </w:rPr>
              <w:t>qual devia se pronunciar o juiz de ofício ou a requerimento;&lt;/em&gt; &lt;/span&gt;&lt;/p&gt;&lt;p style="line-height:1.38;margin-left: 117.35pt;margin-right: 0.28346456692915467pt;text- align: justify;margin-top:6pt;margin-bottom:0pt;" dir="ltr"&gt; &lt;span style="font-size:11pt;font- family:'Times New Roman',serif;color:#000000;background-color:transparent;font- weight:400;font-style:normal;font-variant:normal;text-decoration:none;vertical- align:baseline;white-space:pre;white-space:pre-wrap;"&gt;</w:t>
              <w:tab/>
              <w:t>&lt;em&gt;III - corrigir erro material.&lt;/em&gt; &lt;/span&gt;&lt;/p&gt;&lt;p style="line-height:1.38;margin-left: 117.35pt;margin-right: 0.28346456692915467pt;text-align: justify;margin-top:6pt;margin-bottom:0pt;" dir="ltr"&gt;</w:t>
            </w:r>
          </w:p>
          <w:p>
            <w:pPr>
              <w:pStyle w:val="TableParagraph"/>
              <w:tabs>
                <w:tab w:pos="3351" w:val="left" w:leader="none"/>
              </w:tabs>
              <w:spacing w:line="208" w:lineRule="auto" w:before="0"/>
              <w:ind w:right="287"/>
              <w:rPr>
                <w:sz w:val="20"/>
              </w:rPr>
            </w:pPr>
            <w:r>
              <w:rPr>
                <w:sz w:val="20"/>
              </w:rPr>
              <w:t>&lt;span style="font-size:11pt;font-family:'Times New Roman',serif;color:#000000;background-color:transparent;font-weight:400;font- style:normal;font-variant:normal;text-decoration:none;vertical-align:baseline;white- space:pre;white-space:pre-wrap;"&gt;</w:t>
              <w:tab/>
              <w:t>&lt;br /&gt; &lt;/span&gt;&lt;/p&gt;&lt;p style="line- height:1.7999999999999998;margin-left: 3.95pt;margin-right: 0.28346456692915467pt;text-indent: 52.74291338582675pt;text-align: justify;margin- top:6pt;margin-bottom:0pt;" dir="ltr"&gt; &lt;span style="font-size:12pt;font-family:'Times </w:t>
            </w:r>
            <w:r>
              <w:rPr>
                <w:spacing w:val="-6"/>
                <w:sz w:val="20"/>
              </w:rPr>
              <w:t>New </w:t>
            </w:r>
            <w:r>
              <w:rPr>
                <w:sz w:val="20"/>
              </w:rPr>
              <w:t>Roman',serif;color:#000000;background-color:transparent;font-weight:400;font- style:normal;font-variant:normal;text-decoration:none;vertical-align:baseline;white- space:pre;white-space:pre-wrap;"&gt;Em comentários ao referido dispositivo, anotam os</w:t>
            </w:r>
          </w:p>
          <w:p>
            <w:pPr>
              <w:pStyle w:val="TableParagraph"/>
              <w:tabs>
                <w:tab w:pos="5163" w:val="left" w:leader="none"/>
              </w:tabs>
              <w:spacing w:line="208" w:lineRule="auto" w:before="0"/>
              <w:ind w:right="37"/>
              <w:rPr>
                <w:sz w:val="20"/>
              </w:rPr>
            </w:pPr>
            <w:r>
              <w:rPr>
                <w:sz w:val="20"/>
              </w:rPr>
              <w:t>Professores Nelson Nery Júnior e Rosa Maria de Andrade Nery:&lt;/span&gt;&lt;/p&gt;&lt;p </w:t>
            </w:r>
            <w:r>
              <w:rPr>
                <w:spacing w:val="-2"/>
                <w:sz w:val="20"/>
              </w:rPr>
              <w:t>style="line- </w:t>
            </w:r>
            <w:r>
              <w:rPr>
                <w:sz w:val="20"/>
              </w:rPr>
              <w:t>height:1.38;margin-left: 117.35pt;margin-right: 0.28346456692915467pt;text-align: justify;margin-top:6pt;margin-bottom:0pt;" dir="ltr"&gt;&amp;#160;&lt;/p&gt;&lt;p style="line- 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w:t>
              <w:tab/>
              <w:t>&lt;em&gt;Finalidade. Os embargos de declaração têm finalidade de completar a decisão omissa ou, ainda, de aclará-la, dissipando obscuridades ou contradições. Não têm caráter substitutivo da decisão embargada, mas sim integrativo ou aclaratório. Prestam-se também à correção de erro material. Como regra, não tem caráter substitutivo, modificador ou infringente do julgado (...). Não mais cabem quando houver dúvida na decisão (...). (Código de Processo Civil Comentado", 16ª edição, 2016, Editora RT)&lt;/em&gt; &lt;/span&gt;&lt;/p&gt;&lt;p style="line- height:1.38;margin-left: 117.35pt;margin-right: 0.28346456692915467pt;text-align: justify;margin-top:6pt;margin-bottom:0pt;" dir="ltr"&gt; &lt;span style="font-size:11pt;font- family:'Times New Roman',serif;color:#000000;background-color:transparent;font-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163" w:val="left" w:leader="none"/>
              </w:tabs>
              <w:spacing w:line="208" w:lineRule="auto" w:before="26"/>
              <w:ind w:right="64"/>
              <w:rPr>
                <w:sz w:val="20"/>
              </w:rPr>
            </w:pPr>
            <w:r>
              <w:rPr>
                <w:sz w:val="20"/>
              </w:rPr>
              <w:t>weight:400;font-style:normal;font-variant:normal;text-decoration:none;vertical- align:baseline;white-space:pre;white-space:pre-wrap;"&gt;</w:t>
              <w:tab/>
              <w:t>&lt;br /&gt; &lt;/span&gt;&lt;/p&gt;&lt;p style="line-height:1.7999999999999998;margin-left: 3.95pt;margin-right: 0.28346456692915467pt;text-indent: 52.74291338582675pt;text-align: justify;margin- top:6pt;margin-bottom:0pt;" dir="ltr"&gt; &lt;span style="font-size:12pt;font-family:'Times New Roman',serif;color:#000000;background-color:transparent;font-weight:400;font- style:normal;font-variant:normal;text-decoration:none;vertical-align:baseline;white- space:pre;white-space:pre-wrap;"&gt;Excepcionalmente, tal recurso pode ter caráter infringente, “&lt;/span&gt; &lt;span style="font-size:12pt;font-family:'Times New Roman',serif;color:#000000;background-color:transparent;font-weight:400;font- style:italic;font-variant:normal;text-decoration:none;vertical-align:baseline;white- space:pre;white-space:pre-wrap;"&gt;quando utilizados para: a) correção de erro material manifesto; b) suprimento de omissão; c) extirpação de contradição&lt;/span&gt; &lt;span style="font-size:12pt;font-family:'Times New Roman',serif;color:#000000;background- color:transparent;font-weight:400;font-style:normal;font-variant:normal;text- decoration:none;vertical-align:baseline;white-space:pre;white-space:pre-wrap;"&gt;” (autores e obra citada, p. 2279).&lt;/span&gt;&lt;/p&gt;&lt;p style="line-height:1.7999999999999998;margin-left: 3.95pt;margin-right: 0.28346456692915467pt;text-indent: 52.74291338582675pt;text-align: justify;margin-top:6pt;margin-bottom:0pt;" dir="ltr"&gt; &lt;span style="font-size:12pt;font- family:'Times New Roman',serif;color:#000000;background-color:transparent;font- weight:400;font-style:normal;font-variant:normal;text-decoration:none;vertical- align:baseline;white-space:pre;white-space:pre-wrap;"&gt;O ora embargante ADEMAR GOMES SOARES sustenta, em suma, que o acórdão proferido pela Terceira Câmara de Direito Privado está eivado de omissão e contradição por ter mantido sentença de </w:t>
            </w:r>
            <w:r>
              <w:rPr>
                <w:spacing w:val="-3"/>
                <w:sz w:val="20"/>
              </w:rPr>
              <w:t>primeiro </w:t>
            </w:r>
            <w:r>
              <w:rPr>
                <w:sz w:val="20"/>
              </w:rPr>
              <w:t>grau que extinguiu o feito sem resolução do mérito em razão de não ter a parte autora comparecido à secretaria em juízo, conforme estabelecido em despacho de ID. 15247885. Alega que a ausência de intimação pessoal torna o ato nulo, insanável e em contrariedade com os ditames constitucionais.&lt;/span&gt;&lt;/p&gt;&lt;p style="line- height:1.7999999999999998;margin-left: 3.95pt;margin-right: 0.28346456692915467pt;text-indent: 52.74291338582675pt;text-align: justify;margin- top:6pt;margin-bottom:0pt;" dir="ltr"&gt; &lt;span style="font-size:12pt;font-family:'Times New Roman',serif;color:#000000;background-color:transparent;font-weight:400;font- style:normal;font-variant:normal;text-decoration:none;vertical-align:baseline;white- space:pre;white-space:pre-wrap;"&gt;Pois bem. Não subsistem quaisquer vícios passíveis de embargos. Explico.&lt;/span&gt;&lt;/p&gt;&lt;p style="line-height:1.7999999999999998;margin-left: 3.95pt;margin-right: 0.28346456692915467pt;text-indent: 52.74291338582675pt;text-align: justify;margin-top:6pt;margin-bottom:0pt;" dir="ltr"&gt;&lt;span style="font-size:12pt;font- family:'Times New Roman',serif;color:#000000;background-color:transparent;font- weight:400;font-style:normal;font-variant:normal;text-decoration:none;vertical- align:baseline;white-space:pre;white-space:pre-wrap;"&gt;Conforme já exaustivamente elencado durante todo o percurso dos autos,&lt;/span&gt; &lt;span style="font-size:12pt;font- family:'Times New Roman',serif;color:#000000;background-color:transparent;font- weight:700;font-style:normal;font-variant:normal;text-decoration:none;vertical- align:baseline;white-space:pre;white-space:pre-wrap;"&gt;o Sr. Ademar Gomes Soares possui cerca de 11(onze) ações similares ajuizadas perante a comarca de Crateús, entre os dias 23 de agosto de 2024 até 28 de agosto de 2024&lt;/span&gt;&lt;span style="font- size:12pt;font-family:'Times New Roman',serif;color:#000000;background- color:transparent;font-weight:400;font-style:normal;font-variant:normal;text- decoration:none;vertical-align:baseline;white-space:pre;white-space:pre- wrap;"&gt;.&amp;#160;&lt;/span&gt;&lt;/p&gt;&lt;p style="line-height:1.7999999999999998;margin-left: 3.95pt;margin-right: 0.28346456692915467pt;text-indent: 52.74291338582675pt;text-align: justify;margin-top:6pt;margin-bottom:0pt;" dir="ltr"&gt; &lt;span style="font-size:12pt;font- family:'Times New Roman',serif;color:#000000;background-color:transparent;font- weight:400;font-style:normal;font-variant:normal;text-decoration:none;vertical-</w:t>
            </w:r>
          </w:p>
          <w:p>
            <w:pPr>
              <w:pStyle w:val="TableParagraph"/>
              <w:spacing w:line="208" w:lineRule="auto" w:before="0"/>
              <w:ind w:right="21"/>
              <w:rPr>
                <w:sz w:val="20"/>
              </w:rPr>
            </w:pPr>
            <w:r>
              <w:rPr>
                <w:sz w:val="20"/>
              </w:rPr>
              <w:t>align:baseline;white-space:pre;white-space:pre-wrap;"&gt;Tratando-se de causa de massa, foi determinada a intimação do autor para comparecimento da secretaria em juízo, conforme se dessume de despacho de ID. 15247885:&lt;/span&gt;&lt;/p&gt;&lt;p style="line-height:1.38;margin- left: 117.35pt;margin-right: 0.28346456692915467pt;text-align: justify;margin- top:6pt;margin-bottom:0pt;" dir="ltr"&gt;&amp;#160;&lt;/p&gt;&lt;p style="line-height:1.38;margin-left: 117.35pt;margin-right: 0.28346456692915467pt;text-align: justify;margin-top:6pt;margin- bottom:0pt;" dir="ltr"&gt; &lt;span style="font-size:11pt;font-family:'Times New Roman',serif;color:#000000;background-color:transparent;font-weight:400;font- style:normal;font-variant:normal;text-decoration:none;vertical-align:baseline;white- space:pre;white-space:pre-wrap;"&gt;O Provimento nº 13/2019/CGJ criou o Núcleo de Monitoramento de Perfil de Demandas NUMOPEDE, através do qual visa monitorar o perfil de lides, notadamente no afã de identificar possíveis casos de excesso de litigância e/ou litigância predatória, em detrimento do melhor funcionamento do Poder Judiciário e, no mais das vezes, em prejuízo da parte que promove a demanda.&lt;/span&gt;&lt;/p&gt;&lt;p style="line- height:1.38;margin-left: 117.35pt;margin-right: 0.28346456692915467pt;text-align: justify;margin-top:6pt;margin-bottom:0pt;" dir="ltr"&gt; &lt;span style="font-size:11pt;font-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9"/>
              <w:rPr>
                <w:sz w:val="20"/>
              </w:rPr>
            </w:pPr>
            <w:r>
              <w:rPr>
                <w:sz w:val="20"/>
              </w:rPr>
              <w:t>family:'Times New Roman',serif;color:#000000;background-color:transparent;font- weight:400;font-style:normal;font-variant:normal;text-decoration:none;vertical- align:baseline;white-space:pre;white-space:pre-wrap;"&gt;Nessa lógica, a Recomendação nº 01/2019/NUMOPEDE/CGJ, atualizada pela Recomendação nº 01/2021/NUMOPEDE/CGJ, previu uma série de medidas de controle a serem adotadas pelos magistrados, fiscalizando a prestação jurisdicional nestes casos excepcionais.&lt;/span&gt;&lt;/p&gt;&lt;p style="line-height:1.38;margin-left: 117.35pt;margin-right: 0.28346456692915467pt;text- align: justify;margin-top:6pt;margin-bottom:0pt;" dir="ltr"&gt;&lt;span style="font-size:11pt;font- family:'Times New Roman',serif;color:#000000;background-color:transparent;font- weight:400;font-style:normal;font-variant:normal;text-decoration:none;vertical- align:baseline;white-space:pre;white-space:pre-wrap;"&gt;Dentre elas,&lt;/span&gt; &lt;span style="font-size:11pt;font-family:'Times New Roman',serif;color:#000000;background- color:transparent;font-weight:700;font-style:normal;font-variant:normal;text- decoration:none;vertical-align:baseline;white-space:pre;white-space:pre- wrap;"&gt;recomenda-se&lt;/span&gt; &lt;span style="font-size:11pt;font-family:'Times New Roman',serif;color:#000000;background-color:transparent;font-weight:400;font- style:normal;font-variant:normal;text-decoration:none;vertical-align:baseline;white- space:pre;white-space:pre-wrap;"&gt;intimação pessoal da parte autora para apresentar em juízo documentos originais de identidade e comprovante de residência, bem como ratificar os termos da procuração e o pedido da inicial, nos moldes do art. 139, V, do Código de Processo Civil.&lt;/span&gt;&lt;/p&gt;&lt;p style="line-height:1.38;margin-left: 117.35pt;margin-right: 0.28346456692915467pt;text-align: justify;margin-top:6pt;margin-bottom:0pt;" dir="ltr"&gt;</w:t>
            </w:r>
          </w:p>
          <w:p>
            <w:pPr>
              <w:pStyle w:val="TableParagraph"/>
              <w:spacing w:line="208" w:lineRule="auto" w:before="0"/>
              <w:ind w:right="86"/>
              <w:rPr>
                <w:sz w:val="20"/>
              </w:rPr>
            </w:pPr>
            <w:r>
              <w:rPr>
                <w:sz w:val="20"/>
              </w:rPr>
              <w:t>&lt;span style="font-size:11pt;font-family:'Times New Roman',serif;color:#000000;background-color:transparent;font-weight:700;font- style:normal;font-variant:normal;text-decoration:none;vertical-align:baseline;white- space:pre;white-space:pre-wrap;"&gt;Assim, compulsando os presentes autos, observando- se que se trata de causa de massa para discussão de supostas cobranças indevidas, através do mesmo advogado, o qual ajuizou mais de uma demanda com o mesmo desiderato em face da mesma ou de instituições diversas, cada uma visando a declaração de inexistência de um dado contrato/débito, constato que a demanda em liça preenche o perfil indicado pela Corregedoria deste Poder.&lt;/span&gt;&lt;/p&gt;&lt;p style="line- height:1.38;margin-left: 117.35pt;margin-right: 0.28346456692915467pt;text-align: justify;margin-top:6pt;margin-bottom:0pt;" dir="ltr"&gt;&lt;span style="font-size:11pt;font- family:'Times New Roman',serif;color:#000000;background-color:transparent;font- weight:400;font-style:normal;font-variant:normal;text-decoration:none;vertical- align:baseline;white-space:pre;white-space:pre-wrap;"&gt;Por esta razão,&lt;/span&gt; &lt;span style="font-size:11pt;font-family:'Times New Roman',serif;color:#000000;background- color:transparent;font-weight:700;font-style:normal;font-variant:normal;text- decoration:none;vertical-align:baseline;white-space:pre;white-space:pre-wrap;"&gt;determino a intimação da parte autora&lt;/span&gt; &lt;span style="font-size:11pt;font-family:'Times New Roman',serif;color:#000000;background-color:transparent;font-weight:700;font- style:normal;font-variant:normal;text-decoration:none;vertical-align:baseline;white- space:pre;white-space:pre-wrap;"&gt;para comparecimento em secretaria de juízo&lt;/span&gt;&lt;span style="font-size:11pt;font-family:'Times New Roman',serif;color:#000000;background-color:transparent;font-weight:400;font- style:normal;font-variant:normal;text-decoration:none;vertical-align:baseline;white- space:pre;white-space:pre-wrap;"&gt;, em&lt;/span&gt; &lt;span style="font-size:11pt;font- family:'Times New Roman',serif;color:#000000;background-color:transparent;font- weight:700;font-style:normal;font-variant:normal;text-decoration:none;vertical- align:baseline;white-space:pre;white-space:pre-wrap;"&gt;até quinze dias úteis,&lt;/span&gt;</w:t>
            </w:r>
          </w:p>
          <w:p>
            <w:pPr>
              <w:pStyle w:val="TableParagraph"/>
              <w:spacing w:line="208" w:lineRule="auto" w:before="0"/>
              <w:ind w:right="41"/>
              <w:rPr>
                <w:sz w:val="20"/>
              </w:rPr>
            </w:pPr>
            <w:r>
              <w:rPr>
                <w:sz w:val="20"/>
              </w:rPr>
              <w:t>&lt;span style="font-size:11pt;font-family:'Times New Roman',serif;color:#000000;background-color:transparent;font-weight:400;font- style:normal;font-variant:normal;text-decoration:none;vertical-align:baseline;white- space:pre;white-space:pre-wrap;"&gt;a fim de apresentar o documento oficial de identidade e cópia de comprovante de residência dos últimos três meses em seu nome ou se em nome de terceiro demonstrando o vínculo entre ambos, oportunidade em que também, por firma presencial de termo, confirmará a procuração constante dos autos e os pedidos veiculados na peça de inauguração.&lt;/span&gt;&lt;/p&gt;&lt;p style="line-height:1.38;margin-left: 117.35pt;margin-right: 0.28346456692915467pt;text-align: justify;margin-top:6pt;margin- bottom:0pt;" dir="ltr"&gt;&lt;span style="font-size:11pt;font-family:'Times New Roman',serif;color:#000000;background-color:transparent;font-weight:400;font- style:normal;font-variant:normal;text-decoration:none;vertical-align:baseline;white- space:pre;white-space:pre-wrap;"&gt;[...] Fica advertida a parte de que todos os documentos deverão ser apresentados em secretaria e que,&lt;/span&gt; &lt;span style="font-size:11pt;font- family:'Times New Roman',serif;color:#000000;background-color:transparent;font- weight:700;font-style:normal;font-variant:normal;text-decoration:none;vertical- align:baseline;white-space:pre;white-space:pre-wrap;"&gt;acaso não atendidas as determinações supra, o feito será extinto sem resolução de seu mérito, por falha de representação processual&lt;/span&gt;&lt;span style="font-size:11pt;font-family:'Times New Roman',serif;color:#000000;background-color:transparent;font-weight:400;font-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8"/>
              <w:rPr>
                <w:sz w:val="20"/>
              </w:rPr>
            </w:pPr>
            <w:r>
              <w:rPr>
                <w:sz w:val="20"/>
              </w:rPr>
              <w:t>style:normal;font-variant:normal;text-decoration:none;vertical-align:baseline;white- space:pre;white-space:pre-wrap;"&gt;, nos termos do art. 76, § 1º, I, c/c art. 485, IV, do CPC.&lt;/span&gt;&lt;/p&gt;&lt;p style="line-height:1.38;margin-left: 117.35pt;margin-right: 0.28346456692915467pt;text-align: justify;margin-top:6pt;margin-bottom:0pt;" dir="ltr"&gt;</w:t>
            </w:r>
          </w:p>
          <w:p>
            <w:pPr>
              <w:pStyle w:val="TableParagraph"/>
              <w:tabs>
                <w:tab w:pos="3351" w:val="left" w:leader="none"/>
              </w:tabs>
              <w:spacing w:line="208" w:lineRule="auto" w:before="0"/>
              <w:ind w:right="287"/>
              <w:rPr>
                <w:sz w:val="20"/>
              </w:rPr>
            </w:pPr>
            <w:r>
              <w:rPr>
                <w:sz w:val="20"/>
              </w:rPr>
              <w:t>&lt;span style="font-size:11pt;font-family:'Times New Roman',serif;color:#000000;background-color:transparent;font-weight:400;font- style:normal;font-variant:normal;text-decoration:none;vertical-align:baseline;white- space:pre;white-space:pre-wrap;"&gt;</w:t>
              <w:tab/>
              <w:t>&lt;br /&gt; &lt;/span&gt;&lt;/p&gt;&lt;p style="line- height:1.7999999999999998;margin-left: 3.95pt;margin-right: 0.28346456692915467pt;text-indent: 52.74291338582675pt;text-align: justify;margin- top:6pt;margin-bottom:0pt;" dir="ltr"&gt; &lt;span style="font-size:12pt;font-family:'Times </w:t>
            </w:r>
            <w:r>
              <w:rPr>
                <w:spacing w:val="-6"/>
                <w:sz w:val="20"/>
              </w:rPr>
              <w:t>New </w:t>
            </w:r>
            <w:r>
              <w:rPr>
                <w:sz w:val="20"/>
              </w:rPr>
              <w:t>Roman',serif;color:#000000;background-color:transparent;font-weight:400;font- style:normal;font-variant:normal;text-decoration:none;vertical-align:baseline;white-</w:t>
            </w:r>
          </w:p>
          <w:p>
            <w:pPr>
              <w:pStyle w:val="TableParagraph"/>
              <w:spacing w:line="208" w:lineRule="auto" w:before="0"/>
              <w:ind w:right="53"/>
              <w:rPr>
                <w:sz w:val="20"/>
              </w:rPr>
            </w:pPr>
            <w:r>
              <w:rPr>
                <w:sz w:val="20"/>
              </w:rPr>
              <w:t>space:pre;white-space:pre-wrap;"&gt;Ato contínuo, não tendo comparecido a parte, foi extinto o processo sem resolução do mérito, vide sentença de ID. 15247890.&lt;/span&gt;&lt;/p&gt;&lt;p style="line-height:1.7999999999999998;margin-left: 3.95pt;margin-right: 0.28346456692915467pt;text-indent: 52.74291338582675pt;text-align: justify;margin- top:6pt;margin-bottom:0pt;" dir="ltr"&gt;&lt;span style="font-size:12pt;font-family:'Times New Roman',serif;color:#000000;background-color:transparent;font-weight:400;font- style:normal;font-variant:normal;text-decoration:none;vertical-align:baseline;white- space:pre;white-space:pre-wrap;"&gt;Insatisfeita, a defesa do Sr. Ademar Gomes Soares apresentou razões de apelação em ID.&amp;#160; 15247944, alegando que o prazo de quinze dias para comparecimento era curto demais e contrariava o princípio da razoabilidade.&lt;/span&gt; &lt;span style="font-size:12pt;font-family:'Times New Roman',serif;color:#000000;background-color:transparent;font-weight:700;font- style:normal;font-variant:normal;text-decoration:none;vertical-align:baseline;white- space:pre;white-space:pre-wrap;"&gt;Destaco que, em nenhum momento, foi abordada a temática de necessidade da intimação pessoal por tratar-se de ato personalíssimo da parte&lt;/span&gt;&lt;span style="font-size:12pt;font-family:'Times New Roman',serif;color:#000000;background-color:transparent;font-weight:400;font- style:normal;font-variant:normal;text-decoration:none;vertical-align:baseline;white- space:pre;white-space:pre-wrap;"&gt;.&lt;/span&gt;&lt;/p&gt;&lt;p style="line- height:1.7999999999999998;margin-left: 3.95pt;margin-right:</w:t>
            </w:r>
          </w:p>
          <w:p>
            <w:pPr>
              <w:pStyle w:val="TableParagraph"/>
              <w:spacing w:line="208" w:lineRule="auto" w:before="0"/>
              <w:ind w:right="65"/>
              <w:rPr>
                <w:sz w:val="20"/>
              </w:rPr>
            </w:pPr>
            <w:r>
              <w:rPr>
                <w:sz w:val="20"/>
              </w:rPr>
              <w:t>0.28346456692915467pt;text-indent: 52.74291338582675pt;text-align: justify;margin- top:6pt;margin-bottom:0pt;" dir="ltr"&gt; &lt;span style="font-size:12pt;font-family:'Times New Roman',serif;color:#000000;background-color:transparent;font-weight:700;font- style:normal;font-variant:normal;text-decoration:none;vertical-align:baseline;white- space:pre;white-space:pre-wrap;"&gt;Dito isso, não se verifica nenhuma omissão ou contradição no acórdão, mas tão somente o mero inconformismo da parte autora que não logrou êxito em obter seu pleito autoral diante da manifesta constatação de litigância predatória. Isso porque em nenhum momento dos autos tal temática foi suscitada pela defesa do autor, não sendo passível os presentes embargos de tratar acerca de matéria que verse alguma inovação recursal.&lt;/span&gt;&lt;/p&gt;&lt;p style="line- height:1.7999999999999998;margin-left: 3.95pt;margin-right: 0.28346456692915467pt;text-indent: 52.74291338582675pt;text-align: justify;margin- top:6pt;margin-bottom:0pt;" dir="ltr"&gt;&lt;span style="font-size:12pt;font-family:'Times New Roman',serif;color:#000000;background-color:transparent;font-weight:400;font- style:normal;font-variant:normal;text-decoration:none;vertical-align:baseline;white- space:pre;white-space:pre-wrap;"&gt;Ademais, discorreu de forma cristalina o magistrado,&lt;/span&gt; &lt;span style="font-size:12pt;font-family:'Times New Roman',serif;color:#000000;background-color:transparent;font-weight:400;font- style:italic;font-variant:normal;text-decoration:none;vertical-align:baseline;white- space:pre;white-space:pre-wrap;"&gt;in vide&lt;/span&gt;&lt;span style="font-size:12pt;font- family:'Times New Roman',serif;color:#000000;background-color:transparent;font- weight:400;font-style:normal;font-variant:normal;text-decoration:none;vertical- align:baseline;white-space:pre;white-space:pre-wrap;"&gt;:&amp;#160;&lt;/span&gt;&lt;/p&gt;&lt;p style="line- height:1.38;margin-left: 117.35pt;margin-right: 0.28346456692915467pt;text-align: justify;margin-top:6pt;margin-bottom:0pt;" dir="ltr"&gt;&amp;#160;&lt;/p&gt;&lt;p style="line- height:1.38;margin-left: 117.35pt;margin-right: 0.28346456692915467pt;text-align: justify;margin-top:6pt;margin-bottom:0pt;" dir="ltr"&gt;&lt;span style="font-size:11pt;font- family:'Times New Roman',serif;color:#000000;background-color:transparent;font- weight:400;font-style:normal;font-variant:normal;text-decoration:none;vertical- align:baseline;white-space:pre;white-space:pre-wrap;"&gt;Nesse sentido, importante ressaltar que a&lt;/span&gt; &lt;span style="font-size:11pt;font-family:'Times New Roman',serif;color:#000000;background-color:transparent;font-weight:700;font- style:normal;font-variant:normal;text-decoration:none;vertical-align:baseline;white- space:pre;white-space:pre-wrap;"&gt;prática deliberada de fracionamento de demandas&lt;/span&gt;&lt;span style="font-size:11pt;font-family:'Times New Roman',serif;color:#000000;background-color:transparent;font-weight:400;font-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8"/>
              <w:rPr>
                <w:sz w:val="20"/>
              </w:rPr>
            </w:pPr>
            <w:r>
              <w:rPr>
                <w:sz w:val="20"/>
              </w:rPr>
              <w:t>space:pre;white-space:pre-wrap;"&gt;, como se vê no caso em análise, pode ser caracterizada, segundo consolidado entendimento jurisprudencial, como litigância predatória, o que configura um&lt;/span&gt; &lt;span style="font-size:11pt;font-family:'Times New Roman',serif;color:#000000;background-color:transparent;font-weight:700;font- style:normal;font-variant:normal;text-decoration:none;vertical-align:baseline;white- space:pre;white-space:pre-wrap;"&gt;abuso do direito de demandar&lt;/span&gt;&lt;span style="font- size:11pt;font-family:'Times New Roman',serif;color:#000000;background- color:transparent;font-weight:400;font-style:normal;font-variant:normal;text- decoration:none;vertical-align:baseline;white-space:pre;white-space:pre-wrap;"&gt;, haja vista que tais pedidos poderiam (e deveriam) estar reunidos em uma só ação, dada a similitude fática destes e a necessidade de respeito aos princípios da economia processual, da eficiência, da celeridade, da boa-fé processual e da cooperação.&lt;/span&gt;&lt;/p&gt;&lt;p</w:t>
            </w:r>
          </w:p>
          <w:p>
            <w:pPr>
              <w:pStyle w:val="TableParagraph"/>
              <w:spacing w:line="208" w:lineRule="auto" w:before="0"/>
              <w:ind w:right="20"/>
              <w:rPr>
                <w:sz w:val="20"/>
              </w:rPr>
            </w:pPr>
            <w:r>
              <w:rPr>
                <w:sz w:val="20"/>
              </w:rPr>
              <w:t>style="line-height:1.38;margin-left: 117.35pt;margin-right: 0.28346456692915467pt;text- align: justify;margin-top:6pt;margin-bottom:0pt;" dir="ltr"&gt;&lt;span style="font-size:11pt;font- family:'Times New Roman',serif;color:#000000;background-color:transparent;font- weight:400;font-style:normal;font-variant:normal;text-decoration:none;vertical- align:baseline;white-space:pre;white-space:pre-wrap;"&gt;Vale dizer, ainda, que tal postura pode&lt;/span&gt; &lt;span style="font-size:11pt;font-family:'Times New Roman',serif;color:#000000;background-color:transparent;font-weight:700;font- style:normal;font-variant:normal;text-decoration:none;vertical-align:baseline;white- space:pre;white-space:pre-wrap;"&gt;ensejar enriquecimento sem causa por parte da autora&lt;/span&gt; &lt;span style="font-size:11pt;font-family:'Times New Roman',serif;color:#000000;background-color:transparent;font-weight:400;font- style:normal;font-variant:normal;text-decoration:none;vertical-align:baseline;white- space:pre;white-space:pre-wrap;"&gt;(ora recorrente), na medida em que&lt;/span&gt; &lt;span style="font-size:11pt;font-family:'Times New Roman',serif;color:#000000;background- color:transparent;font-weight:700;font-style:normal;font-variant:normal;text- decoration:none;vertical-align:baseline;white-space:pre;white-space:pre-wrap;"&gt;busca a obtenção de diversas condenações por danos morais sobre uma mesma questão fática.&lt;/span&gt;&lt;/p&gt;&lt;p style="line-height:1.38;margin-left: 117.35pt;margin-right: 0.28346456692915467pt;text-align: justify;margin-top:6pt;margin-bottom:0pt;" dir="ltr"&gt;&lt;span style="font-size:11pt;font-family:'Times New Roman',serif;color:#000000;background-color:transparent;font-weight:400;font- style:normal;font-variant:normal;text-decoration:none;vertical-align:baseline;white- space:pre;white-space:pre-wrap;"&gt;Assim, em se tratando de hipótese na qual a demandante pretende, por meio de promoção de ações distintas, obter o mesmo resultado (declaração de inexigibilidade e recebimento de dano moral), fundando-se na mesma causa de pedir (desconhecimento da origem do débito), incontroverso que&lt;/span&gt; &lt;span style="font-size:11pt;font-family:'Times New Roman',serif;color:#000000;background- color:transparent;font-weight:700;font-style:normal;font-variant:normal;text- decoration:none;vertical-align:baseline;white-space:pre;white-space:pre-wrap;"&gt;a demanda em tela visa única e exclusivamente o enriquecimento ilícito da parte, além do recebimento de honorários sucumbenciais&lt;/span&gt;&lt;span style="font-size:11pt;font-family:'Times New Roman',serif;color:#000000;background-color:transparent;font-weight:400;font- style:normal;font-variant:normal;text-decoration:none;vertical-align:baseline;white- space:pre;white-space:pre-wrap;"&gt;.&lt;/span&gt;&lt;/p&gt;&lt;p style="line-height:1.38;margin-left: 117.35pt;margin-right: 0.28346456692915467pt;text-align: justify;margin-top:6pt;margin- bottom:0pt;" dir="ltr"&gt; &lt;span style="font-size:11pt;font-family:'Times New Roman',serif;color:#000000;background-color:transparent;font-weight:400;font- style:normal;font-variant:normal;text-decoration:none;vertical-align:baseline;white- space:pre;white-space:pre-wrap;"&gt;Feitas essas considerações, não há outra conclusão a se fazer senão a de que o propósito do ajuizamento de tantas demandas dessa natureza, caracteriza verdadeiro "&lt;/span&gt; &lt;span style="font-size:11pt;font-family:'Times New Roman',serif;color:#000000;background-color:transparent;font-weight:700;font- style:normal;font-variant:normal;text-decoration:none;vertical-align:baseline;white- space:pre;white-space:pre-wrap;"&gt;demandismo&lt;/span&gt; &lt;span style="font-size:11pt;font- family:'Times New Roman',serif;color:#000000;background-color:transparent;font- weight:400;font-style:normal;font-variant:normal;text-decoration:none;vertical- align:baseline;white-space:pre;white-space:pre-wrap;"&gt;" ou a denominada "&lt;/span&gt; &lt;span style="font-size:11pt;font-family:'Times New Roman',serif;color:#000000;background- color:transparent;font-weight:700;font-style:normal;font-variant:normal;text- decoration:none;vertical-align:baseline;white-space:pre;white-space:pre-wrap;"&gt;demanda predatória&lt;/span&gt; &lt;span style="font-size:11pt;font-family:'Times New Roman',serif;color:#000000;background-color:transparent;font-weight:400;font- style:normal;font-variant:normal;text-decoration:none;vertical-align:baseline;white- space:pre;white-space:pre-wrap;"&gt;", que se traduz na busca pela condenação das instituições financeiras nas verbas de sucumbência, abarrotando o Poder Judiciário com repetidas e inúmeras ações idênticas, circunstância que deve ser rechaçada com veemência.&lt;/span&gt;&lt;/p&gt;&lt;p style="line-height:1.38;margin-left: 117.35pt;margin-right: 0.28346456692915467pt;text-align: justify;margin-top:6pt;margin-bottom:0pt;"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6"/>
              <w:rPr>
                <w:sz w:val="20"/>
              </w:rPr>
            </w:pPr>
            <w:r>
              <w:rPr>
                <w:sz w:val="20"/>
              </w:rPr>
              <w:t>dir="ltr"&gt;&lt;span style="font-size:11pt;font-family:'Times New Roman',serif;color:#000000;background-color:transparent;font-weight:400;font- style:normal;font-variant:normal;text-decoration:none;vertical-align:baseline;white- space:pre;white-space:pre-wrap;"&gt;[...] Desse modo,&lt;/span&gt; &lt;span style="font- size:11pt;font-family:'Times New Roman',serif;color:#000000;background- color:transparent;font-weight:700;font-style:normal;font-variant:normal;text- decoration:none;vertical-align:baseline;white-space:pre;white-space:pre-wrap;"&gt;é dever do Poder Judiciário coibir condutas temerárias e que não respeitam a boa-fé processual&lt;/span&gt;&lt;span style="font-size:11pt;font-family:'Times New Roman',serif;color:#000000;background-color:transparent;font-weight:400;font- style:normal;font-variant:normal;text-decoration:none;vertical-align:baseline;white- space:pre;white-space:pre-wrap;"&gt;, tão preconizada na atual codificação processual, insculpida logo de início no artigo 5º do CPC (Aquele que de qualquer forma participa do processo deve comportar-se de acordo com a boa-fé).&lt;/span&gt;&lt;/p&gt;&lt;p style="line- height:1.38;margin-left: 117.35pt;margin-right: 0.28346456692915467pt;text-align: justify;margin-top:6pt;margin-bottom:0pt;" dir="ltr"&gt;&lt;span style="font-size:11pt;font- family:'Times New Roman',serif;color:#000000;background-color:transparent;font- weight:400;font-style:normal;font-variant:normal;text-decoration:none;vertical- align:baseline;white-space:pre;white-space:pre-wrap;"&gt;Nesse sentido tem também se posicionado o Conselho Nacional de Justiça -CNJ, que recentemente editou a&lt;/span&gt;</w:t>
            </w:r>
          </w:p>
          <w:p>
            <w:pPr>
              <w:pStyle w:val="TableParagraph"/>
              <w:tabs>
                <w:tab w:pos="3351" w:val="left" w:leader="none"/>
                <w:tab w:pos="6412" w:val="left" w:leader="none"/>
              </w:tabs>
              <w:spacing w:line="208" w:lineRule="auto" w:before="0"/>
              <w:ind w:right="54"/>
              <w:rPr>
                <w:sz w:val="20"/>
              </w:rPr>
            </w:pPr>
            <w:r>
              <w:rPr>
                <w:sz w:val="20"/>
              </w:rPr>
              <w:t>&lt;span style="font-size:11pt;font-family:'Times New Roman',serif;color:#000000;background-color:transparent;font-weight:700;font- style:normal;font-variant:normal;text-decoration:none;vertical-align:baseline;white- space:pre;white-space:pre-wrap;"&gt;Recomendação nº 159/2024,&lt;/span&gt; &lt;span </w:t>
            </w:r>
            <w:r>
              <w:rPr>
                <w:spacing w:val="-2"/>
                <w:sz w:val="20"/>
              </w:rPr>
              <w:t>style="font- </w:t>
            </w:r>
            <w:r>
              <w:rPr>
                <w:sz w:val="20"/>
              </w:rPr>
              <w:t>size:11pt;font-family:'Times New Roman',serif;color:#000000;background- color:transparent;font-weight:400;font-style:normal;font-variant:normal;text- decoration:none;vertical-align:baseline;white-space:pre;white-space:pre- wrap;"&gt;instrumento normativo que recomenda que os juízes e tribunais pátrios "adotem medidas para identificar, tratar e sobretudo prevenir a litigância abusiva, entendida como o desvio ou manifesto excesso dos limites impostos pela finalidade social, jurídica, política e/ou econômica do direito de acesso ao Poder Judiciário, inclusive no polo passivo, comprometendo a capacidade de prestação jurisdicional e o acesso à Justiça" (Art. 1º). (PJe, ID. 19340790)&lt;/span&gt;&lt;/p&gt;&lt;p style="line-height:1.38;margin-left: 117.35pt;margin- right: 0.28346456692915467pt;text-align: justify;margin-top:6pt;margin-bottom:0pt;" dir="ltr"&gt; &lt;span style="font-size:11pt;font-family:'Times New Roman',serif;color:#000000;background-color:transparent;font-weight:400;font- style:normal;font-variant:normal;text-decoration:none;vertical-align:baseline;white- space:pre;white-space:pre-wrap;"&gt;</w:t>
              <w:tab/>
              <w:t>&lt;br /&gt; &lt;/span&gt;&lt;/p&gt;&lt;p style="line- height:1.7999999999999998;text-indent: 56.692913385826756pt;text-align: justify;margin- top:6pt;margin-bottom:0pt;" dir="ltr"&gt; &lt;span style="font-size:12pt;font-family:'Times New Roman',serif;color:#000000;background-color:transparent;font-weight:400;font- style:normal;font-variant:normal;text-decoration:none;vertical-align:baseline;white- space:pre;white-space:pre-wrap;"&gt;De todo modo, em similitude, faço constar precedentes deste Egrégio Tribunal de Justiça:&lt;/span&gt;&lt;/p&gt;&lt;p style="line- height:1.7999999999999998;margin-right: 0.28346456692915467pt;text-indent: 1pt;text- align: justify;margin-top:6pt;margin-bottom:0pt;" dir="ltr"&gt; &lt;strong id="docs-internal-guid- d187c5bd-7fff-8847-351f-8a252f261859" style="font-weight:normal;"&gt;</w:t>
              <w:tab/>
              <w:t>&lt;br /&gt;</w:t>
            </w:r>
          </w:p>
          <w:p>
            <w:pPr>
              <w:pStyle w:val="TableParagraph"/>
              <w:spacing w:line="208" w:lineRule="auto" w:before="0"/>
              <w:ind w:right="428"/>
              <w:rPr>
                <w:sz w:val="20"/>
              </w:rPr>
            </w:pPr>
            <w:r>
              <w:rPr>
                <w:sz w:val="20"/>
              </w:rPr>
              <w:t>&lt;/strong&gt;&lt;/p&gt;&lt;p style="line-height:1.2;margin-left: 117.35pt;margin-right: 0.28346456692915467pt;text-align: justify;margin-top:0pt;margin-bottom:0pt;" dir="ltr"&gt;</w:t>
            </w:r>
          </w:p>
          <w:p>
            <w:pPr>
              <w:pStyle w:val="TableParagraph"/>
              <w:spacing w:line="208" w:lineRule="auto" w:before="0"/>
              <w:ind w:right="100"/>
              <w:rPr>
                <w:sz w:val="20"/>
              </w:rPr>
            </w:pPr>
            <w:r>
              <w:rPr>
                <w:sz w:val="20"/>
              </w:rPr>
              <w:t>&lt;span style="font-size:11pt;font-family:'Times New Roman',serif;color:#000000;background-color:transparent;font-weight:400;font- style:normal;font-variant:normal;text-decoration:none;vertical-align:baseline;white- space:pre;white-space:pre-wrap;"&gt;EMENTA: DIREITO PROCESSUAL CIVIL. </w:t>
            </w:r>
            <w:r>
              <w:rPr>
                <w:spacing w:val="-3"/>
                <w:sz w:val="20"/>
              </w:rPr>
              <w:t>APELAÇÃO </w:t>
            </w:r>
            <w:r>
              <w:rPr>
                <w:sz w:val="20"/>
              </w:rPr>
              <w:t>CÍVEL. AÇÃO DECLARATÓRIA C/C INDENIZAÇÃO POR DANOS MATERIAIS E MORAIS. EXTINÇÃO DO PROCESSO SEM RESOLUÇÃO DO MÉRITO. ABUSO DO DIREITO DE AÇÃO. CONFIGURADO. LITIGÂNCIA PREDATÓRIA CONFIGURADA.</w:t>
            </w:r>
          </w:p>
          <w:p>
            <w:pPr>
              <w:pStyle w:val="TableParagraph"/>
              <w:spacing w:line="208" w:lineRule="auto" w:before="0"/>
              <w:ind w:right="30"/>
              <w:rPr>
                <w:sz w:val="20"/>
              </w:rPr>
            </w:pPr>
            <w:r>
              <w:rPr>
                <w:sz w:val="20"/>
              </w:rPr>
              <w:t>RECURSO DESPROVIDO.&lt;/span&gt;&lt;/p&gt;&lt;p style="line-height:1.2;margin-left: 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space:pre;white-space:pre-wrap;"&gt;I. CASO EM EXAME&lt;/span&gt;&lt;/p&gt;&lt;p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align:baseline;white-space:pre;white-space:pre-wrap;"&gt;1. Apelação Cível interposta contra sentença que extinguiu, sem resolução do mérito, ação declaratória c/c indenização por danos materiais e morais proposta em face do Banco Santander S/A, sob o fundamento </w:t>
            </w:r>
            <w:r>
              <w:rPr>
                <w:spacing w:val="-9"/>
                <w:sz w:val="20"/>
              </w:rPr>
              <w:t>de </w:t>
            </w:r>
            <w:r>
              <w:rPr>
                <w:sz w:val="20"/>
              </w:rPr>
              <w:t>ausência de pressupostos processuais mínimos, tais como a individualização do caso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9"/>
              <w:rPr>
                <w:sz w:val="20"/>
              </w:rPr>
            </w:pPr>
            <w:r>
              <w:rPr>
                <w:sz w:val="20"/>
              </w:rPr>
              <w:t>concreto e a adequada representação processual. O juízo de origem, com base no art. 485, IV, do CPC, verificou a prática de litigância predatória.&lt;/span&gt;&lt;/p&gt;&lt;p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align:baseline;white-space:pre;white-space:pre-wrap;"&gt;II. QUESTÃO EM DISCUSSÃO&lt;/span&gt;&lt;/p&gt;&lt;p style="line-height:1.2;margin-left: 117.35pt;margin-right: 0.28346456692915467pt;text-align: justify;margin-top:0pt;margin-bottom:0pt;" dir="ltr"&gt;</w:t>
            </w:r>
          </w:p>
          <w:p>
            <w:pPr>
              <w:pStyle w:val="TableParagraph"/>
              <w:spacing w:line="208" w:lineRule="auto" w:before="0"/>
              <w:ind w:right="143"/>
              <w:rPr>
                <w:sz w:val="20"/>
              </w:rPr>
            </w:pPr>
            <w:r>
              <w:rPr>
                <w:sz w:val="20"/>
              </w:rPr>
              <w:t>&lt;span style="font-size:11pt;font-family:'Times New Roman',serif;color:#000000;background-color:transparent;font-weight:400;font- style:normal;font-variant:normal;text-decoration:none;vertical-align:baseline;white- space:pre;white-space:pre-wrap;"&gt;2. Há uma questão em discussão: (i) verificar se houve nulidade na sentença que extinguiu o processo sem resolução do mérito por ausência de interesse processual.&lt;/span&gt;&lt;/p&gt;&lt;p style="line-height:1.2;margin-left: 117.35pt;margin- right: 0.28346456692915467pt;text-align: justify;margin-top:0pt;margin-bottom:0pt;" dir="ltr"&gt; &lt;span style="font-size:11pt;font-family:'Times New Roman',serif;color:#000000;background-color:transparent;font-weight:400;font- style:normal;font-variant:normal;text-decoration:none;vertical-align:baseline;white- space:pre;white-space:pre-wrap;"&gt;III. RAZÕES DE DECIDIR&lt;/span&gt;&lt;/p&gt;&lt;p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w:t>
            </w:r>
          </w:p>
          <w:p>
            <w:pPr>
              <w:pStyle w:val="TableParagraph"/>
              <w:spacing w:line="208" w:lineRule="auto" w:before="0"/>
              <w:ind w:right="18"/>
              <w:rPr>
                <w:sz w:val="20"/>
              </w:rPr>
            </w:pPr>
            <w:r>
              <w:rPr>
                <w:sz w:val="20"/>
              </w:rPr>
              <w:t>align:baseline;white-space:pre;white-space:pre-wrap;"&gt;3. O Código de Processo Civil (arts. 5º, 6º e 8º) prevê a boa-fé processual e a cooperação entre as partes e o juiz para alcançar decisões justas e eficazes, sendo vedado o abuso do direito de demandar.&lt;/span&gt;&lt;/p&gt;&lt;p style="line-height:1.2;margin-left: 117.35pt;margin-right: 0.28346456692915467pt;text-align: justify;margin-top:0pt;margin-bottom:0pt;" dir="ltr"&gt;&lt;span style="font-size:11pt;font-family:'Times New Roman',serif;color:#000000;background-color:transparent;font-weight:400;font- style:normal;font-variant:normal;text-decoration:none;vertical-align:baseline;white- space:pre;white-space:pre-wrap;"&gt;4.&lt;/span&gt; &lt;span style="font-size:11pt;font-family:'Times New Roman',serif;color:#000000;background-color:transparent;font-weight:700;font- style:normal;font-variant:normal;text-decoration:none;vertical-align:baseline;white- space:pre;white-space:pre-wrap;"&gt;A prática de litigância predatória consiste no ajuizamento de diversas ações com causa de pedir idêntica e petições padronizadas, sem individualização, caracterizando abuso do direito processual e comprometendo a eficiência do Judiciário.&lt;/span&gt;&lt;/p&gt;&lt;p style="line-height:1.2;margin-left: 117.35pt;margin-right: 0.28346456692915467pt;text-align: justify;margin-top:0pt;margin-bottom:0pt;" dir="ltr"&gt;&lt;span style="font-size:11pt;font-family:'Times New Roman',serif;color:#000000;background-color:transparent;font-weight:400;font- style:normal;font-variant:normal;text-decoration:none;vertical-align:baseline;white- space:pre;white-space:pre-wrap;"&gt;5.&lt;/span&gt; &lt;span style="font-size:11pt;font-family:'Times New Roman',serif;color:#000000;background-color:transparent;font-weight:700;font- style:normal;font-variant:normal;text-decoration:none;vertical-align:baseline;white- space:pre;white-space:pre-wrap;"&gt;O juiz tem poder para prevenir e reprimir atos contrários à dignidade da justiça, conforme o art. 139, III e IX, do CPC, e pode extinguir o processo quando identifica vícios na representação processual, como no caso em análise, onde a autora confirmou a contratação do empréstimo consignado que deu origem à demanda.&lt;/span&gt;&lt;/p&gt;&lt;p style="line-height:1.2;margin-left: 117.35pt;margin-right: 0.28346456692915467pt;text-align: justify;margin-top:0pt;margin-bottom:0pt;" dir="ltr"&gt;&lt;span style="font-size:11pt;font-family:'Times New Roman',serif;color:#000000;background-color:transparent;font-weight:400;font- style:normal;font-variant:normal;text-decoration:none;vertical-align:baseline;white- space:pre;white-space:pre-wrap;"&gt;6.&lt;/span&gt; &lt;span style="font-size:11pt;font-family:'Times New Roman',serif;color:#000000;background-color:transparent;font-weight:700;font- style:normal;font-variant:normal;text-decoration:none;vertical-align:baseline;white- space:pre;white-space:pre-wrap;"&gt;A autora compareceu em juízo e, embora tenha reconhecido a autenticidade da procuração (ID 14581606), apresentou uma versão diferente daquela exposta pelo advogado na petição inicial. Ela confirmou a contratação do empréstimo consignado que originou a presente ação, alegando, no entanto, que contratou o advogado apenas para investigar a existência de outros dois empréstimos consignados indevidos.&lt;/span&gt;&lt;/p&gt;&lt;p style="line-height:1.2;margin-left: 117.35pt;margin-right: 0.28346456692915467pt;text-align: justify;margin-top:0pt;margin-bottom:0pt;" dir="ltr"&gt;</w:t>
            </w:r>
          </w:p>
          <w:p>
            <w:pPr>
              <w:pStyle w:val="TableParagraph"/>
              <w:spacing w:line="208" w:lineRule="auto" w:before="0"/>
              <w:ind w:right="152"/>
              <w:rPr>
                <w:sz w:val="20"/>
              </w:rPr>
            </w:pPr>
            <w:r>
              <w:rPr>
                <w:sz w:val="20"/>
              </w:rPr>
              <w:t>&lt;span style="font-size:11pt;font-family:'Times New Roman',serif;color:#000000;background-color:transparent;font-weight:400;font- style:normal;font-variant:normal;text-decoration:none;vertical-align:baseline;white- space:pre;white-space:pre-wrap;"&gt;7. Assim, ao admitir a validade do empréstimo, a parte autora confirma a ausência de qualquer direito a ser tutelado judicialmente, evidenciando,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4"/>
              <w:rPr>
                <w:sz w:val="20"/>
              </w:rPr>
            </w:pPr>
            <w:r>
              <w:rPr>
                <w:sz w:val="20"/>
              </w:rPr>
              <w:t>assim, a litigância predatória&lt;/span&gt;&lt;/p&gt;&lt;p style="line-height:1.2;margin-left: 117.35pt;margin-right: 0.28346456692915467pt;text-align: justify;margin-top:0pt;margin- bottom:0pt;" dir="ltr"&gt;&lt;span style="font-size:11pt;font-family:'Times New Roman',serif;color:#000000;background-color:transparent;font-weight:400;font- style:normal;font-variant:normal;text-decoration:none;vertical-align:baseline;white- space:pre;white-space:pre-wrap;"&gt;8.&lt;/span&gt; &lt;span style="font-size:11pt;font-family:'Times New Roman',serif;color:#000000;background-color:transparent;font-weight:700;font- style:normal;font-variant:normal;text-decoration:none;vertical-align:baseline;white- space:pre;white-space:pre-wrap;"&gt;O reconhecimento da litigância predatória não impede o acesso à justiça, mas exige que o exercício desse direito se dê em conformidade com os princípios da boa-fé e da proporcionalidade, resguardando a integridade do sistema judiciário.&lt;/span&gt;&lt;/p&gt;&lt;p style="line-height:1.2;margin-left: 117.35pt;margin-right: 0.28346456692915467pt;text-align: justify;margin-top:0pt;margin-bottom:0pt;" dir="ltr"&gt;</w:t>
            </w:r>
          </w:p>
          <w:p>
            <w:pPr>
              <w:pStyle w:val="TableParagraph"/>
              <w:spacing w:line="208" w:lineRule="auto" w:before="0"/>
              <w:ind w:right="295"/>
              <w:rPr>
                <w:sz w:val="20"/>
              </w:rPr>
            </w:pPr>
            <w:r>
              <w:rPr>
                <w:sz w:val="20"/>
              </w:rPr>
              <w:t>&lt;span style="font-size:11pt;font-family:'Times New Roman',serif;color:#000000;background-color:transparent;font-weight:400;font- style:normal;font-variant:normal;text-decoration:none;vertical-align:baseline;white- space:pre;white-space:pre-wrap;"&gt;IV. DISPOSITIVO E TESE&lt;/span&gt;&lt;/p&gt;&lt;p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align:baseline;white-space:pre;white-space:pre-wrap;"&gt;9. Recurso desprovido.&lt;/span&gt;&lt;/p&gt;&lt;p style="line-height:1.2;margin-left: 117.35pt;margin-right: 0.28346456692915467pt;text-align: justify;margin-top:0pt;margin-bottom:10pt;" dir="ltr"&gt;</w:t>
            </w:r>
          </w:p>
          <w:p>
            <w:pPr>
              <w:pStyle w:val="TableParagraph"/>
              <w:spacing w:line="208" w:lineRule="auto" w:before="0"/>
              <w:ind w:right="100"/>
              <w:rPr>
                <w:sz w:val="20"/>
              </w:rPr>
            </w:pPr>
            <w:r>
              <w:rPr>
                <w:sz w:val="20"/>
              </w:rPr>
              <w:t>&lt;span style="font-size:11pt;font-family:'Times New Roman',serif;color:#000000;background-color:transparent;font-weight:400;font- style:normal;font-variant:normal;text-decoration:none;vertical-align:baseline;white- space:pre;white-space:pre-wrap;"&gt;(APELAÇÃO CÍVEL - 02001779820248060097, Relator(a): MARCOS WILLIAM LEITE DE OLIVEIRA, 3ª Câmara de Direito Privado, Data do julgamento: 17/10/2024)&lt;/span&gt;&lt;/p&gt;&lt;p style="line-height:1.2;margin-left: 117.35pt;margin-right: 0.28346456692915467pt;text-align: justify;margin-top:0pt;margin- bottom:0pt;" dir="ltr"&gt;&amp;#160;&lt;/p&gt;&lt;p style="line-height:1.2;margin-left: 117.35pt;margin- right: 0.28346456692915467pt;text-align: justify;margin-top:0pt;margin-bottom:0pt;" dir="ltr"&gt;&lt;span style="font-size:11pt;font-family:'Times New Roman',serif;color:#000000;background-color:transparent;font-weight:400;font- style:normal;font-variant:normal;text-decoration:none;vertical-align:baseline;white- space:pre;white-space:pre-wrap;"&gt;EMENTA: DIREITO PROCESSUAL CIVIL. APELAÇÃO CÍVEL. AÇÃO DECLARATÓRIA C/C INDENIZAÇÃO POR DANOS MATERIAIS E</w:t>
            </w:r>
          </w:p>
          <w:p>
            <w:pPr>
              <w:pStyle w:val="TableParagraph"/>
              <w:spacing w:line="208" w:lineRule="auto" w:before="0"/>
              <w:ind w:right="434"/>
              <w:rPr>
                <w:sz w:val="20"/>
              </w:rPr>
            </w:pPr>
            <w:r>
              <w:rPr>
                <w:sz w:val="20"/>
              </w:rPr>
              <w:t>MORAIS. E&lt;/span&gt;&lt;span style="font-size:11pt;font-family:'Times New Roman',serif;color:#000000;background-color:transparent;font-weight:700;font- style:normal;font-variant:normal;text-decoration:none;vertical-align:baseline;white- space:pre;white-space:pre-wrap;"&gt;XTINÇÃO DO PROCESSO SEM RESOLUÇÃO DO MÉRITO. AUSÊNCIA DE INTERESSE PROCESSUAL. LITIGÂNCIA PREDATÓRIA</w:t>
            </w:r>
          </w:p>
          <w:p>
            <w:pPr>
              <w:pStyle w:val="TableParagraph"/>
              <w:spacing w:line="208" w:lineRule="auto" w:before="0"/>
              <w:ind w:right="195"/>
              <w:rPr>
                <w:sz w:val="20"/>
              </w:rPr>
            </w:pPr>
            <w:r>
              <w:rPr>
                <w:sz w:val="20"/>
              </w:rPr>
              <w:t>CONFIGURADA.&lt;/span&gt; &lt;span style="font-size:11pt;font-family:'Times New Roman',serif;color:#000000;background-color:transparent;font-weight:400;font- style:normal;font-variant:normal;text-decoration:none;vertical-align:baseline;white- space:pre;white-space:pre-wrap;"&gt;RECURSO DESPROVIDO.&lt;/span&gt;&lt;/p&gt;&lt;p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align:baseline;white-space:pre;white-space:pre-wrap;"&gt;I. CASO EM EXAME&lt;/span&gt;&lt;/p&gt;&lt;p style="line-height:1.2;margin-left: 117.35pt;margin-right: 0.28346456692915467pt;text-align: justify;margin-top:0pt;margin-bottom:0pt;" dir="ltr"&gt;</w:t>
            </w:r>
          </w:p>
          <w:p>
            <w:pPr>
              <w:pStyle w:val="TableParagraph"/>
              <w:spacing w:line="208" w:lineRule="auto" w:before="0"/>
              <w:ind w:right="107"/>
              <w:rPr>
                <w:sz w:val="20"/>
              </w:rPr>
            </w:pPr>
            <w:r>
              <w:rPr>
                <w:sz w:val="20"/>
              </w:rPr>
              <w:t>&lt;span style="font-size:11pt;font-family:'Times New Roman',serif;color:#000000;background-color:transparent;font-weight:400;font- style:normal;font-variant:normal;text-decoration:none;vertical-align:baseline;white- space:pre;white-space:pre-wrap;"&gt;1. Apelação Cível interposta contra sentença que extinguiu, sem resolução do mérito, ação declaratória c/c indenização por danos materiais e morais proposta em face do Banco Itaú Consingado S/A, sob o fundamento de </w:t>
            </w:r>
            <w:r>
              <w:rPr>
                <w:spacing w:val="-3"/>
                <w:sz w:val="20"/>
              </w:rPr>
              <w:t>ausência </w:t>
            </w:r>
            <w:r>
              <w:rPr>
                <w:sz w:val="20"/>
              </w:rPr>
              <w:t>de pressupostos processuais mínimos, tais como a individualização do caso concreto e a</w:t>
            </w:r>
          </w:p>
          <w:p>
            <w:pPr>
              <w:pStyle w:val="TableParagraph"/>
              <w:spacing w:line="208" w:lineRule="auto" w:before="0"/>
              <w:ind w:right="19"/>
              <w:rPr>
                <w:sz w:val="20"/>
              </w:rPr>
            </w:pPr>
            <w:r>
              <w:rPr>
                <w:sz w:val="20"/>
              </w:rPr>
              <w:t>adequada representação processual. O juízo de origem, com base no art. 485, IV, do </w:t>
            </w:r>
            <w:r>
              <w:rPr>
                <w:spacing w:val="-5"/>
                <w:sz w:val="20"/>
              </w:rPr>
              <w:t>CPC, </w:t>
            </w:r>
            <w:r>
              <w:rPr>
                <w:sz w:val="20"/>
              </w:rPr>
              <w:t>verificou a prática de litigância predatória.&lt;/span&gt;&lt;/p&gt;&lt;p style="line-height:1.2;margin-left: 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space:pre;white-space:pre-wrap;"&gt;II. QUESTÃO EM DISCUSSÃO&lt;/span&gt;&lt;/p&gt;&lt;p style="line-height:1.2;margin-left: 117.35pt;margin-right: 0.28346456692915467pt;text- align: justify;margin-top:0pt;margin-bottom:0pt;" dir="ltr"&gt; &lt;span style="font-size:11pt;font-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7"/>
              <w:rPr>
                <w:sz w:val="20"/>
              </w:rPr>
            </w:pPr>
            <w:r>
              <w:rPr>
                <w:sz w:val="20"/>
              </w:rPr>
              <w:t>family:'Times New Roman',serif;color:#000000;background-color:transparent;font- weight:400;font-style:normal;font-variant:normal;text-decoration:none;vertical- align:baseline;white-space:pre;white-space:pre-wrap;"&gt;2. Há uma questão em discussão:</w:t>
            </w:r>
          </w:p>
          <w:p>
            <w:pPr>
              <w:pStyle w:val="TableParagraph"/>
              <w:spacing w:line="208" w:lineRule="auto" w:before="0"/>
              <w:ind w:right="32"/>
              <w:rPr>
                <w:sz w:val="20"/>
              </w:rPr>
            </w:pPr>
            <w:r>
              <w:rPr>
                <w:sz w:val="20"/>
              </w:rPr>
              <w:t>(i) verificar se houve nulidade na sentença que extinguiu o processo sem resolução do mérito por ausência de interesse processual.&lt;/span&gt;&lt;/p&gt;&lt;p style="line-height:1.2;margin- left: 117.35pt;margin-right: 0.28346456692915467pt;text-align: justify;margin- top:0pt;margin-bottom:0pt;" dir="ltr"&gt; &lt;span style="font-size:11pt;font-family:'Times New Roman',serif;color:#000000;background-color:transparent;font-weight:400;font- style:normal;font-variant:normal;text-decoration:none;vertical-align:baseline;white- space:pre;white-space:pre-wrap;"&gt;III. RAZÕES DE DECIDIR&lt;/span&gt;&lt;/p&gt;&lt;p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align:baseline;white-space:pre;white-space:pre-wrap;"&gt;3. O Código de Processo Civil </w:t>
            </w:r>
            <w:r>
              <w:rPr>
                <w:spacing w:val="-3"/>
                <w:sz w:val="20"/>
              </w:rPr>
              <w:t>(arts. </w:t>
            </w:r>
            <w:r>
              <w:rPr>
                <w:sz w:val="20"/>
              </w:rPr>
              <w:t>5º, 6º e 8º) prevê a boa-fé processual e a cooperação entre as partes e o juiz para alcançar decisões justas e eficazes, sendo vedado o abuso do direito de demandar.&lt;/span&gt;&lt;/p&gt;&lt;p style="line-height:1.2;margin-left: 117.35pt;margin-right: 0.28346456692915467pt;text-align: justify;margin-top:0pt;margin-bottom:0pt;" dir="ltr"&gt;</w:t>
            </w:r>
          </w:p>
          <w:p>
            <w:pPr>
              <w:pStyle w:val="TableParagraph"/>
              <w:spacing w:line="208" w:lineRule="auto" w:before="0"/>
              <w:ind w:right="52"/>
              <w:rPr>
                <w:sz w:val="20"/>
              </w:rPr>
            </w:pPr>
            <w:r>
              <w:rPr>
                <w:sz w:val="20"/>
              </w:rPr>
              <w:t>&lt;span style="font-size:11pt;font-family:'Times New Roman',serif;color:#000000;background-color:transparent;font-weight:400;font- style:normal;font-variant:normal;text-decoration:none;vertical-align:baseline;white- space:pre;white-space:pre-wrap;"&gt;4. A prática de litigância predatória consiste no ajuizamento de diversas ações com causa de pedir idêntica e petições padronizadas, sem individualização, caracterizando abuso do direito processual e comprometendo a eficiência do Judiciário.&lt;/span&gt;&lt;/p&gt;&lt;p style="line-height:1.2;margin-left: 117.35pt;margin-right: 0.28346456692915467pt;text-align: justify;margin-top:0pt;margin-bottom:0pt;" dir="ltr"&gt;</w:t>
            </w:r>
          </w:p>
          <w:p>
            <w:pPr>
              <w:pStyle w:val="TableParagraph"/>
              <w:spacing w:line="208" w:lineRule="auto" w:before="0"/>
              <w:ind w:right="97"/>
              <w:rPr>
                <w:sz w:val="20"/>
              </w:rPr>
            </w:pPr>
            <w:r>
              <w:rPr>
                <w:sz w:val="20"/>
              </w:rPr>
              <w:t>&lt;span style="font-size:11pt;font-family:'Times New Roman',serif;color:#000000;background-color:transparent;font-weight:400;font- style:normal;font-variant:normal;text-decoration:none;vertical-align:baseline;white- space:pre;white-space:pre-wrap;"&gt;5. O juiz tem poder para prevenir e reprimir atos contrários à dignidade da justiça, conforme o art. 139, III e IX, do CPC, e pode extinguir o processo quando identifica vícios na representação processual, como no caso em </w:t>
            </w:r>
            <w:r>
              <w:rPr>
                <w:spacing w:val="-3"/>
                <w:sz w:val="20"/>
              </w:rPr>
              <w:t>análise, </w:t>
            </w:r>
            <w:r>
              <w:rPr>
                <w:sz w:val="20"/>
              </w:rPr>
              <w:t>onde a autora confirmou a contratação do empréstimo consignado que deu origem à demanda.&lt;/span&gt;&lt;/p&gt;&lt;p style="line-height:1.2;margin-left: 117.35pt;margin-right: 0.28346456692915467pt;text-align: justify;margin-top:0pt;margin-bottom:0pt;" dir="ltr"&gt;</w:t>
            </w:r>
          </w:p>
          <w:p>
            <w:pPr>
              <w:pStyle w:val="TableParagraph"/>
              <w:spacing w:line="208" w:lineRule="auto" w:before="0"/>
              <w:ind w:right="565"/>
              <w:rPr>
                <w:sz w:val="20"/>
              </w:rPr>
            </w:pPr>
            <w:r>
              <w:rPr>
                <w:sz w:val="20"/>
              </w:rPr>
              <w:t>&lt;span style="font-size:11pt;font-family:'Times New Roman',serif;color:#000000;background-color:transparent;font-weight:400;font- style:normal;font-variant:normal;text-decoration:none;vertical-align:baseline;white- space:pre;white-space:pre-wrap;"&gt;6. A autora compareceu em juízo e, embora tenha reconhecido a autenticidade da procuração (ID 15776659), apresentou uma versão</w:t>
            </w:r>
          </w:p>
          <w:p>
            <w:pPr>
              <w:pStyle w:val="TableParagraph"/>
              <w:spacing w:line="208" w:lineRule="auto" w:before="0"/>
              <w:ind w:right="18"/>
              <w:rPr>
                <w:sz w:val="20"/>
              </w:rPr>
            </w:pPr>
            <w:r>
              <w:rPr>
                <w:sz w:val="20"/>
              </w:rPr>
              <w:t>diferente daquela exposta pelo advogado na petição inicial. Ela confirmou a contratação do empréstimo consignado que originou a presente ação, alegando, no entanto, que contratou o advogado apenas para adversar os juros abusivos e não a inexistência dos empréstimos.&lt;/span&gt;&lt;/p&gt;&lt;p style="line-height:1.2;margin-left: 117.35pt;margin-right: 0.28346456692915467pt;text-align: justify;margin-top:0pt;margin-bottom:0pt;" dir="ltr"&gt;</w:t>
            </w:r>
          </w:p>
          <w:p>
            <w:pPr>
              <w:pStyle w:val="TableParagraph"/>
              <w:spacing w:line="208" w:lineRule="auto" w:before="0"/>
              <w:ind w:right="42"/>
              <w:rPr>
                <w:sz w:val="20"/>
              </w:rPr>
            </w:pPr>
            <w:r>
              <w:rPr>
                <w:sz w:val="20"/>
              </w:rPr>
              <w:t>&lt;span style="font-size:11pt;font-family:'Times New Roman',serif;color:#000000;background-color:transparent;font-weight:400;font- style:normal;font-variant:normal;text-decoration:none;vertical-align:baseline;white- space:pre;white-space:pre-wrap;"&gt;7. Assim, ao admitir a validade do empréstimo, a parte autora confirma a ausência de qualquer direito a ser tutelado judicialmente, evidenciando, assim, a litigância predatória.&lt;/span&gt;&lt;/p&gt;&lt;p style="line-height:1.2;margin-left: 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space:pre;white-space:pre-wrap;"&gt;8. O reconhecimento da litigância predatória não impede o acesso à justiça, mas exige que o exercício desse direito se dê em </w:t>
            </w:r>
            <w:r>
              <w:rPr>
                <w:spacing w:val="-2"/>
                <w:sz w:val="20"/>
              </w:rPr>
              <w:t>conformidade </w:t>
            </w:r>
            <w:r>
              <w:rPr>
                <w:sz w:val="20"/>
              </w:rPr>
              <w:t>com os princípios da boa-fé e da proporcionalidade, resguardando a integridade do sistema judiciário.&lt;/span&gt;&lt;/p&gt;&lt;p style="line-height:1.2;margin-left: 117.35pt;margin-right: 0.28346456692915467pt;text-align: justify;margin-top:0pt;margin-bottom:0pt;" dir="ltr"&gt;</w:t>
            </w:r>
          </w:p>
          <w:p>
            <w:pPr>
              <w:pStyle w:val="TableParagraph"/>
              <w:spacing w:line="208" w:lineRule="auto" w:before="0"/>
              <w:ind w:right="295"/>
              <w:rPr>
                <w:sz w:val="20"/>
              </w:rPr>
            </w:pPr>
            <w:r>
              <w:rPr>
                <w:sz w:val="20"/>
              </w:rPr>
              <w:t>&lt;span style="font-size:11pt;font-family:'Times New Roman',serif;color:#000000;background-color:transparent;font-weight:400;font- style:normal;font-variant:normal;text-decoration:none;vertical-align:baseline;white- space:pre;white-space:pre-wrap;"&gt;IV. DISPOSITIVO E TESE&lt;/span&gt;&lt;/p&gt;&lt;p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align:baseline;white-space:pre;white-space:pre-wrap;"&gt;9. Recurso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8"/>
              <w:rPr>
                <w:sz w:val="20"/>
              </w:rPr>
            </w:pPr>
            <w:r>
              <w:rPr>
                <w:sz w:val="20"/>
              </w:rPr>
              <w:t>desprovido.&lt;/span&gt;&lt;/p&gt;&lt;p style="line-height:1.2;margin-left: 117.35pt;margin-right: 0.28346456692915467pt;text-align: justify;margin-top:0pt;margin-bottom:0pt;"</w:t>
            </w:r>
            <w:r>
              <w:rPr>
                <w:spacing w:val="-18"/>
                <w:sz w:val="20"/>
              </w:rPr>
              <w:t> </w:t>
            </w:r>
            <w:r>
              <w:rPr>
                <w:sz w:val="20"/>
              </w:rPr>
              <w:t>dir="ltr"&gt;</w:t>
            </w:r>
          </w:p>
          <w:p>
            <w:pPr>
              <w:pStyle w:val="TableParagraph"/>
              <w:spacing w:line="208" w:lineRule="auto" w:before="0"/>
              <w:ind w:right="75"/>
              <w:rPr>
                <w:sz w:val="20"/>
              </w:rPr>
            </w:pPr>
            <w:r>
              <w:rPr>
                <w:sz w:val="20"/>
              </w:rPr>
              <w:t>&lt;span style="font-size:11pt;font-family:'Times New Roman',serif;color:#000000;background-color:transparent;font-weight:400;font- style:normal;font-variant:normal;text-decoration:none;vertical-align:baseline;white- space:pre;white-space:pre-wrap;"&gt;Tese de julgamento: “A prática de litigância predatória, configura abuso do direito de ação e autoriza a extinção do processo sem resolução do mérito por ausência de interesse processual; o juiz pode exigir a individualização dos </w:t>
            </w:r>
            <w:r>
              <w:rPr>
                <w:spacing w:val="-4"/>
                <w:sz w:val="20"/>
              </w:rPr>
              <w:t>fatos </w:t>
            </w:r>
            <w:r>
              <w:rPr>
                <w:sz w:val="20"/>
              </w:rPr>
              <w:t>e a ratificação da procuração, como medida de prevenção contra litigância abusiva.”&lt;/span&gt;&lt;/p&gt;&lt;p style="line-height:1.2;margin-left: 117.35pt;margin-right: 0.28346456692915467pt;text-align: justify;margin-top:0pt;margin-bottom:0pt;" dir="ltr"&gt;</w:t>
            </w:r>
          </w:p>
          <w:p>
            <w:pPr>
              <w:pStyle w:val="TableParagraph"/>
              <w:spacing w:line="208" w:lineRule="auto" w:before="0"/>
              <w:ind w:right="164"/>
              <w:rPr>
                <w:sz w:val="20"/>
              </w:rPr>
            </w:pPr>
            <w:r>
              <w:rPr>
                <w:sz w:val="20"/>
              </w:rPr>
              <w:t>&lt;span style="font-size:11pt;font-family:'Times New Roman',serif;color:#000000;background-color:transparent;font-weight:400;font- style:normal;font-variant:normal;text-decoration:none;vertical-align:baseline;white- space:pre;white-space:pre-wrap;"&gt;Dispositivos relevantes citados: CPC/2015, arts. 5º, 6º, 8º, 80, 85, §11, 98, §3º, 139, III e IX, 187, 485, IV.&lt;/span&gt;&lt;/p&gt;&lt;p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align:baseline;white-space:pre;white-space:pre-wrap;"&gt;Jurisprudência relevante citada: STJ, REsp 1.817.845-MS, Rel. Min. Paulo de Tarso Sanseverino, Terceira Turma, j.</w:t>
            </w:r>
          </w:p>
          <w:p>
            <w:pPr>
              <w:pStyle w:val="TableParagraph"/>
              <w:spacing w:line="208" w:lineRule="auto" w:before="0"/>
              <w:ind w:right="19"/>
              <w:rPr>
                <w:sz w:val="20"/>
              </w:rPr>
            </w:pPr>
            <w:r>
              <w:rPr>
                <w:sz w:val="20"/>
              </w:rPr>
              <w:t>10.10.2019; TJ-CE, Apelação Cível 0200504-37.2022.8.06.0154, Rel. Des. Francisco Darival Beserra Primo, 4ª Câmara Direito Privado, j. 07.02.2023.&lt;/span&gt;&lt;/p&gt;&lt;p style="line- height:1.2;margin-left: 117.35pt;margin-right: 0.28346456692915467pt;text-align: justify;margin-top:0pt;margin-bottom:10pt;" dir="ltr"&gt; &lt;span style="font-size:11pt;font- family:'Times New Roman',serif;color:#000000;background-color:transparent;font- weight:400;font-style:normal;font-variant:normal;text-decoration:none;vertical- align:baseline;white-space:pre;white-space:pre-wrap;"&gt;(APELAÇÃO CÍVEL - 02004091320248060097, Relator(a): MARCOS WILLIAM LEITE DE OLIVEIRA, 3ª Câmara</w:t>
            </w:r>
          </w:p>
          <w:p>
            <w:pPr>
              <w:pStyle w:val="TableParagraph"/>
              <w:spacing w:line="208" w:lineRule="auto" w:before="0"/>
              <w:ind w:right="33"/>
              <w:rPr>
                <w:sz w:val="20"/>
              </w:rPr>
            </w:pPr>
            <w:r>
              <w:rPr>
                <w:sz w:val="20"/>
              </w:rPr>
              <w:t>de Direito Privado, Data do julgamento: 16/12/2024)&lt;/span&gt;&lt;/p&gt;&lt;p style="line- height:1.2;margin-left: 117.35pt;margin-right: 0.28346456692915467pt;text-align: justify;margin-top:0pt;margin-bottom:0pt;" dir="ltr"&gt;&amp;#160;&lt;/p&gt;&lt;p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align:baseline;white-space:pre;white-space:pre-wrap;"&gt;EMENTA: DIREITO PROCESSUAL CIVIL. APELAÇÃO CÍVEL. EXTINÇÃO DO PROCESSO SEM RESOLUÇÃO DE MÉRITO. AÇÃO DECLARATÓRIA NEGATIVA DE DÉBITO C/C INDENIZAÇÃO POR DANOS MORAIS E MATERIAIS. SENTENÇA DE EXTINÇÃO DO PROCESSO SEM RESOLUÇÃO DO MÉRITO. ART. 485, IV, DO CPC.&amp;#160; MULTIPLICIDADE DE DEMANDAS PROPOSTAS PELA PARTE AUTORA. EXERCÍCIO ABUSIVO DO DIREITO DE AÇÃO. LITIGÂNCIA PREDATÓRIA. ENFRENTAMENTO DESSA CIRCUNSTÂNCIA NAS DIVERSAS CÂMARAS DE DIREITO PRIVADO DO TJCE. RECURSO CONHECIDO E</w:t>
            </w:r>
          </w:p>
          <w:p>
            <w:pPr>
              <w:pStyle w:val="TableParagraph"/>
              <w:spacing w:line="208" w:lineRule="auto" w:before="0"/>
              <w:ind w:right="19"/>
              <w:rPr>
                <w:sz w:val="20"/>
              </w:rPr>
            </w:pPr>
            <w:r>
              <w:rPr>
                <w:sz w:val="20"/>
              </w:rPr>
              <w:t>DESPROVIDO.&amp;#160;&amp;#160;&lt;/span&gt;&lt;/p&gt;&lt;p style="line-height:1.2;margin-left: 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space:pre;white-space:pre-wrap;"&gt;I. Caso em Exame&lt;/span&gt;&lt;/p&gt;&lt;p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align:baseline;white-space:pre;white-space:pre-wrap;"&gt;1. Trata-se de apelação interposta por Raimundo Felipe de Oliveira, objurgando a sentença proferida pelo juízo da Vara Única da Comarca de Iracema (ID 15869185), que julgou extinta sem resolução do mérito, com fulcro no art. 485, do CPC, a AÇÃO DECLARATÓRIA NEGATIVA DE DÉBITO C/C</w:t>
            </w:r>
          </w:p>
          <w:p>
            <w:pPr>
              <w:pStyle w:val="TableParagraph"/>
              <w:spacing w:line="208" w:lineRule="auto" w:before="0"/>
              <w:ind w:right="337"/>
              <w:rPr>
                <w:sz w:val="20"/>
              </w:rPr>
            </w:pPr>
            <w:r>
              <w:rPr>
                <w:sz w:val="20"/>
              </w:rPr>
              <w:t>INDENIZAÇÃO POR DANOS MORAIS E MATERIAIS, proposta em desfavor do Banco Itaú Consignado S.A.&lt;/span&gt;&lt;/p&gt;&lt;p style="line-height:1.2;margin-left: 117.35pt;margin- right: 0.28346456692915467pt;text-align: justify;margin-top:0pt;margin-bottom:0pt;" dir="ltr"&gt; &lt;span style="font-size:11pt;font-family:'Times New Roman',serif;color:#000000;background-color:transparent;font-weight:400;font- style:normal;font-variant:normal;text-decoration:none;vertical-align:baseline;white- space:pre;white-space:pre-wrap;"&gt;II. Questão em Discussão&lt;/span&gt;&lt;/p&gt;&lt;p style="line- height:1.2;margin-left: 117.35pt;margin-right: 0.28346456692915467pt;text-align: justify;margin-top:0pt;margin-bottom:0pt;" dir="ltr"&gt;&lt;span style="font-size:11pt;font- family:'Times New Roman',serif;color:#000000;background-color:transparent;font- weight:400;font-style:normal;font-variant:normal;text-decoration:none;vertical-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align:baseline;white-space:pre;white-space:pre-wrap;"&gt;2. O cerne recursal cinge-se em analisar se agiu acertadamente o juízo a quo, ao prolatar sentença que indeferiu a petição inicial e julgou extinta, sem resolução de mérito, a ação declaratória negativa de débito cumulada com indenização por danos morais e materiais, sob fundamento de ausência de pressupostos de constituição e de desenvolvimento válido e regular do processo, tendo </w:t>
            </w:r>
            <w:r>
              <w:rPr>
                <w:spacing w:val="-9"/>
                <w:sz w:val="20"/>
              </w:rPr>
              <w:t>em </w:t>
            </w:r>
            <w:r>
              <w:rPr>
                <w:sz w:val="20"/>
              </w:rPr>
              <w:t>vista o&lt;/span&gt; &lt;span style="font-size:11pt;font-family:'Times New Roman',serif;color:#000000;background-color:transparent;font-weight:700;font- style:normal;font-variant:normal;text-decoration:none;vertical-align:baseline;white- space:pre;white-space:pre-wrap;"&gt;ajuizamento de múltiplas ações da mesma espécie, pelo mesmo causídico.&amp;#160;&lt;/span&gt;&lt;/p&gt;&lt;p style="line-height:1.2;margin-left: 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space:pre;white-space:pre-wrap;"&gt;III. Fundamentação&lt;/span&gt;&lt;/p&gt;&lt;p style="line- height:1.2;margin-left: 117.35pt;margin-right: 0.28346456692915467pt;text-align: justify;margin-top:0pt;margin-bottom:0pt;" dir="ltr"&gt;&lt;span style="font-size:11pt;font- family:'Times New Roman',serif;color:#000000;background-color:transparent;font- weight:400;font-style:normal;font-variant:normal;text-decoration:none;vertical- align:baseline;white-space:pre;white-space:pre-wrap;"&gt;3. No caso em apreço,&lt;/span&gt;</w:t>
            </w:r>
          </w:p>
          <w:p>
            <w:pPr>
              <w:pStyle w:val="TableParagraph"/>
              <w:spacing w:line="208" w:lineRule="auto" w:before="0"/>
              <w:ind w:right="431"/>
              <w:rPr>
                <w:sz w:val="20"/>
              </w:rPr>
            </w:pPr>
            <w:r>
              <w:rPr>
                <w:sz w:val="20"/>
              </w:rPr>
              <w:t>&lt;span style="font-size:11pt;font-family:'Times New Roman',serif;color:#000000;background-color:transparent;font-weight:700;font- style:normal;font-variant:normal;text-decoration:none;vertical-align:baseline;white- space:pre;white-space:pre-wrap;"&gt;a despeito de o ajuizamento de ações em separado constituir uma faculdade garantida à parte autora, este direito, embora lícito em sua</w:t>
            </w:r>
          </w:p>
          <w:p>
            <w:pPr>
              <w:pStyle w:val="TableParagraph"/>
              <w:spacing w:line="208" w:lineRule="auto" w:before="0"/>
              <w:ind w:right="30"/>
              <w:rPr>
                <w:sz w:val="20"/>
              </w:rPr>
            </w:pPr>
            <w:r>
              <w:rPr>
                <w:sz w:val="20"/>
              </w:rPr>
              <w:t>origem, não pode ser exercido com abuso, em manifesta violação às normas </w:t>
            </w:r>
            <w:r>
              <w:rPr>
                <w:spacing w:val="-2"/>
                <w:sz w:val="20"/>
              </w:rPr>
              <w:t>fundamentais </w:t>
            </w:r>
            <w:r>
              <w:rPr>
                <w:sz w:val="20"/>
              </w:rPr>
              <w:t>do processo.&amp;#160;&lt;/span&gt;&lt;/p&gt;&lt;p style="line-height:1.2;margin-left: 117.35pt;margin- right: 0.28346456692915467pt;text-align: justify;margin-top:0pt;margin-bottom:0pt;" dir="ltr"&gt;&lt;span style="font-size:11pt;font-family:'Times New Roman',serif;color:#000000;background-color:transparent;font-weight:400;font- style:normal;font-variant:normal;text-decoration:none;vertical-align:baseline;white- space:pre;white-space:pre-wrap;"&gt;4.&lt;/span&gt; &lt;span style="font-size:11pt;font-family:'Times New Roman',serif;color:#000000;background-color:transparent;font-weight:700;font- style:normal;font-variant:normal;text-decoration:none;vertical-align:baseline;white- space:pre;white-space:pre-wrap;"&gt;A extinção do processo sem resolução do mérito ocorreu com base no art. 485, IV, do CPC, por ausência de pressupostos processuais.&lt;/span&gt; &lt;span style="font-size:11pt;font-family:'Times New Roman',serif;color:#000000;background-color:transparent;font-weight:400;font- style:normal;font-variant:normal;text-decoration:none;vertical-align:baseline;white- space:pre;white-space:pre-wrap;"&gt;Com efeito, conforme teor da&amp;#160; Certidão de ID 15869182, a parte Autora compareceu à secretaria do Juízo, informou que reconhece a assinatura da procuração constante nos autos, mas não se lembra de tê-la assinado, e que não autorizou o advogado a entrar com ações para declarar a inexistência de empréstimos consignados. Ainda disse não saber informar o nome do causídico e nem o conhece pessoalmente. Por fim disse que reconhece todos os empréstimos consignados realizados em seu nome.&lt;/span&gt;&lt;/p&gt;&lt;p style="line-height:1.2;margin-left:</w:t>
            </w:r>
          </w:p>
          <w:p>
            <w:pPr>
              <w:pStyle w:val="TableParagraph"/>
              <w:spacing w:line="208" w:lineRule="auto" w:before="0"/>
              <w:ind w:right="308"/>
              <w:rPr>
                <w:sz w:val="20"/>
              </w:rPr>
            </w:pPr>
            <w:r>
              <w:rPr>
                <w:sz w:val="20"/>
              </w:rPr>
              <w:t>117.35pt;margin-right: 0.28346456692915467pt;text-align: justify;margin-top:0pt;margin- bottom:0pt;" dir="ltr"&gt; &lt;span style="font-size:11pt;font-family:'Times New Roman',serif;color:#000000;background-color:transparent;font-weight:400;font- style:normal;font-variant:normal;text-decoration:none;vertical-align:baseline;white- space:pre;white-space:pre-wrap;"&gt;5. Sendo assim, agiu acertadamente a magistrada singular.&lt;/span&gt;&lt;/p&gt;&lt;p style="line-height:1.2;margin-left: 117.35pt;margin-right: 0.28346456692915467pt;text-align: justify;margin-top:0pt;margin-bottom:0pt;" dir="ltr"&gt;</w:t>
            </w:r>
          </w:p>
          <w:p>
            <w:pPr>
              <w:pStyle w:val="TableParagraph"/>
              <w:spacing w:line="208" w:lineRule="auto" w:before="0"/>
              <w:ind w:right="114"/>
              <w:rPr>
                <w:sz w:val="20"/>
              </w:rPr>
            </w:pPr>
            <w:r>
              <w:rPr>
                <w:sz w:val="20"/>
              </w:rPr>
              <w:t>&lt;span style="font-size:11pt;font-family:'Times New Roman',serif;color:#000000;background-color:transparent;font-weight:400;font- style:normal;font-variant:normal;text-decoration:none;vertical-align:baseline;white- space:pre;white-space:pre-wrap;"&gt;IV. Dispositivo&lt;/span&gt;&lt;/p&gt;&lt;p style="line- height:1.2;margin-left: 117.35pt;margin-right: 0.28346456692915467pt;text-align: justify;margin-top:0pt;margin-bottom:0pt;" dir="ltr"&gt; &lt;span style="font-size:11pt;font- family:'Times New Roman',serif;color:#000000;background-color:transparent;font- weight:400;font-style:normal;font-variant:normal;text-decoration:none;vertical- align:baseline;white-space:pre;white-space:pre-wrap;"&gt;6. Apelação conhecida e provida. Sentença anulada.&lt;/span&gt;&lt;/p&gt;&lt;p style="line-height:1.2;margin-left: 117.35pt;margin-right: 0.28346456692915467pt;text-align: justify;margin-top:0pt;margin-bottom:10pt;" dir="ltr"&gt;</w:t>
            </w:r>
          </w:p>
          <w:p>
            <w:pPr>
              <w:pStyle w:val="TableParagraph"/>
              <w:spacing w:line="208" w:lineRule="auto" w:before="0"/>
              <w:ind w:right="70"/>
              <w:rPr>
                <w:sz w:val="20"/>
              </w:rPr>
            </w:pPr>
            <w:r>
              <w:rPr>
                <w:sz w:val="20"/>
              </w:rPr>
              <w:t>&lt;span style="font-size:11pt;font-family:'Times New Roman',serif;color:#000000;background-color:transparent;font-weight:400;font- style:normal;font-variant:normal;text-decoration:none;vertical-align:baseline;white- space:pre;white-space:pre-wrap;"&gt;(APELAÇÃO CÍVEL - 02001484820248060097, Relator(a): CLEIDE ALVES DE AGUIAR, 3ª Câmara de Direito Privado, Data do julgamento: 12/12/2024)&lt;/span&gt;&lt;/p&gt;&lt;p style="line-height:1.2;margin-left: 117.35pt;margin-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51" w:val="left" w:leader="none"/>
              </w:tabs>
              <w:spacing w:line="208" w:lineRule="auto" w:before="26"/>
              <w:ind w:right="87"/>
              <w:rPr>
                <w:sz w:val="20"/>
              </w:rPr>
            </w:pPr>
            <w:r>
              <w:rPr>
                <w:sz w:val="20"/>
              </w:rPr>
              <w:t>right: 0.28346456692915467pt;text-align: justify;margin-top:0pt;margin-bottom:10pt;" dir="ltr"&gt; &lt;span style="font-size:11pt;font-family:'Times New Roman',serif;color:#000000;background-color:transparent;font-weight:400;font- style:normal;font-variant:normal;text-decoration:none;vertical-align:baseline;white- space:pre;white-space:pre-wrap;"&gt;</w:t>
              <w:tab/>
              <w:t>&lt;br /&gt; &lt;/span&gt;&lt;/p&gt;&lt;p style="line- height:1.7999999999999998;text-indent: 56.692913385826756pt;text-align: justify;margin- top:6pt;margin-bottom:0pt;" dir="ltr"&gt;&lt;span style="font-size:12pt;font-family:'Times New Roman',serif;color:#000000;background-color:transparent;font-weight:400;font- style:normal;font-variant:normal;text-decoration:none;vertical-align:baseline;white- space:pre;white-space:pre-wrap;"&gt;A parte foi devidamente intimada por seu </w:t>
            </w:r>
            <w:r>
              <w:rPr>
                <w:spacing w:val="-2"/>
                <w:sz w:val="20"/>
              </w:rPr>
              <w:t>representante </w:t>
            </w:r>
            <w:r>
              <w:rPr>
                <w:sz w:val="20"/>
              </w:rPr>
              <w:t>legal, vide despacho de ID. 15247885 e certidão de ID. 15247887, tal qual devidamente autorizado em procuração de ID. 15247881. O pleito do embargante, neste ponto, inclusive, é controverso, haja vista que o próprio assumiu, em sede de apelação (ID.</w:t>
            </w:r>
          </w:p>
          <w:p>
            <w:pPr>
              <w:pStyle w:val="TableParagraph"/>
              <w:spacing w:line="208" w:lineRule="auto" w:before="0"/>
              <w:ind w:right="120"/>
              <w:rPr>
                <w:sz w:val="20"/>
              </w:rPr>
            </w:pPr>
            <w:r>
              <w:rPr>
                <w:sz w:val="20"/>
              </w:rPr>
              <w:t>15247944, fl. 5), residir o autor em local de difícil acesso. Ora, intenta argumentar que é mais fácil, sob a ótica da celeridade e sob amparo de poderes instituídos na própria procuração&lt;/span&gt; &lt;span style="font-size:12pt;font-family:'Times New Roman',serif;color:#000000;background-color:transparent;font-weight:400;font- style:italic;font-variant:normal;text-decoration:none;vertical-align:baseline;white- space:pre;white-space:pre-wrap;"&gt;ad judicia&lt;/span&gt;&lt;span style="font-size:12pt;font- family:'Times New Roman',serif;color:#000000;background-color:transparent;font- weight:400;font-style:normal;font-variant:normal;text-decoration:none;vertical- align:baseline;white-space:pre;white-space:pre-wrap;"&gt;, a justiça encontrar o autor do </w:t>
            </w:r>
            <w:r>
              <w:rPr>
                <w:spacing w:val="-6"/>
                <w:sz w:val="20"/>
              </w:rPr>
              <w:t>que </w:t>
            </w:r>
            <w:r>
              <w:rPr>
                <w:sz w:val="20"/>
              </w:rPr>
              <w:t>seu próprio advogado? Rememora-se, por oportuno, que é dever do representante legal ter cautela com a administração do prazo das partes representadas, não sendo passível de incubêmcia à justiça, quiçá circunstância apta a constituir vício passível de embargos declaratórios, a mera perda de prazo por parte do advogado constituído.&lt;/span&gt;&lt;/p&gt;&lt;p style="line-height:1.7999999999999998;text-indent: 56.692913385826756pt;text-align: justify;margin-top:6pt;margin-bottom:0pt;" dir="ltr"&gt; &lt;span style="font-size:12pt;font- family:'Times New Roman',serif;color:#000000;background-color:transparent;font- weight:400;font-style:normal;font-variant:normal;text-decoration:none;vertical- align:baseline;white-space:pre;white-space:pre-wrap;"&gt;A despeito, faço constar precedentes:&lt;/span&gt;&lt;/p&gt;&lt;p style="line-height:1.38;margin-left: 117.35pt;margin-right: 0.28346456692915467pt;text-align: justify;margin-top:6pt;margin-bottom:0pt;" dir="ltr"&gt;&amp;#160;&lt;/p&gt;&lt;p style="line-height:1.38;margin-left: 117.35pt;margin-right: 0.28346456692915467pt;text-align: justify;margin-top:6pt;margin-bottom:0pt;" dir="ltr"&gt;</w:t>
            </w:r>
          </w:p>
          <w:p>
            <w:pPr>
              <w:pStyle w:val="TableParagraph"/>
              <w:spacing w:line="208" w:lineRule="auto" w:before="0"/>
              <w:ind w:right="232"/>
              <w:rPr>
                <w:sz w:val="20"/>
              </w:rPr>
            </w:pPr>
            <w:r>
              <w:rPr>
                <w:sz w:val="20"/>
              </w:rPr>
              <w:t>&lt;span style="font-size:11pt;font-family:'Times New Roman',serif;color:#000000;background-color:transparent;font-weight:400;font- style:normal;font-variant:normal;text-decoration:none;vertical-align:baseline;white- space:pre;white-space:pre-wrap;"&gt;Ementa: Direito processual civil. Recurso de </w:t>
            </w:r>
            <w:r>
              <w:rPr>
                <w:spacing w:val="-3"/>
                <w:sz w:val="20"/>
              </w:rPr>
              <w:t>apelação </w:t>
            </w:r>
            <w:r>
              <w:rPr>
                <w:sz w:val="20"/>
              </w:rPr>
              <w:t>cível. Ação declaratória negativa de débito c/c indenização por dano material e moral.</w:t>
            </w:r>
          </w:p>
          <w:p>
            <w:pPr>
              <w:pStyle w:val="TableParagraph"/>
              <w:spacing w:line="208" w:lineRule="auto" w:before="0"/>
              <w:ind w:right="41"/>
              <w:rPr>
                <w:sz w:val="20"/>
              </w:rPr>
            </w:pPr>
            <w:r>
              <w:rPr>
                <w:sz w:val="20"/>
              </w:rPr>
              <w:t>Comparecimento pessoal do autor à unidade jurisdicional. Intimação do patrono. Ausência. Violação da prerrogativa do advogado. Cerceamento de defesa. Caracterização. Erro in procedendo. Recurso conhecido e provido. Sentença cassada.&amp;#160;&lt;/span&gt;&lt;/p&gt;&lt;p style="line-height:1.38;margin-left: 117.35pt;margin-right: 0.28346456692915467pt;text- align: justify;margin-top:6pt;margin-bottom:0pt;" dir="ltr"&gt; &lt;span style="font-size:11pt;font- family:'Times New Roman',serif;color:#000000;background-color:transparent;font- weight:400;font-style:normal;font-variant:normal;text-decoration:none;vertical- align:baseline;white-space:pre;white-space:pre-wrap;"&gt;I. Caso em exame&lt;/span&gt;&lt;/p&gt;&lt;p style="line-height:1.38;margin-left: 117.35pt;margin-right: 0.28346456692915467pt;text- align: justify;margin-top:6pt;margin-bottom:0pt;" dir="ltr"&gt; &lt;span style="font-size:11pt;font- family:'Times New Roman',serif;color:#000000;background-color:transparent;font- weight:400;font-style:normal;font-variant:normal;text-decoration:none;vertical- align:baseline;white-space:pre;white-space:pre-wrap;"&gt;1. Trata-se de Apelação Cível adversando sentença proferida pelo Juízo de Vara Única da Comarca de Iracema, que extinguiu, sem resolução de mérito, com fulcro no art. 485, inciso IV, do CPC, a Ação Declaratória Negativa de Débito c/c Condenação a indenização por danos morais e materiais.&lt;/span&gt;&lt;/p&gt;&lt;p style="line-height:1.38;margin-left: 117.35pt;margin-right: 0.28346456692915467pt;text-align: justify;margin-top:6pt;margin-bottom:0pt;" dir="ltr"&gt;</w:t>
            </w:r>
          </w:p>
          <w:p>
            <w:pPr>
              <w:pStyle w:val="TableParagraph"/>
              <w:spacing w:line="208" w:lineRule="auto" w:before="0"/>
              <w:ind w:right="64"/>
              <w:rPr>
                <w:sz w:val="20"/>
              </w:rPr>
            </w:pPr>
            <w:r>
              <w:rPr>
                <w:sz w:val="20"/>
              </w:rPr>
              <w:t>&lt;span style="font-size:11pt;font-family:'Times New Roman',serif;color:#000000;background-color:transparent;font-weight:400;font- style:normal;font-variant:normal;text-decoration:none;vertical-align:baseline;white- space:pre;white-space:pre-wrap;"&gt;II. Questão em discussão&lt;/span&gt;&lt;/p&gt;&lt;p style="line- 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align:baseline;white-space:pre;white-space:pre-wrap;"&gt;2. Cinge-se a controvérsia recursal em examinar a regularidade da extinção da ação, sem resolução do mérito, tendo em vista o reconhecimento da ausência de pressupostos processuais mínimos para desenvolvimento válido e regular do processo.&lt;/span&gt;&lt;/p&gt;&lt;p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align:baseline;white-space:pre;white-space:pre-wrap;"&gt;III. Razões de decidir&lt;/span&gt;&lt;/p&gt;&lt;p style="line-height:1.38;margin-left: 117.35pt;margin-right: 0.28346456692915467pt;text-align: justify;margin-top:6pt;margin-bottom:0pt;" dir="ltr"&gt;&lt;span style="font-size:11pt;font-family:'Times New Roman',serif;color:#000000;background-color:transparent;font-weight:400;font- style:normal;font-variant:normal;text-decoration:none;vertical-align:baseline;white- space:pre;white-space:pre-wrap;"&gt;3. Com a inicial,&lt;/span&gt; &lt;span style="font- size:11pt;font-family:'Times New Roman',serif;color:#000000;background- color:transparent;font-weight:700;font-style:normal;font-variant:normal;text- decoration:none;vertical-align:baseline;white-space:pre;white-space:pre-wrap;"&gt;a parte autora/apelante juntou cópia do comprovante de residência, bem como a cópia do documento pessoal de identificação, procuração&amp;#160; ad judicia, concedendo poderes gerais e especiais ao advogado constituído nos autos.&lt;/span&gt;&lt;/p&gt;&lt;p style="line- height:1.38;margin-left: 117.35pt;margin-right: 0.28346456692915467pt;text-align: justify;margin-top:6pt;margin-bottom:0pt;" dir="ltr"&gt;&lt;span style="font-size:11pt;font- family:'Times New Roman',serif;color:#000000;background-color:transparent;font- weight:400;font-style:normal;font-variant:normal;text-decoration:none;vertical- align:baseline;white-space:pre;white-space:pre-wrap;"&gt;4. Não obstante as medidas determinadas pelo Juízo singular estejam aparadas pelo poder geral de cautela, especialmente quando houver indícios de lides temerárias em ações similares, observo que&lt;/span&gt; &lt;span style="font-size:11pt;font-family:'Times New Roman',serif;color:#000000;background-color:transparent;font-weight:700;font- style:normal;font-variant:normal;text-decoration:none;vertical-align:baseline;white- space:pre;white-space:pre-wrap;"&gt;a ação foi devidamente instruída com a procuração conferida ao advogado, razão pela qual não há que falar em presunção de irregularidade de representação, sobretudo em desfavor da parte hipossuficiente&lt;/span&gt;&lt;span style="font-size:11pt;font-family:'Times New Roman',serif;color:#000000;background- color:transparent;font-weight:400;font-style:normal;font-variant:normal;text- decoration:none;vertical-align:baseline;white-space:pre;white-space:pre- wrap;"&gt;.&lt;/span&gt;&lt;/p&gt;&lt;p style="line-height:1.38;margin-left: 117.35pt;margin-right: 0.28346456692915467pt;text-align: justify;margin-top:6pt;margin-bottom:0pt;" dir="ltr"&gt;&lt;span style="font-size:11pt;font-family:'Times New Roman',serif;color:#000000;background-color:transparent;font-weight:400;font- style:normal;font-variant:normal;text-decoration:none;vertical-align:baseline;white- space:pre;white-space:pre-wrap;"&gt;5. Cabe frisar que a convocação da parte autora, sem a intimação do advogado, reforça a infringência ao devido processo legal, em razão da violação da&lt;/span&gt; &lt;span style="font-size:11pt;font-family:'Times New Roman',serif;color:#000000;background-color:transparent;font-weight:700;font- style:normal;font-variant:normal;text-decoration:none;vertical-align:baseline;white- space:pre;white-space:pre-wrap;"&gt;prerrogativa do advogado de ser intimado de todos os atos do processo&lt;/span&gt;&lt;span style="font-size:11pt;font-family:'Times New Roman',serif;color:#000000;background-color:transparent;font-weight:400;font- style:normal;font-variant:normal;text-decoration:none;vertical-align:baseline;white- space:pre;white-space:pre-wrap;"&gt;, nos termos do artigo 272, §§ 2° e 5°, do Código de Processo Civil, segundo o qual é indispensável a publicação da intimação com o nome </w:t>
            </w:r>
            <w:r>
              <w:rPr>
                <w:spacing w:val="-6"/>
                <w:sz w:val="20"/>
              </w:rPr>
              <w:t>das </w:t>
            </w:r>
            <w:r>
              <w:rPr>
                <w:sz w:val="20"/>
              </w:rPr>
              <w:t>partes e de seus advogados, sob pena de nulidade.&lt;/span&gt;&lt;/p&gt;&lt;p style="line- 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 7. Além disso, a falta de evidências concretas de litigância predatória indica que não é justificável invocar, de forma geral, a Recomendação nº 01/2019/NUMOPEDE/CGJCE como obstáculo ao acesso à justiça garantido pelo artigo 5º, XXXV, da Constituição Federal.&lt;/span&gt;&lt;/p&gt;&lt;p style="line- height:1.38;margin-left: 117.35pt;margin-right: 0.28346456692915467pt;text-align: justify;margin-top:6pt;margin-bottom:0pt;" dir="ltr"&gt; &lt;span style="font-size:11pt;font- family:'Times New Roman',serif;color:#000000;background-color:transparent;font- weight:400;font-style:normal;font-variant:normal;text-decoration:none;vertical- align:baseline;white-space:pre;white-space:pre-wrap;"&gt;IV. Dispositivo&lt;/span&gt;&lt;/p&gt;&lt;p style="line-height:1.38;margin-left: 117.35pt;margin-right: 0.28346456692915467pt;text- align: justify;margin-top:6pt;margin-bottom:0pt;" dir="ltr"&gt; &lt;span style="font-size:11pt;font- family:'Times New Roman',serif;color:#000000;background-color:transparent;font- weight:400;font-style:normal;font-variant:normal;text-decoration:none;vertical- align:baseline;white-space:pre;white-space:pre-wrap;"&gt;8. Recurso conhecido e provido.</w:t>
            </w:r>
          </w:p>
          <w:p>
            <w:pPr>
              <w:pStyle w:val="TableParagraph"/>
              <w:spacing w:line="208" w:lineRule="auto" w:before="0"/>
              <w:ind w:right="396"/>
              <w:rPr>
                <w:sz w:val="20"/>
              </w:rPr>
            </w:pPr>
            <w:r>
              <w:rPr>
                <w:sz w:val="20"/>
              </w:rPr>
              <w:t>Sentença cassada.&lt;/span&gt;&lt;/p&gt;&lt;p style="line-height:1.38;margin-left: 117.35pt;margin- right: 0.28346456692915467pt;text-align: justify;margin-top:6pt;margin-bottom:0pt;"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480" w:val="left" w:leader="none"/>
              </w:tabs>
              <w:spacing w:line="208" w:lineRule="auto" w:before="26"/>
              <w:ind w:right="108"/>
              <w:rPr>
                <w:sz w:val="20"/>
              </w:rPr>
            </w:pPr>
            <w:r>
              <w:rPr>
                <w:sz w:val="20"/>
              </w:rPr>
              <w:t>dir="ltr"&gt;&lt;span style="font-size:11pt;font-family:'Times New Roman',serif;color:#000000;background-color:transparent;font-weight:400;font- style:normal;font-variant:normal;text-decoration:none;vertical-align:baseline;white- space:pre;white-space:pre-wrap;"&gt;(APELAÇÃO CÍVEL - 02005425520248060097, Relator(a): JOSE RICARDO VIDAL PATROCINIO, 1ª Câmara de Direito Privado, Data do julgamento:&lt;/span&gt; &lt;span style="font-size:11pt;font-family:'Times New Roman',serif;color:#000000;background-color:transparent;font-weight:700;font- style:normal;font-variant:normal;text-decoration:none;vertical-align:baseline;white- space:pre;white-space:pre-wrap;"&gt;30/01/2025&lt;/span&gt;&lt;span style="font-size:11pt;font- family:'Times New Roman',serif;color:#000000;background-color:transparent;font- weight:400;font-style:normal;font-variant:normal;text-decoration:none;vertical- align:baseline;white-space:pre;white-space:pre-wrap;"&gt;)&lt;/span&gt;&lt;span style="font- size:11pt;font-family:'Times New Roman',serif;color:#000000;background- color:transparent;font-weight:700;font-style:normal;font-variant:normal;text- decoration:none;vertical-align:baseline;white-space:pre;white-space:pre- wrap;"&gt;&amp;#160;&lt;/span&gt;&lt;/p&gt;&lt;p style="line-height:1.7999999999999998;margin-right: 0.28346456692915467pt;text-indent: 1pt;text-align: justify;margin-top:6pt;margin- bottom:0pt;" dir="ltr"&gt;  &lt;strong style="font-weight:normal;"&gt;</w:t>
              <w:tab/>
              <w:t>&lt;br /&gt; &lt;/strong&gt;&lt;/p&gt;&lt;p style="line-height:1.7999999999999998;text-indent: 56.692913385826756pt;text-align: justify;margin-top:6pt;margin-bottom:0pt;" dir="ltr"&gt; &lt;span style="font-size:12pt;font- family:'Times New Roman',serif;color:#000000;background-color:transparent;font- weight:400;font-style:normal;font-variant:normal;text-decoration:none;vertical- align:baseline;white-space:pre;white-space:pre-wrap;"&gt;O que se constata no caso em tela não é a existência de vícios passíveis de interposição de embargos, mas uma tentativa </w:t>
            </w:r>
            <w:r>
              <w:rPr>
                <w:spacing w:val="-9"/>
                <w:sz w:val="20"/>
              </w:rPr>
              <w:t>de </w:t>
            </w:r>
            <w:r>
              <w:rPr>
                <w:sz w:val="20"/>
              </w:rPr>
              <w:t>o embargante reverter decisão desfavorável a ele, hipótese incabível na via eleita.&lt;/span&gt;&lt;/p&gt;&lt;p style="line-height:1.7999999999999998;text-indent: 56.692913385826756pt;text-align: justify;margin-top:6pt;margin-bottom:0pt;" dir="ltr"&gt;</w:t>
            </w:r>
          </w:p>
          <w:p>
            <w:pPr>
              <w:pStyle w:val="TableParagraph"/>
              <w:tabs>
                <w:tab w:pos="3351" w:val="left" w:leader="none"/>
              </w:tabs>
              <w:spacing w:line="208" w:lineRule="auto" w:before="0"/>
              <w:ind w:right="63"/>
              <w:rPr>
                <w:sz w:val="20"/>
              </w:rPr>
            </w:pPr>
            <w:r>
              <w:rPr>
                <w:sz w:val="20"/>
              </w:rPr>
              <w:t>&lt;span style="font-size:12pt;font-family:'Times New Roman',serif;color:#000000;background-color:transparent;font-weight:400;font- style:normal;font-variant:normal;text-decoration:none;vertical-align:baseline;white- space:pre;white-space:pre-wrap;"&gt;As razões de interposição do presente recurso já foram apreciadas pela decisão recorrida, de maneira que inexistentes quaisquer vícios passíveis de interposição de embargos declaratórios conforme o art. 1.022 do CPC/2015. A </w:t>
            </w:r>
            <w:r>
              <w:rPr>
                <w:spacing w:val="-3"/>
                <w:sz w:val="20"/>
              </w:rPr>
              <w:t>intenção </w:t>
            </w:r>
            <w:r>
              <w:rPr>
                <w:sz w:val="20"/>
              </w:rPr>
              <w:t>do embargante com o presente recurso é rediscutir matéria de fato e reexaminar controvérsia jurídica já apreciada, circunstância a qual não comporta a interposição de embargos. Ressalto o instituído em Súmula nº 18 do TJ-CE:&lt;/span&gt;&lt;/p&gt;&lt;p style="line- height:1.38;margin-left: 113pt;text-align: justify;margin-top:6pt;margin-bottom:0pt;" dir="ltr"&gt;&amp;#160;&lt;/p&gt;&lt;p style="line-height:1.38;margin-left: 113pt;text-align: justify;margin- top:6pt;margin-bottom:0pt;" dir="ltr"&gt; &lt;span style="font-size:11pt;font-family:'Times New Roman',serif;color:#000000;background-color:transparent;font-weight:400;font- style:normal;font-variant:normal;text-decoration:none;vertical-align:baseline;white- space:pre;white-space:pre-wrap;"&gt;</w:t>
              <w:tab/>
              <w:t>&lt;em&gt;São indevidos embargos de declaração que têm por única finalidade o reexame da controvérsia jurídica já apreciada.&lt;/em&gt;</w:t>
            </w:r>
          </w:p>
          <w:p>
            <w:pPr>
              <w:pStyle w:val="TableParagraph"/>
              <w:tabs>
                <w:tab w:pos="3351" w:val="left" w:leader="none"/>
              </w:tabs>
              <w:spacing w:line="208" w:lineRule="auto" w:before="0"/>
              <w:ind w:right="63"/>
              <w:rPr>
                <w:sz w:val="20"/>
              </w:rPr>
            </w:pPr>
            <w:r>
              <w:rPr>
                <w:sz w:val="20"/>
              </w:rPr>
              <w:t>&lt;/span&gt;&lt;/p&gt;&lt;p style="line-height:1.38;margin-left: 113pt;text-align: justify;margin- top:6pt;margin-bottom:0pt;" dir="ltr"&gt; &lt;span style="font-size:11pt;font-family:'Times New Roman',serif;color:#000000;background-color:transparent;font-weight:400;font- style:normal;font-variant:normal;text-decoration:none;vertical-align:baseline;white- space:pre;white-space:pre-wrap;"&gt;</w:t>
              <w:tab/>
              <w:t>&lt;br /&gt; &lt;/span&gt;&lt;/p&gt;&lt;p style="line- height:1.7999999999999998;text-indent: 56.692913385826756pt;text-align: justify;margin- top:6pt;margin-bottom:0pt;" dir="ltr"&gt;&lt;span style="font-size:12pt;font-family:'Times New Roman',serif;color:#000000;background-color:transparent;font-weight:400;font- style:normal;font-variant:normal;text-decoration:none;vertical-align:baseline;white- space:pre;white-space:pre-wrap;"&gt;A fundamentação existente no&lt;/span&gt; &lt;span style="font-size:12pt;font-family:'Times New Roman',serif;color:#000000;background- color:transparent;font-weight:400;font-style:italic;font-variant:normal;text- decoration:none;vertical-align:baseline;white-space:pre;white-space:pre- wrap;"&gt;decisum&lt;/span&gt; &lt;span style="font-size:12pt;font-family:'Times New Roman',serif;color:#000000;background-color:transparent;font-weight:400;font- style:normal;font-variant:normal;text-decoration:none;vertical-align:baseline;white- space:pre;white-space:pre-wrap;"&gt;é suficiente e adequada, não cabendo interposição de embargos de declaração. Conforme fundamentado, os assuntos relevantes para a </w:t>
            </w:r>
            <w:r>
              <w:rPr>
                <w:spacing w:val="-3"/>
                <w:sz w:val="20"/>
              </w:rPr>
              <w:t>decisão </w:t>
            </w:r>
            <w:r>
              <w:rPr>
                <w:sz w:val="20"/>
              </w:rPr>
              <w:t>foram tratados nos autos do processo.&lt;/span&gt;&lt;/p&gt;&lt;p style="line- height:1.7999999999999998;text-indent: 56.692913385826756pt;text-align: justify;margin- top:6pt;margin-bottom:0pt;" dir="ltr"&gt; &lt;span style="font-size:12pt;font-family:'Times New Roman',serif;color:#000000;background-color:transparent;font-weight:400;font- style:normal;font-variant:normal;text-decoration:none;vertical-align:baseline;white- space:pre;white-space:pre-wrap;"&gt;Reitero que a funcionalidade dos aclaratórios não é de rediscutir matéria ou de substituir a decisão embargada, mas de elucidar, de modo que possuem fundamentação vinculada.&lt;/span&gt;&lt;/p&gt;&lt;p style="line- height:1.7999999999999998;margin-right: 0.28346456692915467pt;text-indent: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0201865-79.2024.8.06.0070</w:t>
            </w:r>
          </w:p>
        </w:tc>
      </w:tr>
      <w:tr>
        <w:trPr>
          <w:trHeight w:val="12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05" w:val="left" w:leader="none"/>
                <w:tab w:pos="2172" w:val="left" w:leader="none"/>
                <w:tab w:pos="2549" w:val="left" w:leader="none"/>
                <w:tab w:pos="5755" w:val="left" w:leader="none"/>
                <w:tab w:pos="6428" w:val="left" w:leader="none"/>
                <w:tab w:pos="7166" w:val="left" w:leader="none"/>
              </w:tabs>
              <w:spacing w:line="208" w:lineRule="auto" w:before="26"/>
              <w:ind w:right="49"/>
              <w:rPr>
                <w:sz w:val="20"/>
              </w:rPr>
            </w:pPr>
            <w:r>
              <w:rPr>
                <w:sz w:val="20"/>
              </w:rPr>
              <w:t>56.692913385826756pt;text-align: justify;margin-top:6pt;margin-bottom:0pt;" dir="ltr"&gt;&lt;span style="font-size:12pt;font-family:'Times New Roman',serif;color:#000000;background-color:transparent;font-weight:400;font- style:normal;font-variant:normal;text-decoration:none;vertical-align:baseline;white- space:pre;white-space:pre-wrap;"&gt;Nesses termos, não merece reforma o&lt;/span&gt; &lt;span style="font-size:12pt;font-family:'Times New Roman',serif;color:#000000;background- color:transparent;font-weight:400;font-style:italic;font-variant:normal;text- decoration:none;vertical-align:baseline;white-space:pre;white-space:pre- wrap;"&gt;decisum&lt;/span&gt; &lt;span style="font-size:12pt;font-family:'Times New Roman',serif;color:#000000;background-color:transparent;font-weight:400;font- style:normal;font-variant:normal;text-decoration:none;vertical-align:baseline;white- space:pre;white-space:pre-wrap;"&gt;recorrido, razão pela qual o voto é pela manutenção do acórdão em sua integralidade. Reitera-se, neste ponto, que o julgador não está obrigado a responder a todas as questões suscitadas pelas partes, quando já tenha encontrado motivo suficiente para proferir a decisão (STJ. 1ª Seção. EDcl no MS 21.315-DF, Rel. Min. Diva Malerbi, julgado em 8/6/2016 – Info. 585).&amp;#160;&lt;/span&gt;&lt;/p&gt;&lt;p style="line- height:1.7999999999999998;margin-right: 0.28346456692915467pt;text-indent: 1pt;text- align: center;margin-top:12pt;margin-bottom:12pt;" dir="ltr"&gt; &lt;span style="font- size:12pt;font-family:'Times New Roman',serif;color:#000000;background- color:transparent;font-weight:700;font-style:normal;font-variant:normal;text- decoration:none;vertical-align:baseline;white-space:pre;white-space:pre- wrap;"&gt;DISPOSITIVO&lt;/span&gt;&lt;/p&gt;&lt;p style="line-height:1.7999999999999998;margin-right: 0.28346456692915467pt;text-indent: 56.692913385826756pt;text-align: justify;margin- top:6pt;margin-bottom:0pt;" dir="ltr"&gt;&lt;span style="font-size:12pt;font-family:'Times New Roman',serif;color:#000000;background-color:transparent;font-weight:400;font- style:normal;font-variant:normal;text-decoration:none;vertical-align:baseline;white- space:pre;white-space:pre-wrap;"&gt;Diante do que acima foi exposto,&lt;/span&gt; &lt;span style="font-size:12pt;font-family:'Times New Roman',serif;color:#000000;background- color:transparent;font-weight:700;font-style:normal;font-variant:normal;text- decoration:none;vertical-align:baseline;white-space:pre;white-space:pre- wrap;"&gt;CONHEÇO&lt;/span&gt; &lt;span style="font-size:12pt;font-family:'Times New Roman',serif;color:#000000;background-color:transparent;font-weight:400;font- style:normal;font-variant:normal;text-decoration:none;vertical-align:baseline;white- space:pre;white-space:pre-wrap;"&gt;do presente recurso de Apelação para&lt;/span&gt; &lt;span style="font-size:12pt;font-family:'Times New Roman',serif;color:#000000;background- color:transparent;font-weight:700;font-style:normal;font-variant:normal;text- decoration:none;vertical-align:baseline;white-space:pre;white-space:pre-wrap;"&gt;NEGAR- LHE&lt;/span&gt; &lt;span style="font-size:12pt;font-family:'Times New Roman',serif;color:#000000;background-color:transparent;font-weight:400;font- style:normal;font-variant:normal;text-decoration:none;vertical-align:baseline;white- space:pre;white-space:pre-wrap;"&gt;provimento, mantendo a decisão recorrida em todos os seus termos.&lt;/span&gt;&lt;/p&gt;&lt;p style="line-height:1.7999999999999998;margin-right: 0.28346456692915467pt;text-indent: 56.692913385826756pt;text-align: justify;margin- top:6pt;margin-bottom:0pt;" dir="ltr"&gt; &lt;span style="font-size:12pt;font-family:'Times New Roman',serif;color:#000000;background-color:transparent;font-weight:400;font- style:normal;font-variant:normal;text-decoration:none;vertical-align:baseline;white- space:pre;white-space:pre-wrap;"&gt;É como voto.&lt;/span&gt; &lt;span style="text-align: center; text-indent: 8%;"&gt;&amp;#160;&lt;/span&gt;&lt;/p&gt;&lt;p style="line-height:1.7999999999999998;margin- right: 0.28346456692915467pt;text-indent: 56.692913385826756pt;text-align: justify;margin-top:6pt;margin-bottom:0pt;" dir="ltr"&gt; &lt;span style="font-size:12pt;font- family:'Times New Roman',serif;color:#000000;background-color:transparent;font- weight:400;font-style:normal;font-variant:normal;text-decoration:none;vertical- align:baseline;white-space:pre;white-space:pre-wrap;"&gt;Fortaleza, data registrada no sistema.&lt;/span&gt;&lt;/p&gt;&lt;p style="text-indent: 8%; text-align: justify;"&gt;&amp;#160;&lt;/p&gt;&lt;p style="text-indent: 8%; text-align: center;"&gt;  &lt;span style="font-size: medium;"&gt;</w:t>
              <w:tab/>
              <w:t>&lt;strong style="font-size: small;"&gt;</w:t>
              <w:tab/>
              <w:t>&lt;span style="font-family: &amp;quot;times new roman&amp;quot;, times;"&gt;</w:t>
              <w:tab/>
              <w:t>&lt;br /&gt;</w:t>
              <w:tab/>
              <w:t>&lt;span style="font-size: medium;"&gt;</w:t>
              <w:tab/>
              <w:t>&lt;strong style="font-size: medium;"&gt;FRANCISCO LUCÍDIO DE QUEIROZ JÚNIOR&lt;/strong&gt;</w:t>
              <w:tab/>
              <w:t>&lt;/span&gt;</w:t>
            </w:r>
          </w:p>
          <w:p>
            <w:pPr>
              <w:pStyle w:val="TableParagraph"/>
              <w:tabs>
                <w:tab w:pos="972" w:val="left" w:leader="none"/>
                <w:tab w:pos="4209" w:val="left" w:leader="none"/>
              </w:tabs>
              <w:spacing w:line="208" w:lineRule="auto" w:before="0"/>
              <w:ind w:right="415"/>
              <w:rPr>
                <w:sz w:val="20"/>
              </w:rPr>
            </w:pPr>
            <w:r>
              <w:rPr>
                <w:sz w:val="20"/>
              </w:rPr>
              <w:t>&lt;/span&gt;</w:t>
              <w:tab/>
              <w:t>&lt;/strong&gt; &lt;/span&gt;&lt;/p&gt;&lt;p style="text-align: center;"&gt; &lt;span style="font-size: small;"&gt;</w:t>
              <w:tab/>
              <w:t>&lt;strong style="font-size: small;"&gt;</w:t>
              <w:tab/>
              <w:t>&lt;span style="font-size: medium;"&gt;</w:t>
            </w:r>
          </w:p>
          <w:p>
            <w:pPr>
              <w:pStyle w:val="TableParagraph"/>
              <w:tabs>
                <w:tab w:pos="1740" w:val="left" w:leader="none"/>
                <w:tab w:pos="2686" w:val="left" w:leader="none"/>
              </w:tabs>
              <w:spacing w:line="208" w:lineRule="auto" w:before="0"/>
              <w:ind w:right="928"/>
              <w:rPr>
                <w:sz w:val="20"/>
              </w:rPr>
            </w:pPr>
            <w:r>
              <w:rPr>
                <w:sz w:val="20"/>
              </w:rPr>
              <w:t>&lt;span style="font-family: &amp;quot;times new roman&amp;quot;, times;"&gt;Desembargador Relator&lt;/span&gt;</w:t>
              <w:tab/>
              <w:t>&lt;/span&gt;</w:t>
              <w:tab/>
              <w:t>&lt;/strong&gt; &lt;/span&gt;&lt;/p&gt;&lt;p&gt;&amp;#160;&lt;/p&gt;&lt;br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BMG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FABIO FRASATO CAIRES - (CE29282-S)</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DE ASSIS LIMA DE ABREU</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282"/>
              <w:rPr>
                <w:sz w:val="20"/>
              </w:rPr>
            </w:pPr>
            <w:r>
              <w:rPr>
                <w:sz w:val="20"/>
              </w:rPr>
              <w:t>JOSE IDEMBERG NOBRE DE SENA - (CE14260-A) PAULO SUDERLAN RAULINO GIRAO - (CE21111-A)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&lt;strong&gt;PROCESSO&lt;/strong&gt;:&amp;#160;0267313-12.2024.8.06.0001 -&amp;#160;APELAÇÃO</w:t>
            </w:r>
          </w:p>
          <w:p>
            <w:pPr>
              <w:pStyle w:val="TableParagraph"/>
              <w:tabs>
                <w:tab w:pos="4518" w:val="left" w:leader="none"/>
                <w:tab w:pos="5263" w:val="left" w:leader="none"/>
                <w:tab w:pos="5724" w:val="left" w:leader="none"/>
                <w:tab w:pos="6391" w:val="left" w:leader="none"/>
                <w:tab w:pos="6557" w:val="left" w:leader="none"/>
              </w:tabs>
              <w:spacing w:line="208" w:lineRule="auto" w:before="8"/>
              <w:ind w:right="76"/>
              <w:rPr>
                <w:sz w:val="20"/>
              </w:rPr>
            </w:pPr>
            <w:r>
              <w:rPr>
                <w:sz w:val="20"/>
              </w:rPr>
              <w:t>CÍVEL (198)&lt;/span&gt;  &lt;/span&gt;&lt;/p&gt;&lt;p&gt;  &lt;span style="font-size: small;"&gt;</w:t>
              <w:tab/>
              <w:tab/>
              <w:t>&lt;span style="font-family: &amp;quot;times new roman&amp;quot;, times;"&gt;AGRAVANTE: BANCO BMG SA&lt;/span&gt;  &lt;/span&gt;&lt;/p&gt;&lt;p&gt;  &lt;span style="font-size: small;"&gt;</w:t>
              <w:tab/>
              <w:t>&lt;span style="font-family: &amp;quot;times new roman&amp;quot;, times;"&gt;AGRAVADO: FRANCISCO DE ASSIS LIMA DE ABREU&lt;/span&gt;  &lt;/span&gt;&lt;/p&gt;&lt;p&gt;  &lt;span style="font-size: medium;"&gt;</w:t>
              <w:tab/>
              <w:t>&lt;span style="font- family: &amp;quot;times new roman&amp;quot;, times;"&gt;</w:t>
              <w:tab/>
              <w:t>&lt;br /&gt;</w:t>
              <w:tab/>
              <w:t>&lt;/span&gt; &lt;/span&gt;&lt;/p&gt;&lt;p style="line-height: 1.7999999999999998; text-align: justify; margin-top: 6pt; margin-bottom: 6pt;" dir="ltr"&gt; &lt;span style="color: #000000; background-color: #ffffff; font-weight: 700;</w:t>
            </w:r>
          </w:p>
          <w:p>
            <w:pPr>
              <w:pStyle w:val="TableParagraph"/>
              <w:tabs>
                <w:tab w:pos="1939" w:val="left" w:leader="none"/>
                <w:tab w:pos="5055" w:val="left" w:leader="none"/>
                <w:tab w:pos="7174"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medium;"&gt;EMENTA: DIREITO CIVIL. DIREITO DO CONSUMIDOR. DIREITO PROCESSUAL CIVIL. AGRAVO INTERNO EM APELAÇÃO CÍVEL. AÇÃO DECLARATÓRIA DE INEXISTÊNCIA DE DÉBITO C/C PEDIDO TUTELA DE URGÊNCIA E INDENIZAÇÃO POR DANOS MORAIS. EMPRÉSTIMO CONSIGNADO. ASSINATURA NÃO RECONHECIDA. FALHA NA PRESTAÇÃO DO SERVIÇO CARACTERIZADO. DANO MORAL DEVIDO. RECURSO CONHECIDO E DESPROVIDO.&lt;/span&gt;</w:t>
              <w:tab/>
              <w:t>&lt;/span&gt;</w:t>
            </w:r>
          </w:p>
          <w:p>
            <w:pPr>
              <w:pStyle w:val="TableParagraph"/>
              <w:tabs>
                <w:tab w:pos="4562" w:val="left" w:leader="none"/>
              </w:tabs>
              <w:spacing w:line="208" w:lineRule="auto" w:before="0"/>
              <w:ind w:right="460"/>
              <w:rPr>
                <w:sz w:val="20"/>
              </w:rPr>
            </w:pPr>
            <w:r>
              <w:rPr>
                <w:sz w:val="20"/>
              </w:rPr>
              <w:t>&lt;/span&gt;&lt;/p&gt;&lt;p style="line-height: 1.7999999999999998; text-align: justify;</w:t>
            </w:r>
            <w:r>
              <w:rPr>
                <w:spacing w:val="-18"/>
                <w:sz w:val="20"/>
              </w:rPr>
              <w:t> </w:t>
            </w:r>
            <w:r>
              <w:rPr>
                <w:sz w:val="20"/>
              </w:rPr>
              <w:t>margin-top: 12pt; margin-bottom: 12pt;" dir="ltr"&gt; &lt;span style="color: #000000; background-color: #ffffff; font-weight: 700; font-style: normal; font-variant: normal; text-decoration: none; vertical-align: baseline; white-space: pre-wrap;"&gt;</w:t>
              <w:tab/>
              <w:t>&lt;span style="font-size: small;"&gt;</w:t>
            </w:r>
          </w:p>
          <w:p>
            <w:pPr>
              <w:pStyle w:val="TableParagraph"/>
              <w:tabs>
                <w:tab w:pos="3511" w:val="left" w:leader="none"/>
                <w:tab w:pos="5528" w:val="left" w:leader="none"/>
                <w:tab w:pos="6584" w:val="left" w:leader="none"/>
                <w:tab w:pos="7093" w:val="left" w:leader="none"/>
              </w:tabs>
              <w:spacing w:line="208" w:lineRule="auto" w:before="0"/>
              <w:ind w:right="508"/>
              <w:rPr>
                <w:sz w:val="20"/>
              </w:rPr>
            </w:pPr>
            <w:r>
              <w:rPr>
                <w:sz w:val="20"/>
              </w:rPr>
              <w:t>&lt;span style="font-size: medium;"&gt;</w:t>
              <w:tab/>
              <w:t>&lt;span style="font-size: medium;"&gt;</w:t>
              <w:tab/>
              <w:tab/>
            </w:r>
            <w:r>
              <w:rPr>
                <w:spacing w:val="-4"/>
                <w:sz w:val="20"/>
              </w:rPr>
              <w:t>&lt;span </w:t>
            </w:r>
            <w:r>
              <w:rPr>
                <w:sz w:val="20"/>
              </w:rPr>
              <w:t>style="font-size: medium;"&gt;I. CASO EM EXAME.&lt;/span&gt;</w:t>
              <w:tab/>
              <w:t>&lt;/span&gt;</w:t>
              <w:tab/>
              <w:t>&lt;/span&gt;</w:t>
            </w:r>
          </w:p>
          <w:p>
            <w:pPr>
              <w:pStyle w:val="TableParagraph"/>
              <w:tabs>
                <w:tab w:pos="1550" w:val="left" w:leader="none"/>
                <w:tab w:pos="5021" w:val="left" w:leader="none"/>
                <w:tab w:pos="6164" w:val="left" w:leader="none"/>
              </w:tabs>
              <w:spacing w:line="208" w:lineRule="auto" w:before="0"/>
              <w:ind w:right="104"/>
              <w:rPr>
                <w:sz w:val="20"/>
              </w:rPr>
            </w:pPr>
            <w:r>
              <w:rPr>
                <w:sz w:val="20"/>
              </w:rPr>
              <w:t>&lt;/span&gt; &lt;/span&gt;&lt;/p&gt;&lt;p style="line-height: 1.7999999999999998; text-align: justify; margin-top: 12pt; margin-bottom: 12pt;" dir="ltr"&gt; &lt;span style="color: #000000; background-color: #ffffff; font-weight: 400; font-style: normal; font-variant: normal; text- decoration: none; vertical-align: baseline; white-space: pre-wrap;"&gt;</w:t>
              <w:tab/>
              <w:t>&lt;span style="font- size: small;"&gt;</w:t>
              <w:tab/>
              <w:t>&lt;span style="font-size: medium;"&gt;</w:t>
              <w:tab/>
              <w:t>&lt;span style="font-size:</w:t>
            </w:r>
            <w:r>
              <w:rPr>
                <w:spacing w:val="-15"/>
                <w:sz w:val="20"/>
              </w:rPr>
              <w:t> </w:t>
            </w:r>
            <w:r>
              <w:rPr>
                <w:sz w:val="20"/>
              </w:rPr>
              <w:t>medium;"&gt;</w:t>
            </w:r>
          </w:p>
          <w:p>
            <w:pPr>
              <w:pStyle w:val="TableParagraph"/>
              <w:spacing w:line="208" w:lineRule="auto" w:before="0"/>
              <w:ind w:right="666"/>
              <w:rPr>
                <w:sz w:val="20"/>
              </w:rPr>
            </w:pPr>
            <w:r>
              <w:rPr>
                <w:sz w:val="20"/>
              </w:rPr>
              <w:t>&lt;span style="font-size: medium;"&gt;1. O cerne da controvérsia consiste em analisar a regularidade/existência de negócio jurídico supostamente firmado entre as partes litigantes. O promovente alega que estava tendo descontos em seu benefício previdenciário em razão de uma avença que não realizou com o banco réu.&lt;/span&gt;</w:t>
            </w:r>
          </w:p>
          <w:p>
            <w:pPr>
              <w:pStyle w:val="TableParagraph"/>
              <w:tabs>
                <w:tab w:pos="1096" w:val="left" w:leader="none"/>
                <w:tab w:pos="2041" w:val="left" w:leader="none"/>
                <w:tab w:pos="6553" w:val="left" w:leader="none"/>
              </w:tabs>
              <w:spacing w:line="208" w:lineRule="auto" w:before="0"/>
              <w:ind w:right="53"/>
              <w:rPr>
                <w:sz w:val="20"/>
              </w:rPr>
            </w:pPr>
            <w:r>
              <w:rPr>
                <w:sz w:val="20"/>
              </w:rPr>
              <w:t>&lt;/span&gt;</w:t>
              <w:tab/>
              <w:t>&lt;/span&gt;</w:t>
              <w:tab/>
              <w:t>&lt;/span&gt; &lt;/span&gt;&lt;/p&gt;&lt;p style="line-height: 1.7999999999999998; text-align: justify; margin-top: 12pt; margin-bottom: 12pt;" dir="ltr"&gt; &lt;span style="color: #000000; background-color: #ffffff; font-weight: 700; font-style: normal; font-variant: </w:t>
            </w:r>
            <w:r>
              <w:rPr>
                <w:spacing w:val="-3"/>
                <w:sz w:val="20"/>
              </w:rPr>
              <w:t>normal; </w:t>
            </w:r>
            <w:r>
              <w:rPr>
                <w:sz w:val="20"/>
              </w:rPr>
              <w:t>text-decoration: none; vertical-align: baseline; white-space: pre-wrap;"&gt;</w:t>
              <w:tab/>
              <w:t>&lt;span</w:t>
            </w:r>
          </w:p>
          <w:p>
            <w:pPr>
              <w:pStyle w:val="TableParagraph"/>
              <w:tabs>
                <w:tab w:pos="1550" w:val="left" w:leader="none"/>
                <w:tab w:pos="2549" w:val="left" w:leader="none"/>
                <w:tab w:pos="6020" w:val="left" w:leader="none"/>
              </w:tabs>
              <w:spacing w:line="208" w:lineRule="auto" w:before="0"/>
              <w:ind w:right="63"/>
              <w:rPr>
                <w:sz w:val="20"/>
              </w:rPr>
            </w:pPr>
            <w:r>
              <w:rPr>
                <w:sz w:val="20"/>
              </w:rPr>
              <w:t>style="font-size: small;"&gt;</w:t>
              <w:tab/>
              <w:t>&lt;span style="font-size: medium;"&gt;</w:t>
              <w:tab/>
              <w:t>&lt;span style="font-size: medium;"&gt;</w:t>
              <w:tab/>
              <w:t>&lt;span style="font-size: medium;"&gt;II. QUESTÃO EM</w:t>
            </w:r>
            <w:r>
              <w:rPr>
                <w:spacing w:val="-17"/>
                <w:sz w:val="20"/>
              </w:rPr>
              <w:t> </w:t>
            </w:r>
            <w:r>
              <w:rPr>
                <w:sz w:val="20"/>
              </w:rPr>
              <w:t>DISCUSSÃO&lt;/span&gt;</w:t>
            </w:r>
          </w:p>
          <w:p>
            <w:pPr>
              <w:pStyle w:val="TableParagraph"/>
              <w:tabs>
                <w:tab w:pos="1096" w:val="left" w:leader="none"/>
                <w:tab w:pos="2041" w:val="left" w:leader="none"/>
              </w:tabs>
              <w:spacing w:line="208" w:lineRule="auto" w:before="0"/>
              <w:ind w:right="53"/>
              <w:rPr>
                <w:sz w:val="20"/>
              </w:rPr>
            </w:pPr>
            <w:r>
              <w:rPr>
                <w:sz w:val="20"/>
              </w:rPr>
              <w:t>&lt;/span&gt;</w:t>
              <w:tab/>
              <w:t>&lt;/span&gt;</w:t>
              <w:tab/>
              <w:t>&lt;/span&gt; &lt;/span&gt;&lt;/p&gt;&lt;p style="line-height: 1.7999999999999998; text-align: justify; margin-top: 12pt; margin-bottom: 12pt;" dir="ltr"&gt; &lt;span style="color: #000000; background-color: #ffffff; font-weight: 400; font-style: normal; font-variant:</w:t>
            </w:r>
            <w:r>
              <w:rPr>
                <w:spacing w:val="3"/>
                <w:sz w:val="20"/>
              </w:rPr>
              <w:t> </w:t>
            </w:r>
            <w:r>
              <w:rPr>
                <w:spacing w:val="-3"/>
                <w:sz w:val="20"/>
              </w:rPr>
              <w:t>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50" w:val="left" w:leader="none"/>
                <w:tab w:pos="1963" w:val="left" w:leader="none"/>
                <w:tab w:pos="2549" w:val="left" w:leader="none"/>
                <w:tab w:pos="3019" w:val="left" w:leader="none"/>
                <w:tab w:pos="3964" w:val="left" w:leader="none"/>
                <w:tab w:pos="6020" w:val="left" w:leader="none"/>
                <w:tab w:pos="6553" w:val="left" w:leader="none"/>
              </w:tabs>
              <w:spacing w:line="208" w:lineRule="auto" w:before="26"/>
              <w:ind w:right="115"/>
              <w:rPr>
                <w:sz w:val="20"/>
              </w:rPr>
            </w:pPr>
            <w:r>
              <w:rPr>
                <w:sz w:val="20"/>
              </w:rPr>
              <w:t>text-decoration: none; vertical-align: baseline; white-space: pre-wrap;"&gt;</w:t>
              <w:tab/>
              <w:t>&lt;span style="font-size: small;"&gt;</w:t>
              <w:tab/>
              <w:t>&lt;span style="font-size: medium;"&gt;</w:t>
              <w:tab/>
              <w:t>&lt;span style="font-size: medium;"&gt;</w:t>
              <w:tab/>
              <w:t>&lt;span style="font-size: medium;"&gt;2. (I) Prescrição e decadência; (II) a validade ou não do contrato supostamente pactuado entre as partes; (III) cabimento de condenação em danos morais; (IV) quantificação do dano moral e IV) repetição do indébito.&lt;/span&gt;</w:t>
              <w:tab/>
              <w:tab/>
              <w:t>&lt;/span&gt;</w:t>
              <w:tab/>
              <w:t>&lt;/span&gt;</w:t>
              <w:tab/>
              <w:t>&lt;/span&gt; &lt;/span&gt;&lt;/p&gt;&lt;p style="line-height: 1.7999999999999998; text-align: justify; margin-top: 12pt; margin-bottom: 12pt;" dir="ltr"&gt;</w:t>
            </w:r>
          </w:p>
          <w:p>
            <w:pPr>
              <w:pStyle w:val="TableParagraph"/>
              <w:tabs>
                <w:tab w:pos="939" w:val="left" w:leader="none"/>
                <w:tab w:pos="2029" w:val="left" w:leader="none"/>
                <w:tab w:pos="3016" w:val="left" w:leader="none"/>
                <w:tab w:pos="3085" w:val="left" w:leader="none"/>
                <w:tab w:pos="4030" w:val="left" w:leader="none"/>
                <w:tab w:pos="7525" w:val="left" w:leader="none"/>
              </w:tabs>
              <w:spacing w:line="208" w:lineRule="auto" w:before="0"/>
              <w:ind w:right="76"/>
              <w:rPr>
                <w:sz w:val="20"/>
              </w:rPr>
            </w:pPr>
            <w:r>
              <w:rPr>
                <w:sz w:val="20"/>
              </w:rPr>
              <w:t>&lt;span style="color: #000000; background-color: #ffffff; font-weight: 700; font-style: normal;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medium;"&gt;III. RAZÕES DE DECIDIR&lt;/span&gt;</w:t>
              <w:tab/>
              <w:t>&lt;/span&gt;</w:t>
              <w:tab/>
              <w:tab/>
              <w:t>&lt;/span&gt;</w:t>
              <w:tab/>
              <w:t>&lt;/span&gt; &lt;/span&gt;&lt;/p&gt;&lt;p style="line-height: 1.7999999999999998; text-align: justify; margin-top: 12pt; margin-bottom: 12pt;" dir="ltr"&gt;</w:t>
            </w:r>
          </w:p>
          <w:p>
            <w:pPr>
              <w:pStyle w:val="TableParagraph"/>
              <w:tabs>
                <w:tab w:pos="939" w:val="left" w:leader="none"/>
                <w:tab w:pos="1852" w:val="left" w:leader="none"/>
                <w:tab w:pos="2908" w:val="left" w:leader="none"/>
                <w:tab w:pos="3016" w:val="left" w:leader="none"/>
                <w:tab w:pos="3853" w:val="left" w:leader="none"/>
                <w:tab w:pos="4054" w:val="left" w:leader="none"/>
                <w:tab w:pos="7525" w:val="left" w:leader="none"/>
              </w:tabs>
              <w:spacing w:line="208" w:lineRule="auto" w:before="0"/>
              <w:ind w:right="53"/>
              <w:rPr>
                <w:sz w:val="20"/>
              </w:rPr>
            </w:pPr>
            <w:r>
              <w:rPr>
                <w:sz w:val="20"/>
              </w:rPr>
              <w:t>&lt;span style="color: #000000; background-color: #ffffff; font-weight: 400; font-style: normal; font-variant: normal; text-decoration: none; vertical-align: baseline; white-space: pre- wrap;"&gt;</w:t>
              <w:tab/>
              <w:t>&lt;span style="font-size: small;"&gt;</w:t>
              <w:tab/>
              <w:tab/>
              <w:t>&lt;span style="font-size: medium;"&gt;</w:t>
              <w:tab/>
              <w:t>&lt;span style="font-size: medium;"&gt;</w:t>
              <w:tab/>
              <w:tab/>
              <w:t>&lt;span style="font-size: medium;"&gt;3. Cumpre pontuar </w:t>
            </w:r>
            <w:r>
              <w:rPr>
                <w:spacing w:val="-6"/>
                <w:sz w:val="20"/>
              </w:rPr>
              <w:t>que </w:t>
            </w:r>
            <w:r>
              <w:rPr>
                <w:sz w:val="20"/>
              </w:rPr>
              <w:t>a relação da presente lide é regida pelo Código de defesa do Consumidor (Lei nº 8.079/90), por se tratar de relação de consumo, conforme os artigos 2º e 3º do citado código.&lt;/span&gt;</w:t>
              <w:tab/>
              <w:t>&lt;/span&gt;</w:t>
              <w:tab/>
              <w:t>&lt;/span&gt;</w:t>
              <w:tab/>
              <w:t>&lt;/span&gt; &lt;/span&gt;&lt;/p&gt;&lt;p style="line-height: 1.7999999999999998; text-align: justify; margin-top: 12pt; margin-bottom: 12pt;" dir="ltr"&gt;</w:t>
            </w:r>
          </w:p>
          <w:p>
            <w:pPr>
              <w:pStyle w:val="TableParagraph"/>
              <w:tabs>
                <w:tab w:pos="1763" w:val="left" w:leader="none"/>
                <w:tab w:pos="1905" w:val="left" w:leader="none"/>
                <w:tab w:pos="2551" w:val="left" w:leader="none"/>
                <w:tab w:pos="2741" w:val="left" w:leader="none"/>
                <w:tab w:pos="3044" w:val="left" w:leader="none"/>
                <w:tab w:pos="3686" w:val="left" w:leader="none"/>
                <w:tab w:pos="4685" w:val="left" w:leader="none"/>
                <w:tab w:pos="5086" w:val="left" w:leader="none"/>
                <w:tab w:pos="5377" w:val="left" w:leader="none"/>
                <w:tab w:pos="6404" w:val="left" w:leader="none"/>
                <w:tab w:pos="7331" w:val="left" w:leader="none"/>
              </w:tabs>
              <w:spacing w:line="208" w:lineRule="auto" w:before="0"/>
              <w:ind w:right="143"/>
              <w:rPr>
                <w:sz w:val="20"/>
              </w:rPr>
            </w:pPr>
            <w:r>
              <w:rPr>
                <w:sz w:val="20"/>
              </w:rPr>
              <w:t>&lt;span style="font-size: small;"&gt;</w:t>
              <w:tab/>
              <w:t>&lt;span style="font-size: medium;"&gt;</w:t>
              <w:tab/>
              <w:t>&lt;span </w:t>
            </w:r>
            <w:r>
              <w:rPr>
                <w:spacing w:val="-2"/>
                <w:sz w:val="20"/>
              </w:rPr>
              <w:t>style="font- </w:t>
            </w:r>
            <w:r>
              <w:rPr>
                <w:sz w:val="20"/>
              </w:rPr>
              <w:t>size: medium;"&gt;</w:t>
              <w:tab/>
              <w:tab/>
              <w:t>&lt;span style="font-size: medium;"&gt;</w:t>
              <w:tab/>
              <w:tab/>
              <w:t>&lt;span style="color: #000000; background-color: #ffffff; font-weight: 400; font-style: normal; font-variant: normal; text- decoration: none; vertical-align: baseline; white-space: pre-wrap;"&gt;4.&lt;/span&gt;</w:t>
              <w:tab/>
              <w:t>&lt;span style="color: #000000; background-color: transparent; font-weight: 400; font-style: normal; font-variant: normal; text-decoration: none; vertical-align: baseline; white-space: pre- wrap;"&gt;Aplicável ao caso o prazo prescricional de 05 (cinco) anos, nos termos do artigo&lt;/span&gt;</w:t>
              <w:tab/>
              <w:t>&lt;span style="font-size: 14pt; color: #000000; background-color: transparent; font-weight: 400; font-style: normal; font-variant: normal; text-decoration-skip- ink: none; vertical-align: baseline; white-space: pre-wrap; text-decoration: underline;"&gt;27&lt;/span&gt;</w:t>
              <w:tab/>
              <w:t>&lt;span style="color: #000000; background-color: transparent; font-weight: 400; font-style: normal; font-variant: normal; text-decoration: none; vertical- align: baseline; white-space: pre-wrap;"&gt;do&lt;/span&gt;</w:t>
              <w:tab/>
              <w:tab/>
              <w:t>&lt;span style="font-size: 14pt; color: #000000; background-color: transparent; font-weight: 400; font-style: normal; font- variant: normal; text-decoration-skip-ink: none; vertical-align: baseline; white-space: pre- wrap; text-decoration: underline;"&gt;CDC&lt;/span&gt;</w:t>
              <w:tab/>
              <w:t>&lt;span style="color: #000000; background-color: transparent; font-weight: 400; font-style: normal; font-variant: normal; text-decoration: none; vertical-align: baseline; white-space: pre-wrap;"&gt;, para dedução da pretensão reparatória dos eventuais danos causados por fato do produto ou do serviço, bem como do início da contagem do prazo nos casos de empréstimo consignado. Assim, em se tratando de prescrição de trato sucessivo, este se renova mês a mês, através dos descontos nos proventos da recorrente. Nesse caso verificando-se que os descontos referentes ao empréstimo em discussão, tiveram início em 08/2020 e a propositura da ação se deu em 09/2024, tem-se que a pretensão da autora não foi atingida pela prescrição&lt;/span&gt;&lt;/span&gt;</w:t>
              <w:tab/>
              <w:tab/>
              <w:t>&lt;/span&gt;</w:t>
              <w:tab/>
              <w:t>&lt;/span&gt; &lt;/span&gt;&lt;/p&gt;&lt;p style="line-height: 1.7999999999999998; text-align: justify; margin-top: 12pt; margin-bottom: 12pt;" dir="ltr"&gt;</w:t>
            </w:r>
          </w:p>
          <w:p>
            <w:pPr>
              <w:pStyle w:val="TableParagraph"/>
              <w:tabs>
                <w:tab w:pos="1905" w:val="left" w:leader="none"/>
                <w:tab w:pos="3044" w:val="left" w:leader="none"/>
                <w:tab w:pos="5377" w:val="left" w:leader="none"/>
                <w:tab w:pos="6404" w:val="left" w:leader="none"/>
                <w:tab w:pos="7133" w:val="left" w:leader="none"/>
                <w:tab w:pos="7331" w:val="left" w:leader="none"/>
              </w:tabs>
              <w:spacing w:line="208" w:lineRule="auto" w:before="0"/>
              <w:ind w:right="107"/>
              <w:rPr>
                <w:sz w:val="20"/>
              </w:rPr>
            </w:pPr>
            <w:r>
              <w:rPr>
                <w:sz w:val="20"/>
              </w:rPr>
              <w:t>&lt;span style="font-size: small;"&gt;</w:t>
              <w:tab/>
              <w:t>&lt;span style="font-size: medium;"&gt;</w:t>
              <w:tab/>
              <w:t>&lt;span style="font- size: medium;"&gt;</w:t>
              <w:tab/>
              <w:t>&lt;span style="font-size: medium;"&gt;</w:t>
              <w:tab/>
              <w:t>&lt;span style="color: #000000; background-color: #ffffff; font-weight: 400; font-style: normal; font-variant: normal; text- decoration: none; vertical-align: baseline; white-space: pre-wrap;"&gt;5.&lt;/span&gt;</w:t>
              <w:tab/>
              <w:tab/>
              <w:t>&lt;span style="color: #000000; background-color: transparent; font-weight: 400; font-style: normal; font-variant: normal; text-decoration: none; vertical-align: baseline; white-space: pre- wrap;"&gt;Na espécie, se deu por caracterizada a falha na prestação dos serviços da instituição financeira que não demonstrou a regular contratação do negócio jurídico impugnado nos autos. O banco não se encarregou de demonstrar o ônus que lhe competia, segundo a regra do art. 373, inc. II, do CPC. O argumento do apelante, ora agravante, de que o contrato seria válido, não se sustenta. Era dever do ente bancário, </w:t>
            </w:r>
            <w:r>
              <w:rPr>
                <w:spacing w:val="-9"/>
                <w:sz w:val="20"/>
              </w:rPr>
              <w:t>ao </w:t>
            </w:r>
            <w:r>
              <w:rPr>
                <w:sz w:val="20"/>
              </w:rPr>
              <w:t>celebrar contrato, proceder com cautela na identificação do consumidor, verificando a autenticidade dos documentos que lhe foram apresentados.&lt;/span&gt;&lt;/span&gt;</w:t>
              <w:tab/>
              <w:t>&lt;/span&gt;</w:t>
            </w:r>
          </w:p>
          <w:p>
            <w:pPr>
              <w:pStyle w:val="TableParagraph"/>
              <w:tabs>
                <w:tab w:pos="1905" w:val="left" w:leader="none"/>
                <w:tab w:pos="2794" w:val="left" w:leader="none"/>
                <w:tab w:pos="3640" w:val="left" w:leader="none"/>
                <w:tab w:pos="6265" w:val="left" w:leader="none"/>
                <w:tab w:pos="7459" w:val="left" w:leader="none"/>
              </w:tabs>
              <w:spacing w:line="208" w:lineRule="auto" w:before="0"/>
              <w:ind w:right="42"/>
              <w:rPr>
                <w:sz w:val="20"/>
              </w:rPr>
            </w:pPr>
            <w:r>
              <w:rPr>
                <w:sz w:val="20"/>
              </w:rPr>
              <w:t>&lt;/span&gt; &lt;/span&gt;&lt;/p&gt;&lt;p style="line-height: 1.7999999999999998; text-align: justify; margin-top: 12pt; margin-bottom: 12pt;" dir="ltr"&gt;  &lt;span style="font-size: small;"&gt;</w:t>
              <w:tab/>
              <w:t>&lt;span style="font-size: medium;"&gt;</w:t>
              <w:tab/>
              <w:t>&lt;span style="font-size: medium;"&gt;</w:t>
              <w:tab/>
              <w:t>&lt;span style="font- size: medium;"&gt;</w:t>
              <w:tab/>
              <w:t>&lt;span style="color: #000000; background-color: #ffffff; font-weight: 400; font-style: normal; font-variant: normal; text-decoration: none; vertical-align: baseline; white-space: pre-wrap;"&gt;6.&lt;/span&gt;</w:t>
              <w:tab/>
              <w:t>&lt;span style="color: #000000; background-color: transparent; font-weight: 400; font-style: normal; font-variant: normal; text-decoration: </w:t>
            </w:r>
            <w:r>
              <w:rPr>
                <w:spacing w:val="-4"/>
                <w:sz w:val="20"/>
              </w:rPr>
              <w:t>none; </w:t>
            </w:r>
            <w:r>
              <w:rPr>
                <w:sz w:val="20"/>
              </w:rPr>
              <w:t>vertical-align: baseline; white-space: pre-wrap;"&gt;Na hipótese dos autos, saliente-se que intimadas para se manifestarem acerca da produção de provas, o autor requereu a realização de perícia grafotécnica, enquanto o Banco requerido pugnou pelo julgamento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687" w:val="left" w:leader="none"/>
                <w:tab w:pos="6632" w:val="left" w:leader="none"/>
              </w:tabs>
              <w:spacing w:line="208" w:lineRule="auto" w:before="26"/>
              <w:ind w:right="119"/>
              <w:rPr>
                <w:sz w:val="20"/>
              </w:rPr>
            </w:pPr>
            <w:r>
              <w:rPr>
                <w:sz w:val="20"/>
              </w:rPr>
              <w:t>antecipado. Assim, não reconhecida a assinatura, a contratação questionada deve ser considerada inexistente, acarretando, por conseguinte, o dever de indenizar o consumidor pelos danos morais e materiais suportados.&lt;/span&gt;&lt;/span&gt;</w:t>
              <w:tab/>
              <w:t>&lt;/span&gt;</w:t>
              <w:tab/>
              <w:t>&lt;/span&gt;</w:t>
            </w:r>
          </w:p>
          <w:p>
            <w:pPr>
              <w:pStyle w:val="TableParagraph"/>
              <w:tabs>
                <w:tab w:pos="4562" w:val="left" w:leader="none"/>
              </w:tabs>
              <w:spacing w:line="208" w:lineRule="auto" w:before="0"/>
              <w:ind w:right="42"/>
              <w:rPr>
                <w:sz w:val="20"/>
              </w:rPr>
            </w:pPr>
            <w:r>
              <w:rPr>
                <w:sz w:val="20"/>
              </w:rPr>
              <w:t>&lt;/span&gt;&lt;/p&gt;&lt;p style="line-height: 1.7999999999999998; text-align: justify; margin-top: 12pt; margin-bottom: 12pt;"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7093" w:val="left" w:leader="none"/>
              </w:tabs>
              <w:spacing w:line="208" w:lineRule="auto" w:before="0"/>
              <w:ind w:right="77"/>
              <w:rPr>
                <w:sz w:val="20"/>
              </w:rPr>
            </w:pPr>
            <w:r>
              <w:rPr>
                <w:sz w:val="20"/>
              </w:rPr>
              <w:t>&lt;span style="font-size: medium;"&gt;</w:t>
              <w:tab/>
              <w:t>&lt;span style="font-size: medium;"&gt;</w:t>
              <w:tab/>
              <w:t>&lt;span style="font-size: medium;"&gt;7. Demonstrada a falha na prestação dos serviços, configurado está o ilícito civil, o qual enseja pronta reparação dos danos causados, nos termos do art. 14 do Código de Defesa do Consumidor e arts. 186 e 927 do Código Civil.&lt;/span&gt;</w:t>
            </w:r>
          </w:p>
          <w:p>
            <w:pPr>
              <w:pStyle w:val="TableParagraph"/>
              <w:tabs>
                <w:tab w:pos="1096" w:val="left" w:leader="none"/>
                <w:tab w:pos="1550" w:val="left" w:leader="none"/>
                <w:tab w:pos="2041" w:val="left" w:leader="none"/>
                <w:tab w:pos="2549" w:val="left" w:leader="none"/>
                <w:tab w:pos="6020" w:val="left" w:leader="none"/>
                <w:tab w:pos="7275" w:val="left" w:leader="none"/>
              </w:tabs>
              <w:spacing w:line="208" w:lineRule="auto" w:before="0"/>
              <w:ind w:right="41"/>
              <w:rPr>
                <w:sz w:val="20"/>
              </w:rPr>
            </w:pPr>
            <w:r>
              <w:rPr>
                <w:sz w:val="20"/>
              </w:rPr>
              <w:t>&lt;/span&gt;</w:t>
              <w:tab/>
              <w:t>&lt;/span&gt;</w:t>
              <w:tab/>
              <w:t>&lt;/span&gt; &lt;/span&gt;&lt;/p&gt;&lt;p style="line-height: 1.7999999999999998; text-align: justify; margin-top: 12pt; margin-bottom: 12pt;"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ab/>
              <w:t>&lt;span style="font-size: medium;"&gt;8. Quanto ao valor da indenização, consoante parâmetros adotados na jurisprudência deste Tribunal de Justiça, e o total do valor descontado em desfavor da consumidora, a quantia de R$ 4.000,00 (quatro mil </w:t>
            </w:r>
            <w:r>
              <w:rPr>
                <w:spacing w:val="-3"/>
                <w:sz w:val="20"/>
              </w:rPr>
              <w:t>reais) </w:t>
            </w:r>
            <w:r>
              <w:rPr>
                <w:sz w:val="20"/>
              </w:rPr>
              <w:t>arbitrada no primeiro grau se revela suficiente a reparar o dano experimentado, sem representar enriquecimento sem causa, ao mesmo tempo em que serve para desestimular a reiteração de práticas dessa natureza pela instituição financeira.&amp;#160;&lt;/span&gt;</w:t>
            </w:r>
          </w:p>
          <w:p>
            <w:pPr>
              <w:pStyle w:val="TableParagraph"/>
              <w:tabs>
                <w:tab w:pos="1096" w:val="left" w:leader="none"/>
                <w:tab w:pos="2041" w:val="left" w:leader="none"/>
                <w:tab w:pos="6553" w:val="left" w:leader="none"/>
              </w:tabs>
              <w:spacing w:line="208" w:lineRule="auto" w:before="0"/>
              <w:ind w:right="53"/>
              <w:rPr>
                <w:sz w:val="20"/>
              </w:rPr>
            </w:pPr>
            <w:r>
              <w:rPr>
                <w:sz w:val="20"/>
              </w:rPr>
              <w:t>&lt;/span&gt;</w:t>
              <w:tab/>
              <w:t>&lt;/span&gt;</w:t>
              <w:tab/>
              <w:t>&lt;/span&gt; &lt;/span&gt;&lt;/p&gt;&lt;p style="line-height: 1.7999999999999998; text-align: justify; margin-top: 12pt; margin-bottom: 12pt;" dir="ltr"&gt; &lt;span style="color: #000000; background-color: #ffffff; font-weight: 700; font-style: normal; font-variant: </w:t>
            </w:r>
            <w:r>
              <w:rPr>
                <w:spacing w:val="-3"/>
                <w:sz w:val="20"/>
              </w:rPr>
              <w:t>normal; </w:t>
            </w:r>
            <w:r>
              <w:rPr>
                <w:sz w:val="20"/>
              </w:rPr>
              <w:t>text-decoration: none; vertical-align: baseline; white-space: pre-wrap;"&gt;</w:t>
              <w:tab/>
              <w:t>&lt;span</w:t>
            </w:r>
          </w:p>
          <w:p>
            <w:pPr>
              <w:pStyle w:val="TableParagraph"/>
              <w:tabs>
                <w:tab w:pos="1550" w:val="left" w:leader="none"/>
                <w:tab w:pos="2549" w:val="left" w:leader="none"/>
                <w:tab w:pos="6020" w:val="left" w:leader="none"/>
              </w:tabs>
              <w:spacing w:line="208" w:lineRule="auto" w:before="0"/>
              <w:ind w:right="115"/>
              <w:rPr>
                <w:sz w:val="20"/>
              </w:rPr>
            </w:pPr>
            <w:r>
              <w:rPr>
                <w:sz w:val="20"/>
              </w:rPr>
              <w:t>style="font-size: small;"&gt;</w:t>
              <w:tab/>
              <w:t>&lt;span style="font-size: medium;"&gt;</w:t>
              <w:tab/>
              <w:t>&lt;span style="font-size: medium;"&gt;</w:t>
              <w:tab/>
              <w:t>&lt;span style="font-size: medium;"&gt;IV. DISPOSITIVO E TESE&lt;/span&gt;</w:t>
            </w:r>
          </w:p>
          <w:p>
            <w:pPr>
              <w:pStyle w:val="TableParagraph"/>
              <w:tabs>
                <w:tab w:pos="1096" w:val="left" w:leader="none"/>
                <w:tab w:pos="2041" w:val="left" w:leader="none"/>
                <w:tab w:pos="6553" w:val="left" w:leader="none"/>
              </w:tabs>
              <w:spacing w:line="208" w:lineRule="auto" w:before="0"/>
              <w:ind w:right="53"/>
              <w:rPr>
                <w:sz w:val="20"/>
              </w:rPr>
            </w:pPr>
            <w:r>
              <w:rPr>
                <w:sz w:val="20"/>
              </w:rPr>
              <w:t>&lt;/span&gt;</w:t>
              <w:tab/>
              <w:t>&lt;/span&gt;</w:t>
              <w:tab/>
              <w:t>&lt;/span&gt; &lt;/span&gt;&lt;/p&gt;&lt;p style="line-height: 1.7999999999999998; text-align: justify; margin-top: 12pt; margin-bottom: 12pt;" dir="ltr"&gt; &lt;span style="color: #000000; background-color: #ffffff; font-weight: 400; font-style: normal; font-variant: </w:t>
            </w:r>
            <w:r>
              <w:rPr>
                <w:spacing w:val="-3"/>
                <w:sz w:val="20"/>
              </w:rPr>
              <w:t>normal; </w:t>
            </w:r>
            <w:r>
              <w:rPr>
                <w:sz w:val="20"/>
              </w:rPr>
              <w:t>text-decoration: none; vertical-align: baseline; white-space: pre-wrap;"&gt;</w:t>
              <w:tab/>
              <w:t>&lt;span</w:t>
            </w:r>
          </w:p>
          <w:p>
            <w:pPr>
              <w:pStyle w:val="TableParagraph"/>
              <w:tabs>
                <w:tab w:pos="1550" w:val="left" w:leader="none"/>
                <w:tab w:pos="2241" w:val="left" w:leader="none"/>
                <w:tab w:pos="2549" w:val="left" w:leader="none"/>
                <w:tab w:pos="3297" w:val="left" w:leader="none"/>
                <w:tab w:pos="4242" w:val="left" w:leader="none"/>
                <w:tab w:pos="6020" w:val="left" w:leader="none"/>
              </w:tabs>
              <w:spacing w:line="208" w:lineRule="auto" w:before="0"/>
              <w:ind w:right="92"/>
              <w:rPr>
                <w:sz w:val="20"/>
              </w:rPr>
            </w:pPr>
            <w:r>
              <w:rPr>
                <w:sz w:val="20"/>
              </w:rPr>
              <w:t>style="font-size: small;"&gt;</w:t>
              <w:tab/>
              <w:tab/>
              <w:t>&lt;span style="font-size: medium;"&gt;</w:t>
              <w:tab/>
              <w:t>&lt;span style="font-size: medium;"&gt;</w:t>
              <w:tab/>
              <w:t>&lt;span style="font-size: medium;"&gt;9. . Recurso conhecido e desprovido.&lt;/span&gt;</w:t>
              <w:tab/>
              <w:t>&lt;/span&gt;</w:t>
              <w:tab/>
              <w:t>&lt;/span&gt;</w:t>
              <w:tab/>
              <w:t>&lt;/span&gt; &lt;/span&gt;&lt;/p&gt;&lt;p style="line-height: 1.7999999999999998; text-align: justify; margin-top: 12pt; margin-bottom: 12pt;" dir="ltr"&gt;</w:t>
            </w:r>
          </w:p>
          <w:p>
            <w:pPr>
              <w:pStyle w:val="TableParagraph"/>
              <w:tabs>
                <w:tab w:pos="939" w:val="left" w:leader="none"/>
                <w:tab w:pos="3016" w:val="left" w:leader="none"/>
                <w:tab w:pos="4054" w:val="left" w:leader="none"/>
                <w:tab w:pos="7525" w:val="left" w:leader="none"/>
              </w:tabs>
              <w:spacing w:line="208" w:lineRule="auto" w:before="0"/>
              <w:ind w:right="76"/>
              <w:rPr>
                <w:sz w:val="20"/>
              </w:rPr>
            </w:pPr>
            <w:r>
              <w:rPr>
                <w:sz w:val="20"/>
              </w:rPr>
              <w:t>&lt;span style="color: #000000; background-color: #ffffff; font-weight: 700; font-style: italic;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medium;"&gt;&amp;#160;&lt;/span&gt;</w:t>
            </w:r>
          </w:p>
          <w:p>
            <w:pPr>
              <w:pStyle w:val="TableParagraph"/>
              <w:tabs>
                <w:tab w:pos="1096" w:val="left" w:leader="none"/>
                <w:tab w:pos="1939" w:val="left" w:leader="none"/>
                <w:tab w:pos="2041" w:val="left" w:leader="none"/>
                <w:tab w:pos="5055" w:val="left" w:leader="none"/>
              </w:tabs>
              <w:spacing w:line="208" w:lineRule="auto" w:before="0"/>
              <w:ind w:right="20"/>
              <w:rPr>
                <w:sz w:val="20"/>
              </w:rPr>
            </w:pPr>
            <w:r>
              <w:rPr>
                <w:sz w:val="20"/>
              </w:rPr>
              <w:t>&lt;/span&gt;</w:t>
              <w:tab/>
              <w:t>&lt;/span&gt;</w:t>
              <w:tab/>
              <w:tab/>
              <w:t>&lt;/span&gt; &lt;/span&gt;&lt;/p&gt;&lt;p style="line-height: 1.7999999999999998; margin-left: -56.69291338582677pt; text-align: center; margin-top: 12pt; margin-bottom: 12pt;" dir="ltr"&gt; &lt;span style="color: #000000; background-color: #ffffff; font-weight: 700;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1550" w:val="left" w:leader="none"/>
                <w:tab w:pos="3173" w:val="left" w:leader="none"/>
                <w:tab w:pos="3622" w:val="left" w:leader="none"/>
                <w:tab w:pos="4229" w:val="left" w:leader="none"/>
                <w:tab w:pos="5021" w:val="left" w:leader="none"/>
                <w:tab w:pos="5174" w:val="left" w:leader="none"/>
                <w:tab w:pos="6164" w:val="left" w:leader="none"/>
              </w:tabs>
              <w:spacing w:line="208" w:lineRule="auto" w:before="0"/>
              <w:ind w:right="104"/>
              <w:rPr>
                <w:sz w:val="20"/>
              </w:rPr>
            </w:pPr>
            <w:r>
              <w:rPr>
                <w:sz w:val="20"/>
              </w:rPr>
              <w:t>&lt;span style="font-size: medium;"&gt;</w:t>
              <w:tab/>
              <w:tab/>
              <w:t>&lt;span style="font-size: medium;"&gt;ACÓRDÃO&lt;/span&gt;</w:t>
              <w:tab/>
              <w:t>&lt;/span&gt;</w:t>
              <w:tab/>
              <w:t>&lt;/span&gt;</w:t>
              <w:tab/>
              <w:tab/>
              <w:t>&lt;/span&gt; &lt;/span&gt;&lt;/p&gt;&lt;p style="line-height: 1.7999999999999998; text-indent: 56.692913385826756pt; text-align: justify; margin-top: 12pt; margin-bottom: 12pt;" dir="ltr"&gt; &lt;span style="color: #000000; background-color: #ffffff; font-weight: 400; font-style: normal; font-variant: normal; text- decoration: none; vertical-align: baseline; white-space: pre-wrap;"&gt;</w:t>
              <w:tab/>
              <w:t>&lt;span style="font- size: small;"&gt;</w:t>
              <w:tab/>
              <w:t>&lt;span style="font-size: medium;"&gt;</w:t>
              <w:tab/>
              <w:t>&lt;span style="font-size:</w:t>
            </w:r>
            <w:r>
              <w:rPr>
                <w:spacing w:val="-17"/>
                <w:sz w:val="20"/>
              </w:rPr>
              <w:t> </w:t>
            </w:r>
            <w:r>
              <w:rPr>
                <w:sz w:val="20"/>
              </w:rPr>
              <w:t>medium;"&gt;</w:t>
            </w:r>
          </w:p>
          <w:p>
            <w:pPr>
              <w:pStyle w:val="TableParagraph"/>
              <w:tabs>
                <w:tab w:pos="1550" w:val="left" w:leader="none"/>
                <w:tab w:pos="2819" w:val="left" w:leader="none"/>
                <w:tab w:pos="3875" w:val="left" w:leader="none"/>
                <w:tab w:pos="4820" w:val="left" w:leader="none"/>
                <w:tab w:pos="5021" w:val="left" w:leader="none"/>
                <w:tab w:pos="6164" w:val="left" w:leader="none"/>
              </w:tabs>
              <w:spacing w:line="208" w:lineRule="auto" w:before="0"/>
              <w:ind w:right="104"/>
              <w:rPr>
                <w:sz w:val="20"/>
              </w:rPr>
            </w:pPr>
            <w:r>
              <w:rPr>
                <w:sz w:val="20"/>
              </w:rPr>
              <w:t>&lt;span style="font-size: medium;"&gt;Vistos, relatados e discutidos estes autos, acorda a Quinta Câmara Direito Privado do Tribunal de Justiça do Estado do Ceará, por unanimidade, em CONHECER do recurso para NEGAR-LHE PROVIMENTO, nos termos do voto do relator.&lt;/span&gt;</w:t>
              <w:tab/>
              <w:t>&lt;/span&gt;</w:t>
              <w:tab/>
              <w:t>&lt;/span&gt;</w:t>
              <w:tab/>
              <w:t>&lt;/span&gt; &lt;/span&gt;&lt;/p&gt;&lt;p style="line- height: 1.7999999999999998; text-indent: 56.692913385826756pt; text-align: justify; margin-top: 12pt; margin-bottom: 12pt;" dir="ltr"&gt; &lt;span style="color: #000000; background-color: #ffffff; font-weight: 400; font-style: normal; font-variant: normal; text- decoration: none; vertical-align: baseline; white-space: pre-wrap;"&gt;</w:t>
              <w:tab/>
              <w:t>&lt;span style="font- size: small;"&gt;</w:t>
              <w:tab/>
              <w:t>&lt;span style="font-size: medium;"&gt;</w:t>
              <w:tab/>
              <w:tab/>
              <w:t>&lt;span style="font-size:</w:t>
            </w:r>
            <w:r>
              <w:rPr>
                <w:spacing w:val="-17"/>
                <w:sz w:val="20"/>
              </w:rPr>
              <w:t> </w:t>
            </w:r>
            <w:r>
              <w:rPr>
                <w:sz w:val="20"/>
              </w:rPr>
              <w:t>medium;"&gt;</w:t>
            </w:r>
          </w:p>
          <w:p>
            <w:pPr>
              <w:pStyle w:val="TableParagraph"/>
              <w:tabs>
                <w:tab w:pos="3286" w:val="left" w:leader="none"/>
                <w:tab w:pos="3733" w:val="left" w:leader="none"/>
                <w:tab w:pos="4453" w:val="left" w:leader="none"/>
                <w:tab w:pos="5509" w:val="left" w:leader="none"/>
                <w:tab w:pos="6454" w:val="left" w:leader="none"/>
              </w:tabs>
              <w:spacing w:line="208" w:lineRule="auto" w:before="0"/>
              <w:ind w:right="269"/>
              <w:rPr>
                <w:sz w:val="20"/>
              </w:rPr>
            </w:pPr>
            <w:r>
              <w:rPr>
                <w:sz w:val="20"/>
              </w:rPr>
              <w:t>&lt;span style="font-size: medium;"&gt;</w:t>
              <w:tab/>
              <w:tab/>
              <w:t>&lt;span style="text-indent: 0px;"&gt;Fortaleza, </w:t>
            </w:r>
            <w:r>
              <w:rPr>
                <w:spacing w:val="-5"/>
                <w:sz w:val="20"/>
              </w:rPr>
              <w:t>data </w:t>
            </w:r>
            <w:r>
              <w:rPr>
                <w:sz w:val="20"/>
              </w:rPr>
              <w:t>registrada no sistema.&lt;/span&gt;</w:t>
              <w:tab/>
              <w:t>&lt;/span&gt;</w:t>
              <w:tab/>
              <w:t>&lt;/span&gt;</w:t>
              <w:tab/>
              <w:t>&lt;/span&gt;</w:t>
              <w:tab/>
              <w:t>&lt;/span&gt;</w:t>
            </w:r>
          </w:p>
          <w:p>
            <w:pPr>
              <w:pStyle w:val="TableParagraph"/>
              <w:spacing w:line="208" w:lineRule="auto" w:before="0"/>
              <w:ind w:right="275"/>
              <w:rPr>
                <w:sz w:val="20"/>
              </w:rPr>
            </w:pPr>
            <w:r>
              <w:rPr>
                <w:sz w:val="20"/>
              </w:rPr>
              <w:t>&lt;/span&gt;&lt;/p&gt;&lt;p style="line-height: 1.2; text-align: center; margin-top: 6pt; margin-bottom: 6pt;" dir="ltr"&gt; &lt;span style="color: #000000; background-color: #ffffff; font-weight: 700;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3041" w:val="left" w:leader="none"/>
                <w:tab w:pos="3622" w:val="left" w:leader="none"/>
                <w:tab w:pos="4097" w:val="left" w:leader="none"/>
                <w:tab w:pos="5042" w:val="left" w:leader="none"/>
              </w:tabs>
              <w:spacing w:line="208" w:lineRule="auto" w:before="0"/>
              <w:ind w:right="48"/>
              <w:rPr>
                <w:sz w:val="20"/>
              </w:rPr>
            </w:pPr>
            <w:r>
              <w:rPr>
                <w:sz w:val="20"/>
              </w:rPr>
              <w:t>&lt;span style="font-size: medium;"&gt;</w:t>
              <w:tab/>
              <w:t>&lt;span style="font-size: medium;"&gt;MARIA </w:t>
            </w:r>
            <w:r>
              <w:rPr>
                <w:spacing w:val="-3"/>
                <w:sz w:val="20"/>
              </w:rPr>
              <w:t>REGINA </w:t>
            </w:r>
            <w:r>
              <w:rPr>
                <w:sz w:val="20"/>
              </w:rPr>
              <w:t>OLIVEIRA CÂMARA&lt;/span&gt;</w:t>
              <w:tab/>
              <w:t>&lt;/span&gt;</w:t>
              <w:tab/>
              <w:t>&lt;/span&gt;</w:t>
              <w:tab/>
              <w:t>&lt;/span&gt; &lt;/span&gt;&lt;/p&gt;&lt;p style="line-height: 1.2; text-align: center; margin-top: 6pt; margin-bottom: 6pt;" dir="ltr"&gt;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39" w:val="left" w:leader="none"/>
                <w:tab w:pos="1974" w:val="left" w:leader="none"/>
                <w:tab w:pos="3016" w:val="left" w:leader="none"/>
                <w:tab w:pos="3975" w:val="left" w:leader="none"/>
                <w:tab w:pos="4054" w:val="left" w:leader="none"/>
                <w:tab w:pos="7525" w:val="left" w:leader="none"/>
              </w:tabs>
              <w:spacing w:line="208" w:lineRule="auto" w:before="26"/>
              <w:ind w:right="76"/>
              <w:rPr>
                <w:sz w:val="20"/>
              </w:rPr>
            </w:pPr>
            <w:r>
              <w:rPr>
                <w:sz w:val="20"/>
              </w:rPr>
              <w:t>&lt;span style="color: #000000; background-color: #ffffff; font-weight: 700; font-style: normal; font-variant: normal; text-decoration: none; vertical-align: baseline; white-space: pre- wrap;"&gt;</w:t>
              <w:tab/>
              <w:t>&lt;span style="font-size: small;"&gt;</w:t>
              <w:tab/>
              <w:tab/>
              <w:t>&lt;span style="font-size: medium;"&gt;</w:t>
              <w:tab/>
            </w:r>
            <w:r>
              <w:rPr>
                <w:spacing w:val="-4"/>
                <w:sz w:val="20"/>
              </w:rPr>
              <w:t>&lt;span </w:t>
            </w:r>
            <w:r>
              <w:rPr>
                <w:sz w:val="20"/>
              </w:rPr>
              <w:t>style="font-size: medium;"&gt;</w:t>
              <w:tab/>
              <w:t>&lt;span style="font-size: medium;"&gt;Presidente do Órgão Julgador&lt;/span&gt;</w:t>
              <w:tab/>
              <w:t>&lt;/span&gt;</w:t>
              <w:tab/>
              <w:t>&lt;/span&gt;</w:t>
              <w:tab/>
              <w:t>&lt;/span&gt; &lt;/span&gt;&lt;/p&gt;&lt;p style="line-height: 100%; orphans: 0; widows: 0; margin-bottom: 0.21cm;" align="justify"&gt; &lt;strong id="docs- internal-guid-a619c4a9-7fff-0fe3-23e8-a09f9eb66374" style="font-weight: normal;"&gt;</w:t>
            </w:r>
          </w:p>
          <w:p>
            <w:pPr>
              <w:pStyle w:val="TableParagraph"/>
              <w:tabs>
                <w:tab w:pos="3016" w:val="left" w:leader="none"/>
                <w:tab w:pos="3155" w:val="left" w:leader="none"/>
                <w:tab w:pos="6626" w:val="left" w:leader="none"/>
                <w:tab w:pos="6709" w:val="left" w:leader="none"/>
              </w:tabs>
              <w:spacing w:line="208" w:lineRule="auto" w:before="0"/>
              <w:ind w:right="920"/>
              <w:rPr>
                <w:sz w:val="20"/>
              </w:rPr>
            </w:pPr>
            <w:r>
              <w:rPr>
                <w:sz w:val="20"/>
              </w:rPr>
              <w:t>&lt;span style="font-size: small;"&gt;</w:t>
              <w:tab/>
              <w:tab/>
              <w:t>&lt;span style="font-size: medium;"&gt;</w:t>
              <w:tab/>
              <w:t>&lt;span style="font-size: medium;"&gt;</w:t>
              <w:tab/>
              <w:t>&lt;span style="font-size: medium;"&gt;</w:t>
              <w:tab/>
              <w:tab/>
              <w:t>&lt;br</w:t>
            </w:r>
            <w:r>
              <w:rPr>
                <w:spacing w:val="1"/>
                <w:sz w:val="20"/>
              </w:rPr>
              <w:t> </w:t>
            </w:r>
            <w:r>
              <w:rPr>
                <w:spacing w:val="-9"/>
                <w:sz w:val="20"/>
              </w:rPr>
              <w:t>/&gt;</w:t>
            </w:r>
          </w:p>
          <w:p>
            <w:pPr>
              <w:pStyle w:val="TableParagraph"/>
              <w:tabs>
                <w:tab w:pos="1118" w:val="left" w:leader="none"/>
                <w:tab w:pos="2285" w:val="left" w:leader="none"/>
                <w:tab w:pos="3341" w:val="left" w:leader="none"/>
                <w:tab w:pos="4286" w:val="left" w:leader="none"/>
              </w:tabs>
              <w:spacing w:line="208" w:lineRule="auto" w:before="0"/>
              <w:ind w:right="287"/>
              <w:rPr>
                <w:sz w:val="20"/>
              </w:rPr>
            </w:pPr>
            <w:r>
              <w:rPr>
                <w:sz w:val="20"/>
              </w:rPr>
              <w:t>&lt;br /&gt;</w:t>
              <w:tab/>
              <w:t>&lt;/span&gt;</w:t>
              <w:tab/>
              <w:t>&lt;/span&gt;</w:t>
              <w:tab/>
              <w:t>&lt;/span&gt;</w:t>
              <w:tab/>
              <w:t>&lt;/span&gt; &lt;/strong&gt;&lt;/p&gt;&lt;p style="line- height: 1.2; text-align: center; margin-top: 6pt; margin-bottom: 6pt;" dir="ltr"&gt; &lt;span style="color: #000000; background-color: #ffffff; font-weight: 700; font-style: normal; </w:t>
            </w:r>
            <w:r>
              <w:rPr>
                <w:spacing w:val="-4"/>
                <w:sz w:val="20"/>
              </w:rPr>
              <w:t>font- </w:t>
            </w:r>
            <w:r>
              <w:rPr>
                <w:sz w:val="20"/>
              </w:rPr>
              <w:t>variant: normal; text-decoration: none; vertical-align: baseline; white-space: pre-wrap;"&gt;</w:t>
            </w:r>
          </w:p>
          <w:p>
            <w:pPr>
              <w:pStyle w:val="TableParagraph"/>
              <w:tabs>
                <w:tab w:pos="3016" w:val="left" w:leader="none"/>
                <w:tab w:pos="3155" w:val="left" w:leader="none"/>
                <w:tab w:pos="3251" w:val="left" w:leader="none"/>
                <w:tab w:pos="4308" w:val="left" w:leader="none"/>
                <w:tab w:pos="5253" w:val="left" w:leader="none"/>
                <w:tab w:pos="6626" w:val="left" w:leader="none"/>
              </w:tabs>
              <w:spacing w:line="208" w:lineRule="auto" w:before="0"/>
              <w:ind w:right="65"/>
              <w:rPr>
                <w:sz w:val="20"/>
              </w:rPr>
            </w:pPr>
            <w:r>
              <w:rPr>
                <w:sz w:val="20"/>
              </w:rPr>
              <w:t>&lt;span style="font-size: small;"&gt;</w:t>
              <w:tab/>
              <w:tab/>
              <w:t>&lt;span style="font-size: medium;"&gt;</w:t>
              <w:tab/>
              <w:t>&lt;span style="font-size: medium;"&gt;</w:t>
              <w:tab/>
              <w:t>&lt;span style="font-size: medium;"&gt;FRANCISCO </w:t>
            </w:r>
            <w:r>
              <w:rPr>
                <w:spacing w:val="-3"/>
                <w:sz w:val="20"/>
              </w:rPr>
              <w:t>LUCÍDIO </w:t>
            </w:r>
            <w:r>
              <w:rPr>
                <w:sz w:val="20"/>
              </w:rPr>
              <w:t>DE QUEIROZ JUNIOR&lt;/span&gt;</w:t>
              <w:tab/>
              <w:tab/>
              <w:tab/>
              <w:t>&lt;/span&gt;</w:t>
              <w:tab/>
              <w:t>&lt;/span&gt;</w:t>
              <w:tab/>
              <w:t>&lt;/span&gt; &lt;/span&gt;&lt;/p&gt;&lt;p style="line-height: 1.2; text-align: center; margin-top: 6pt; margin-bottom: 6pt;" dir="ltr"&gt;</w:t>
            </w:r>
          </w:p>
          <w:p>
            <w:pPr>
              <w:pStyle w:val="TableParagraph"/>
              <w:tabs>
                <w:tab w:pos="939" w:val="left" w:leader="none"/>
                <w:tab w:pos="1852" w:val="left" w:leader="none"/>
                <w:tab w:pos="2908" w:val="left" w:leader="none"/>
                <w:tab w:pos="3016" w:val="left" w:leader="none"/>
                <w:tab w:pos="3853" w:val="left" w:leader="none"/>
                <w:tab w:pos="4054" w:val="left" w:leader="none"/>
                <w:tab w:pos="7525" w:val="left" w:leader="none"/>
              </w:tabs>
              <w:spacing w:line="208" w:lineRule="auto" w:before="0"/>
              <w:ind w:right="76"/>
              <w:rPr>
                <w:sz w:val="20"/>
              </w:rPr>
            </w:pPr>
            <w:r>
              <w:rPr>
                <w:sz w:val="20"/>
              </w:rPr>
              <w:t>&lt;span style="color: #000000; background-color: #ffffff; font-weight: 700; font-style: normal; font-variant: normal; text-decoration: none; vertical-align: baseline; white-space: pre- wrap;"&gt;</w:t>
              <w:tab/>
              <w:t>&lt;span style="font-size: small;"&gt;</w:t>
              <w:tab/>
              <w:tab/>
              <w:t>&lt;span style="font-size: medium;"&gt;</w:t>
              <w:tab/>
            </w:r>
            <w:r>
              <w:rPr>
                <w:spacing w:val="-4"/>
                <w:sz w:val="20"/>
              </w:rPr>
              <w:t>&lt;span </w:t>
            </w:r>
            <w:r>
              <w:rPr>
                <w:sz w:val="20"/>
              </w:rPr>
              <w:t>style="font-size: medium;"&gt;</w:t>
              <w:tab/>
              <w:tab/>
              <w:t>&lt;span style="font-size: medium;"&gt;Desembargador Relator&lt;/span&gt;</w:t>
              <w:tab/>
              <w:t>&lt;/span&gt;</w:t>
              <w:tab/>
              <w:t>&lt;/span&gt;</w:t>
              <w:tab/>
              <w:t>&lt;/span&gt; &lt;/span&gt;&lt;/p&gt;&lt;p style="line-height: 1.7999999999999998; text-align: center; margin-top: 6pt; margin-bottom: 6pt;"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small;"&gt;</w:t>
              <w:tab/>
              <w:t>&lt;span style="font-size: medium;"&gt;</w:t>
            </w:r>
          </w:p>
          <w:p>
            <w:pPr>
              <w:pStyle w:val="TableParagraph"/>
              <w:tabs>
                <w:tab w:pos="3622" w:val="left" w:leader="none"/>
              </w:tabs>
              <w:spacing w:line="190" w:lineRule="exact" w:before="0"/>
              <w:rPr>
                <w:sz w:val="20"/>
              </w:rPr>
            </w:pPr>
            <w:r>
              <w:rPr>
                <w:sz w:val="20"/>
              </w:rPr>
              <w:t>&lt;span style="font-size: medium;"&gt;</w:t>
              <w:tab/>
              <w:t>&lt;span style="font-size: medium;"&gt;&amp;#160;&lt;/span&gt;</w:t>
            </w:r>
          </w:p>
          <w:p>
            <w:pPr>
              <w:pStyle w:val="TableParagraph"/>
              <w:tabs>
                <w:tab w:pos="1096" w:val="left" w:leader="none"/>
                <w:tab w:pos="2041" w:val="left" w:leader="none"/>
              </w:tabs>
              <w:spacing w:line="208" w:lineRule="auto" w:before="8"/>
              <w:ind w:right="193"/>
              <w:rPr>
                <w:sz w:val="20"/>
              </w:rPr>
            </w:pPr>
            <w:r>
              <w:rPr>
                <w:sz w:val="20"/>
              </w:rPr>
              <w:t>&lt;/span&gt;</w:t>
              <w:tab/>
              <w:t>&lt;/span&gt;</w:t>
              <w:tab/>
              <w:t>&lt;/span&gt; &lt;/span&gt;&lt;/p&gt;&lt;p style="line-height: 100%; orphans: 0; widows: 0; margin-bottom: 0.21cm;" align="justify"&gt;  &lt;strong style="font-weight:</w:t>
            </w:r>
            <w:r>
              <w:rPr>
                <w:spacing w:val="-18"/>
                <w:sz w:val="20"/>
              </w:rPr>
              <w:t> </w:t>
            </w:r>
            <w:r>
              <w:rPr>
                <w:sz w:val="20"/>
              </w:rPr>
              <w:t>normal;"&gt;</w:t>
            </w:r>
          </w:p>
          <w:p>
            <w:pPr>
              <w:pStyle w:val="TableParagraph"/>
              <w:tabs>
                <w:tab w:pos="3016" w:val="left" w:leader="none"/>
                <w:tab w:pos="3155" w:val="left" w:leader="none"/>
                <w:tab w:pos="6626" w:val="left" w:leader="none"/>
                <w:tab w:pos="6709" w:val="left" w:leader="none"/>
              </w:tabs>
              <w:spacing w:line="208" w:lineRule="auto" w:before="0"/>
              <w:ind w:right="920"/>
              <w:rPr>
                <w:sz w:val="20"/>
              </w:rPr>
            </w:pPr>
            <w:r>
              <w:rPr>
                <w:sz w:val="20"/>
              </w:rPr>
              <w:t>&lt;span style="font-size: small;"&gt;</w:t>
              <w:tab/>
              <w:tab/>
              <w:t>&lt;span style="font-size: medium;"&gt;</w:t>
              <w:tab/>
              <w:t>&lt;span style="font-size: medium;"&gt;</w:t>
              <w:tab/>
              <w:t>&lt;span style="font-size: medium;"&gt;</w:t>
              <w:tab/>
              <w:tab/>
              <w:t>&lt;br</w:t>
            </w:r>
            <w:r>
              <w:rPr>
                <w:spacing w:val="1"/>
                <w:sz w:val="20"/>
              </w:rPr>
              <w:t> </w:t>
            </w:r>
            <w:r>
              <w:rPr>
                <w:spacing w:val="-9"/>
                <w:sz w:val="20"/>
              </w:rPr>
              <w:t>/&gt;</w:t>
            </w:r>
          </w:p>
          <w:p>
            <w:pPr>
              <w:pStyle w:val="TableParagraph"/>
              <w:tabs>
                <w:tab w:pos="1207" w:val="left" w:leader="none"/>
                <w:tab w:pos="2263" w:val="left" w:leader="none"/>
                <w:tab w:pos="3208" w:val="left" w:leader="none"/>
              </w:tabs>
              <w:spacing w:line="208" w:lineRule="auto" w:before="0"/>
              <w:ind w:right="384"/>
              <w:rPr>
                <w:sz w:val="20"/>
              </w:rPr>
            </w:pPr>
            <w:r>
              <w:rPr>
                <w:sz w:val="20"/>
              </w:rPr>
              <w:t>&lt;/span&gt;</w:t>
              <w:tab/>
              <w:t>&lt;/span&gt;</w:t>
              <w:tab/>
              <w:t>&lt;/span&gt;</w:t>
              <w:tab/>
              <w:t>&lt;/span&gt; &lt;/strong&gt;&lt;/p&gt;&lt;p style="line-height: 1.7999999999999998; text-align: center; margin-top: 6pt; margin-bottom: 6pt;"</w:t>
            </w:r>
            <w:r>
              <w:rPr>
                <w:spacing w:val="-17"/>
                <w:sz w:val="20"/>
              </w:rPr>
              <w:t> </w:t>
            </w:r>
            <w:r>
              <w:rPr>
                <w:sz w:val="20"/>
              </w:rPr>
              <w:t>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small;"&gt;</w:t>
              <w:tab/>
              <w:t>&lt;span style="font-size: medium;"&gt;</w:t>
            </w:r>
          </w:p>
          <w:p>
            <w:pPr>
              <w:pStyle w:val="TableParagraph"/>
              <w:tabs>
                <w:tab w:pos="3317" w:val="left" w:leader="none"/>
                <w:tab w:pos="3622" w:val="left" w:leader="none"/>
                <w:tab w:pos="4373" w:val="left" w:leader="none"/>
                <w:tab w:pos="5319" w:val="left" w:leader="none"/>
              </w:tabs>
              <w:spacing w:line="208" w:lineRule="auto" w:before="0"/>
              <w:ind w:right="89"/>
              <w:rPr>
                <w:sz w:val="20"/>
              </w:rPr>
            </w:pPr>
            <w:r>
              <w:rPr>
                <w:sz w:val="20"/>
              </w:rPr>
              <w:t>&lt;span style="font-size: medium;"&gt;</w:t>
              <w:tab/>
              <w:tab/>
              <w:t>&lt;span style="font-size: medium;"&gt;RELATÓRIO&lt;/span&gt;</w:t>
              <w:tab/>
              <w:t>&lt;/span&gt;</w:t>
              <w:tab/>
              <w:t>&lt;/span&gt;</w:t>
              <w:tab/>
              <w:t>&lt;/span&gt; &lt;/span&gt;&lt;/p&gt;&lt;p style="line-height: 2.16; text-indent: 57pt; text-align: justify; margin-top: 8pt;</w:t>
            </w:r>
            <w:r>
              <w:rPr>
                <w:spacing w:val="-19"/>
                <w:sz w:val="20"/>
              </w:rPr>
              <w:t> </w:t>
            </w:r>
            <w:r>
              <w:rPr>
                <w:sz w:val="20"/>
              </w:rPr>
              <w:t>margin-bottom: 8pt;" dir="ltr"&gt;  &lt;span style="font-size: small;"&gt;</w:t>
              <w:tab/>
              <w:t>&lt;span style="font-size: medium;"&gt;</w:t>
            </w:r>
          </w:p>
          <w:p>
            <w:pPr>
              <w:pStyle w:val="TableParagraph"/>
              <w:tabs>
                <w:tab w:pos="3511" w:val="left" w:leader="none"/>
                <w:tab w:pos="7093" w:val="left" w:leader="none"/>
              </w:tabs>
              <w:spacing w:line="208" w:lineRule="auto" w:before="0"/>
              <w:ind w:right="176"/>
              <w:rPr>
                <w:sz w:val="20"/>
              </w:rPr>
            </w:pPr>
            <w:r>
              <w:rPr>
                <w:sz w:val="20"/>
              </w:rPr>
              <w:t>&lt;span style="font-size: medium;"&gt;</w:t>
              <w:tab/>
              <w:t>&lt;span style="font-size: medium;"&gt;</w:t>
              <w:tab/>
              <w:t>&lt;span style="color: #000000; background-color: transparent; font-weight: 700; font-style: </w:t>
            </w:r>
            <w:r>
              <w:rPr>
                <w:spacing w:val="-3"/>
                <w:sz w:val="20"/>
              </w:rPr>
              <w:t>normal; </w:t>
            </w:r>
            <w:r>
              <w:rPr>
                <w:sz w:val="20"/>
              </w:rPr>
              <w:t>font-variant: normal; text-decoration: none; vertical-align: baseline; white-space: pre- wrap;"&gt;Cuida-se de Agravo Interno interposto pelo promovido/apelante&lt;/span&gt;</w:t>
            </w:r>
          </w:p>
          <w:p>
            <w:pPr>
              <w:pStyle w:val="TableParagraph"/>
              <w:tabs>
                <w:tab w:pos="7055" w:val="left" w:leader="none"/>
              </w:tabs>
              <w:spacing w:line="208" w:lineRule="auto" w:before="0"/>
              <w:ind w:right="87"/>
              <w:rPr>
                <w:sz w:val="20"/>
              </w:rPr>
            </w:pPr>
            <w:r>
              <w:rPr>
                <w:sz w:val="20"/>
              </w:rPr>
              <w:t>&lt;span style="color: #000000; background-color: transparent; font-weight: 400; font-style: normal; font-variant: normal; text-decoration: none; vertical-align: baseline; white-space: pre-wrap;"&gt;, ID 27647948, requerendo a reconsideração da decisão monocrática proferida por este Relator e, caso não se entenda desta forma, pede a remessa do recurso a Órgão Colegiado, a fim de proceder a reforma da decisão, ora agravada.&lt;/span&gt;</w:t>
              <w:tab/>
              <w:t>&lt;/span&gt;</w:t>
            </w:r>
          </w:p>
          <w:p>
            <w:pPr>
              <w:pStyle w:val="TableParagraph"/>
              <w:tabs>
                <w:tab w:pos="985" w:val="left" w:leader="none"/>
              </w:tabs>
              <w:spacing w:line="208" w:lineRule="auto" w:before="0"/>
              <w:ind w:right="382"/>
              <w:rPr>
                <w:sz w:val="20"/>
              </w:rPr>
            </w:pPr>
            <w:r>
              <w:rPr>
                <w:sz w:val="20"/>
              </w:rPr>
              <w:t>&lt;/span&gt;</w:t>
              <w:tab/>
              <w:t>&lt;/span&gt; &lt;/span&gt;&lt;/p&gt;&lt;p style="line-height: 2.16; text-indent: 57pt; text-align: justify; margin-top: 8pt; margin-bottom: 8pt;" dir="ltr"&gt; &lt;span style="font-size: small;"&gt;</w:t>
            </w:r>
          </w:p>
          <w:p>
            <w:pPr>
              <w:pStyle w:val="TableParagraph"/>
              <w:tabs>
                <w:tab w:pos="2905" w:val="left" w:leader="none"/>
                <w:tab w:pos="3400" w:val="left" w:leader="none"/>
                <w:tab w:pos="6871" w:val="left" w:leader="none"/>
              </w:tabs>
              <w:spacing w:line="208" w:lineRule="auto" w:before="0"/>
              <w:ind w:right="42"/>
              <w:rPr>
                <w:sz w:val="20"/>
              </w:rPr>
            </w:pPr>
            <w:r>
              <w:rPr>
                <w:sz w:val="20"/>
              </w:rPr>
              <w:t>&lt;span style="font-size: medium;"&gt;</w:t>
              <w:tab/>
              <w:t>&lt;span style="font-size: medium;"&gt;</w:t>
              <w:tab/>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pre-wrap;"&gt;Devidamente intimado, o&lt;/span&gt;</w:t>
            </w:r>
          </w:p>
          <w:p>
            <w:pPr>
              <w:pStyle w:val="TableParagraph"/>
              <w:tabs>
                <w:tab w:pos="1939" w:val="left" w:leader="none"/>
                <w:tab w:pos="3653" w:val="left" w:leader="none"/>
                <w:tab w:pos="4598" w:val="left" w:leader="none"/>
                <w:tab w:pos="5055" w:val="left" w:leader="none"/>
                <w:tab w:pos="5085" w:val="left" w:leader="none"/>
              </w:tabs>
              <w:spacing w:line="208" w:lineRule="auto" w:before="0"/>
              <w:ind w:right="20"/>
              <w:rPr>
                <w:sz w:val="20"/>
              </w:rPr>
            </w:pPr>
            <w:r>
              <w:rPr>
                <w:sz w:val="20"/>
              </w:rPr>
              <w:t>&lt;span style="color: #000000; background-color: transparent; font-weight: 700; font-style: normal; font-variant: normal; text-decoration: none; vertical-align: baseline; white-space: pre-wrap;"&gt;autor apresentou contrarrazões&lt;/span&gt;</w:t>
              <w:tab/>
              <w:tab/>
              <w:tab/>
              <w:t>&lt;span style="color: #000000; background-color: transparent; font-weight: 400; font-style: normal; font-variant: normal; text-decoration: none; vertical-align: baseline; white-space: pre-wrap;"&gt;ao Agravo Interno, ID&amp;#160; 29376341.&lt;/span&gt;&lt;/span&gt;</w:t>
              <w:tab/>
              <w:t>&lt;/span&gt;</w:t>
              <w:tab/>
              <w:t>&lt;/span&gt; &lt;/span&gt;&lt;/p&gt;&lt;p style="line- height: 2.16; text-indent: 57pt; text-align: justify; margin-top: 8pt; margin-bottom: 8pt;"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3622" w:val="left" w:leader="none"/>
                <w:tab w:pos="7043" w:val="left" w:leader="none"/>
              </w:tabs>
              <w:spacing w:line="208" w:lineRule="auto" w:before="0"/>
              <w:ind w:right="386"/>
              <w:rPr>
                <w:sz w:val="20"/>
              </w:rPr>
            </w:pPr>
            <w:r>
              <w:rPr>
                <w:sz w:val="20"/>
              </w:rPr>
              <w:t>&lt;span style="font-size: medium;"&gt;</w:t>
              <w:tab/>
              <w:t>&lt;span style="font-size: medium;"&gt;&amp;#160;Para uma melhor compreensão, temos o seguinte histórico processual:&lt;/span&gt;</w:t>
              <w:tab/>
            </w:r>
            <w:r>
              <w:rPr>
                <w:spacing w:val="-3"/>
                <w:sz w:val="20"/>
              </w:rPr>
              <w:t>&lt;/span&gt;</w:t>
            </w:r>
          </w:p>
          <w:p>
            <w:pPr>
              <w:pStyle w:val="TableParagraph"/>
              <w:tabs>
                <w:tab w:pos="985" w:val="left" w:leader="none"/>
              </w:tabs>
              <w:spacing w:line="208" w:lineRule="auto" w:before="0"/>
              <w:ind w:right="382"/>
              <w:rPr>
                <w:sz w:val="20"/>
              </w:rPr>
            </w:pPr>
            <w:r>
              <w:rPr>
                <w:sz w:val="20"/>
              </w:rPr>
              <w:t>&lt;/span&gt;</w:t>
              <w:tab/>
              <w:t>&lt;/span&gt; &lt;/span&gt;&lt;/p&gt;&lt;p style="line-height: 2.16; text-indent: 57pt; text-align: justify; margin-top: 8pt; margin-bottom: 8pt;" dir="ltr"&gt; &lt;span style="font-size: small;"&gt;</w:t>
            </w:r>
          </w:p>
          <w:p>
            <w:pPr>
              <w:pStyle w:val="TableParagraph"/>
              <w:tabs>
                <w:tab w:pos="3400" w:val="left" w:leader="none"/>
                <w:tab w:pos="6871" w:val="left" w:leader="none"/>
              </w:tabs>
              <w:spacing w:line="205" w:lineRule="exact" w:before="0"/>
              <w:rPr>
                <w:sz w:val="20"/>
              </w:rPr>
            </w:pPr>
            <w:r>
              <w:rPr>
                <w:sz w:val="20"/>
              </w:rPr>
              <w:t>&lt;span style="font-size: medium;"&gt;</w:t>
              <w:tab/>
              <w:t>&lt;span style="font-size: medium;"&gt;</w:t>
              <w:tab/>
              <w:t>&lt;span</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905" w:val="left" w:leader="none"/>
                <w:tab w:pos="7553" w:val="left" w:leader="none"/>
              </w:tabs>
              <w:spacing w:line="208" w:lineRule="auto" w:before="26"/>
              <w:ind w:right="42"/>
              <w:rPr>
                <w:sz w:val="20"/>
              </w:rPr>
            </w:pPr>
            <w:r>
              <w:rPr>
                <w:sz w:val="20"/>
              </w:rPr>
              <w:t>style="font-size: medium;"&gt;</w:t>
              <w:tab/>
              <w:t>&lt;span style="color: #000000; background-color: transparent; font-weight: 400; font-style: normal; font-variant: normal; text-decoration: </w:t>
            </w:r>
            <w:r>
              <w:rPr>
                <w:spacing w:val="-4"/>
                <w:sz w:val="20"/>
              </w:rPr>
              <w:t>none; </w:t>
            </w:r>
            <w:r>
              <w:rPr>
                <w:sz w:val="20"/>
              </w:rPr>
              <w:t>vertical-align: baseline; white-space: pre-wrap;"&gt;Na origem, trata-se de&lt;/span&gt;</w:t>
              <w:tab/>
            </w:r>
            <w:r>
              <w:rPr>
                <w:spacing w:val="-3"/>
                <w:sz w:val="20"/>
              </w:rPr>
              <w:t>&lt;span </w:t>
            </w:r>
            <w:r>
              <w:rPr>
                <w:sz w:val="20"/>
              </w:rPr>
              <w:t>style="color: #000000; background-color: transparent; font-weight: 700; font-style: normal; font-variant: normal; text-decoration: none; vertical-align: baseline; white-space: pre- wrap;"&gt;AÇÃO DECLARATÓRIA DE INEXISTÊNCIA DE DÉBITO C/C PEDIDO DE TUTELA PROVISÓRIA DE URGÊNCIA ANTECIPADA E CONDENAÇÃO EM DANOS</w:t>
            </w:r>
          </w:p>
          <w:p>
            <w:pPr>
              <w:pStyle w:val="TableParagraph"/>
              <w:tabs>
                <w:tab w:pos="2051" w:val="left" w:leader="none"/>
                <w:tab w:pos="3119" w:val="left" w:leader="none"/>
                <w:tab w:pos="3452" w:val="left" w:leader="none"/>
                <w:tab w:pos="3484" w:val="left" w:leader="none"/>
                <w:tab w:pos="4064" w:val="left" w:leader="none"/>
                <w:tab w:pos="5419" w:val="left" w:leader="none"/>
                <w:tab w:pos="6942" w:val="left" w:leader="none"/>
              </w:tabs>
              <w:spacing w:line="208" w:lineRule="auto" w:before="0"/>
              <w:ind w:right="42"/>
              <w:rPr>
                <w:sz w:val="20"/>
              </w:rPr>
            </w:pPr>
            <w:r>
              <w:rPr>
                <w:sz w:val="20"/>
              </w:rPr>
              <w:t>MORAIS&lt;/span&gt;</w:t>
              <w:tab/>
              <w:t>&lt;span style="color: #000000; background-color: transparent; font- weight: 400; font-style: normal; font-variant: normal; text-decoration: none; vertical-align: baseline; white-space: pre-wrap;"&gt;ajuizada por&lt;/span&gt;</w:t>
              <w:tab/>
              <w:t>&lt;span style="color: #000000; background-color: transparent; font-weight: 700; font-style: normal; font-variant: normal; text-decoration: none; vertical-align: baseline; white-space: pre-wrap;"&gt;FRANCISCO DE ASSIS LIMA DE ABREU&lt;/span&gt;</w:t>
              <w:tab/>
              <w:tab/>
              <w:t>&lt;span style="color: #000000; background-color: transparent; font-weight: 400; font-style: normal; font-variant: normal; text-decoration: </w:t>
            </w:r>
            <w:r>
              <w:rPr>
                <w:spacing w:val="-4"/>
                <w:sz w:val="20"/>
              </w:rPr>
              <w:t>none; </w:t>
            </w:r>
            <w:r>
              <w:rPr>
                <w:sz w:val="20"/>
              </w:rPr>
              <w:t>vertical-align: baseline; white-space: pre-wrap;"&gt;em desfavor do&lt;/span&gt;</w:t>
              <w:tab/>
              <w:t>&lt;span style="color: #000000; background-color: transparent; font-weight: 700; font-style: normal; font-variant: normal; text-decoration: none; vertical-align: baseline; white-space: pre- wrap;"&gt;BANCO BMG SA.&lt;/span&gt;</w:t>
              <w:tab/>
              <w:tab/>
              <w:tab/>
              <w:t>&lt;span style="color: #000000; background-color: transparent; font-weight: 400; font-style: normal; font-variant: normal; text-decoration: </w:t>
            </w:r>
            <w:r>
              <w:rPr>
                <w:spacing w:val="-4"/>
                <w:sz w:val="20"/>
              </w:rPr>
              <w:t>none; </w:t>
            </w:r>
            <w:r>
              <w:rPr>
                <w:sz w:val="20"/>
              </w:rPr>
              <w:t>vertical-align: baseline; white-space: pre-wrap;"&gt;, por meio da qual o autor aduz desconhecer o contrato que originou descontos em seu benefício previdenciário.&lt;/span&gt;&lt;/span&gt;</w:t>
              <w:tab/>
              <w:t>&lt;/span&gt;</w:t>
              <w:tab/>
              <w:t>&lt;/span&gt; &lt;/span&gt;&lt;/p&gt;&lt;p style="line-height: 2.16; text-indent: 57pt; text-align: justify; margin-top: 8pt; margin-bottom: 8pt;" dir="ltr"&gt;</w:t>
            </w:r>
          </w:p>
          <w:p>
            <w:pPr>
              <w:pStyle w:val="TableParagraph"/>
              <w:tabs>
                <w:tab w:pos="1885" w:val="left" w:leader="none"/>
                <w:tab w:pos="1939" w:val="left" w:leader="none"/>
                <w:tab w:pos="2764" w:val="left" w:leader="none"/>
                <w:tab w:pos="3044" w:val="left" w:leader="none"/>
                <w:tab w:pos="3709" w:val="left" w:leader="none"/>
                <w:tab w:pos="4375" w:val="left" w:leader="none"/>
                <w:tab w:pos="5055" w:val="left" w:leader="none"/>
                <w:tab w:pos="5377" w:val="left" w:leader="none"/>
                <w:tab w:pos="6404" w:val="left" w:leader="none"/>
              </w:tabs>
              <w:spacing w:line="208" w:lineRule="auto" w:before="0"/>
              <w:ind w:right="25"/>
              <w:rPr>
                <w:sz w:val="20"/>
              </w:rPr>
            </w:pPr>
            <w:r>
              <w:rPr>
                <w:sz w:val="20"/>
              </w:rPr>
              <w:t>&lt;span style="font-size: small;"&gt;</w:t>
              <w:tab/>
              <w:t>&lt;span style="font-size: medium;"&gt;</w:t>
              <w:tab/>
              <w:t>&lt;span style="font- size: medium;"&gt;</w:t>
              <w:tab/>
              <w:t>&lt;span style="font-size: medium;"&gt;</w:t>
              <w:tab/>
              <w:tab/>
              <w:t>&lt;span style="color: #000000; background-color: transparent; font-weight: 400; font-style: normal; font-variant: normal; text-decoration: none; vertical-align: baseline; white-space: pre-wrap;"&gt;Após regular tramitação do feito, o douto Juiz da&lt;/span&gt;</w:t>
              <w:tab/>
              <w:t>&lt;span style="color: #000000; background- color: transparent; font-weight: 700; font-style: normal; font-variant: normal; text-decoration: none; vertical-align: baseline; white-space: pre-wrap;"&gt;2ª Vara Cível da Comarca de Aracati&lt;/span&gt;</w:t>
              <w:tab/>
              <w:t>&lt;span style="color: #000000; background-color: transparent; font- weight: 400; font-style: normal; font-variant: normal; text-decoration: none; vertical-align: baseline; white-space: pre-wrap;"&gt;proferiu a sentença, nos termos abaixo, ID 26765586:&lt;/span&gt;&lt;/span&gt;</w:t>
              <w:tab/>
              <w:t>&lt;/span&gt;</w:t>
              <w:tab/>
              <w:t>&lt;/span&gt; &lt;/span&gt;&lt;/p&gt;&lt;p style="line-height: 2.16; margin-left: 113pt; text-indent: 57pt; text-align: justify; margin-top: 8pt; margin-bottom: 8pt;" dir="ltr"&gt; &lt;span style="color: #000000; background-color: transparent; font-weight: 400; font-style: italic; font-variant: normal; text-decoration: none; vertical-align: baseline; white- space: pre-wrap;"&gt;</w:t>
              <w:tab/>
              <w:tab/>
              <w:t>&lt;span style="font-size: small;"&gt;</w:t>
              <w:tab/>
              <w:t>&lt;span style="font-size: medium;"&gt;</w:t>
            </w:r>
          </w:p>
          <w:p>
            <w:pPr>
              <w:pStyle w:val="TableParagraph"/>
              <w:tabs>
                <w:tab w:pos="3622" w:val="left" w:leader="none"/>
              </w:tabs>
              <w:spacing w:line="189" w:lineRule="exact" w:before="0"/>
              <w:rPr>
                <w:sz w:val="20"/>
              </w:rPr>
            </w:pPr>
            <w:r>
              <w:rPr>
                <w:sz w:val="20"/>
              </w:rPr>
              <w:t>&lt;span style="font-size: medium;"&gt;</w:t>
              <w:tab/>
              <w:t>&lt;span style="font-size: medium;"&gt;"(...)&lt;/span&gt;</w:t>
            </w:r>
          </w:p>
          <w:p>
            <w:pPr>
              <w:pStyle w:val="TableParagraph"/>
              <w:tabs>
                <w:tab w:pos="939" w:val="left" w:leader="none"/>
                <w:tab w:pos="1096" w:val="left" w:leader="none"/>
                <w:tab w:pos="2041" w:val="left" w:leader="none"/>
                <w:tab w:pos="3016" w:val="left" w:leader="none"/>
                <w:tab w:pos="4054" w:val="left" w:leader="none"/>
                <w:tab w:pos="4575" w:val="left" w:leader="none"/>
                <w:tab w:pos="5631" w:val="left" w:leader="none"/>
                <w:tab w:pos="6576" w:val="left" w:leader="none"/>
                <w:tab w:pos="7525" w:val="left" w:leader="none"/>
              </w:tabs>
              <w:spacing w:line="208" w:lineRule="auto" w:before="8"/>
              <w:ind w:right="31"/>
              <w:rPr>
                <w:sz w:val="20"/>
              </w:rPr>
            </w:pPr>
            <w:r>
              <w:rPr>
                <w:sz w:val="20"/>
              </w:rPr>
              <w:t>&lt;/span&gt;</w:t>
              <w:tab/>
              <w:tab/>
              <w:t>&lt;/span&gt;</w:t>
              <w:tab/>
              <w:t>&lt;/span&gt; &lt;/span&gt;&lt;/p&gt;&lt;p style="line-height: 2.16; margin-left: 113pt; text-indent: 57pt; text-align: justify; margin-top: 8pt; margin-bottom: 8pt;" dir="ltr"&gt; &lt;span style="color: #000000; background-color: transparent; font-weight: 400; font-style: italic; font-variant: normal; text-decoration: none; vertical-align: baseline; white-space: pre- wrap;"&gt;</w:t>
              <w:tab/>
              <w:t>&lt;span style="font-size: small;"&gt;</w:t>
              <w:tab/>
              <w:t>&lt;span style="font-size: medium;"&gt;</w:t>
              <w:tab/>
              <w:t>&lt;span style="font-size: medium;"&gt;</w:t>
              <w:tab/>
              <w:t>&lt;span style="font-size: medium;"&gt;Diante do exposto, e com fundamento no art. 487, I do CPC, JULGO PARCIALMENTE PROCEDENTE o </w:t>
            </w:r>
            <w:r>
              <w:rPr>
                <w:spacing w:val="-3"/>
                <w:sz w:val="20"/>
              </w:rPr>
              <w:t>pedido </w:t>
            </w:r>
            <w:r>
              <w:rPr>
                <w:sz w:val="20"/>
              </w:rPr>
              <w:t>inicial, com resolução do mérito, para:&lt;/span&gt;</w:t>
              <w:tab/>
              <w:t>&lt;/span&gt;</w:t>
              <w:tab/>
              <w:t>&lt;/span&gt;</w:t>
              <w:tab/>
              <w:t>&lt;/span&gt;</w:t>
            </w:r>
          </w:p>
          <w:p>
            <w:pPr>
              <w:pStyle w:val="TableParagraph"/>
              <w:tabs>
                <w:tab w:pos="1550" w:val="left" w:leader="none"/>
                <w:tab w:pos="5021" w:val="left" w:leader="none"/>
                <w:tab w:pos="6164" w:val="left" w:leader="none"/>
              </w:tabs>
              <w:spacing w:line="208" w:lineRule="auto" w:before="0"/>
              <w:ind w:right="104"/>
              <w:rPr>
                <w:sz w:val="20"/>
              </w:rPr>
            </w:pPr>
            <w:r>
              <w:rPr>
                <w:sz w:val="20"/>
              </w:rPr>
              <w:t>&lt;/span&gt;&lt;/p&gt;&lt;p style="line-height: 2.16; margin-left: 113pt; text-indent: 57pt; text-align: justify; margin-top: 8pt; margin-bottom: 8pt;" dir="ltr"&gt; &lt;span style="color: #000000; background-color: transparent; font-weight: 400; font-style: italic; font-variant: normal; text- decoration: none; vertical-align: baseline; white-space: pre-wrap;"&gt;</w:t>
              <w:tab/>
              <w:t>&lt;span style="font- size: small;"&gt;</w:t>
              <w:tab/>
              <w:t>&lt;span style="font-size: medium;"&gt;</w:t>
              <w:tab/>
              <w:t>&lt;span style="font-size:</w:t>
            </w:r>
            <w:r>
              <w:rPr>
                <w:spacing w:val="-15"/>
                <w:sz w:val="20"/>
              </w:rPr>
              <w:t> </w:t>
            </w:r>
            <w:r>
              <w:rPr>
                <w:sz w:val="20"/>
              </w:rPr>
              <w:t>medium;"&gt;</w:t>
            </w:r>
          </w:p>
          <w:p>
            <w:pPr>
              <w:pStyle w:val="TableParagraph"/>
              <w:tabs>
                <w:tab w:pos="6732" w:val="left" w:leader="none"/>
              </w:tabs>
              <w:spacing w:line="208" w:lineRule="auto" w:before="0"/>
              <w:ind w:right="19"/>
              <w:rPr>
                <w:sz w:val="20"/>
              </w:rPr>
            </w:pPr>
            <w:r>
              <w:rPr>
                <w:sz w:val="20"/>
              </w:rPr>
              <w:t>&lt;span style="font-size: medium;"&gt;I) Declarar a inexistência do contrato impugnado (cartão de crédito consignado), para cessarem todos os efeitos deles decorrentes e fixo o prazo </w:t>
            </w:r>
            <w:r>
              <w:rPr>
                <w:spacing w:val="-9"/>
                <w:sz w:val="20"/>
              </w:rPr>
              <w:t>de </w:t>
            </w:r>
            <w:r>
              <w:rPr>
                <w:sz w:val="20"/>
              </w:rPr>
              <w:t>15 (quinze) dias (a contar da intimação desta decisão) para que a instituição ré suspenda os aludidos descontos, sob pena de aplicação de multa equivalente ao dobro dos valores indevidamente descontados, até o cumprimento da obrigação;&lt;/span&gt;</w:t>
              <w:tab/>
              <w:t>&lt;/span&gt;</w:t>
            </w:r>
          </w:p>
          <w:p>
            <w:pPr>
              <w:pStyle w:val="TableParagraph"/>
              <w:tabs>
                <w:tab w:pos="985" w:val="left" w:leader="none"/>
                <w:tab w:pos="1550" w:val="left" w:leader="none"/>
                <w:tab w:pos="2549" w:val="left" w:leader="none"/>
                <w:tab w:pos="5065" w:val="left" w:leader="none"/>
                <w:tab w:pos="6020" w:val="left" w:leader="none"/>
                <w:tab w:pos="6121" w:val="left" w:leader="none"/>
                <w:tab w:pos="7066" w:val="left" w:leader="none"/>
                <w:tab w:pos="7275" w:val="left" w:leader="none"/>
              </w:tabs>
              <w:spacing w:line="208" w:lineRule="auto" w:before="0"/>
              <w:ind w:right="20"/>
              <w:rPr>
                <w:sz w:val="20"/>
              </w:rPr>
            </w:pPr>
            <w:r>
              <w:rPr>
                <w:sz w:val="20"/>
              </w:rPr>
              <w:t>&lt;/span&gt;</w:t>
              <w:tab/>
              <w:t>&lt;/span&gt; &lt;/span&gt;&lt;/p&gt;&lt;p style="line-height: 2.16; margin-left: 113pt; text-indent: 57pt; text-align: justify; margin-top: 8pt; margin-bottom: 8pt;" dir="ltr"&gt; &lt;span style="color: #000000; background-color: transparent; font-weight: 400; font-style: italic; font-variant: normal; text-decoration: none; vertical-align: baseline; white-space: pre-wrap;"&gt;</w:t>
              <w:tab/>
              <w:tab/>
              <w:t>&lt;span style="font-size: small;"&gt;</w:t>
              <w:tab/>
              <w:t>&lt;span style="font-size: medium;"&gt;</w:t>
              <w:tab/>
              <w:t>&lt;span style="font-size: medium;"&gt;</w:t>
              <w:tab/>
              <w:t>&lt;span style="font-size: medium;"&gt;II) Condenar o requerido à devolução em dobro dos valores efetivamente descontados quanto ao contrato, corrigida monetariamente pelo INPC e com juros de mora de 1% (um por cento) ao mês, a partir </w:t>
            </w:r>
            <w:r>
              <w:rPr>
                <w:spacing w:val="-6"/>
                <w:sz w:val="20"/>
              </w:rPr>
              <w:t>dos </w:t>
            </w:r>
            <w:r>
              <w:rPr>
                <w:sz w:val="20"/>
              </w:rPr>
              <w:t>descontos indevidos feitos no benefício do(a) promovente (evento danoso), consoante Súmulas nº 43 e 54 do STJ, a qual está limitada aos últimos 05 (cinco) anos anteriores à data do ajuizamento da presente demanda;&lt;/span&gt;</w:t>
              <w:tab/>
              <w:t>&lt;/span&gt;</w:t>
              <w:tab/>
              <w:tab/>
              <w:t>&lt;/span&gt;</w:t>
              <w:tab/>
              <w:t>&lt;/span&gt;</w:t>
            </w:r>
          </w:p>
          <w:p>
            <w:pPr>
              <w:pStyle w:val="TableParagraph"/>
              <w:spacing w:line="208" w:lineRule="auto" w:before="0"/>
              <w:ind w:right="474"/>
              <w:rPr>
                <w:sz w:val="20"/>
              </w:rPr>
            </w:pPr>
            <w:r>
              <w:rPr>
                <w:sz w:val="20"/>
              </w:rPr>
              <w:t>&lt;/span&gt;&lt;/p&gt;&lt;p style="line-height: 2.16; margin-left: 113pt; text-indent: 57pt; text-align: justify; margin-top: 8pt; margin-bottom: 8pt;" dir="ltr"&gt; &lt;span style="color: #000000;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50" w:val="left" w:leader="none"/>
                <w:tab w:pos="5021" w:val="left" w:leader="none"/>
                <w:tab w:pos="6164" w:val="left" w:leader="none"/>
              </w:tabs>
              <w:spacing w:line="208" w:lineRule="auto" w:before="26"/>
              <w:ind w:right="104"/>
              <w:rPr>
                <w:sz w:val="20"/>
              </w:rPr>
            </w:pPr>
            <w:r>
              <w:rPr>
                <w:sz w:val="20"/>
              </w:rPr>
              <w:t>background-color: transparent; font-weight: 400; font-style: italic; font-variant: normal; text- decoration: none; vertical-align: baseline; white-space: pre-wrap;"&gt;</w:t>
              <w:tab/>
              <w:t>&lt;span style="font- size: small;"&gt;</w:t>
              <w:tab/>
              <w:t>&lt;span style="font-size: medium;"&gt;</w:t>
              <w:tab/>
              <w:t>&lt;span style="font-size:</w:t>
            </w:r>
            <w:r>
              <w:rPr>
                <w:spacing w:val="-15"/>
                <w:sz w:val="20"/>
              </w:rPr>
              <w:t> </w:t>
            </w:r>
            <w:r>
              <w:rPr>
                <w:sz w:val="20"/>
              </w:rPr>
              <w:t>medium;"&gt;</w:t>
            </w:r>
          </w:p>
          <w:p>
            <w:pPr>
              <w:pStyle w:val="TableParagraph"/>
              <w:tabs>
                <w:tab w:pos="4086" w:val="left" w:leader="none"/>
                <w:tab w:pos="5142" w:val="left" w:leader="none"/>
                <w:tab w:pos="6087" w:val="left" w:leader="none"/>
              </w:tabs>
              <w:spacing w:line="208" w:lineRule="auto" w:before="0"/>
              <w:ind w:right="93"/>
              <w:rPr>
                <w:sz w:val="20"/>
              </w:rPr>
            </w:pPr>
            <w:r>
              <w:rPr>
                <w:sz w:val="20"/>
              </w:rPr>
              <w:t>&lt;span style="font-size: medium;"&gt;III) Condenar o requerido ao pagamento de R$ </w:t>
            </w:r>
            <w:r>
              <w:rPr>
                <w:spacing w:val="-3"/>
                <w:sz w:val="20"/>
              </w:rPr>
              <w:t>4.000,00 </w:t>
            </w:r>
            <w:r>
              <w:rPr>
                <w:sz w:val="20"/>
              </w:rPr>
              <w:t>(quatro mil reais) ao autor a título de indenização por danos morais, com juros de mora (1% ao mês a partir do evento danoso (descontos indevidos) e correção monetária (INPC) a incidir a partir do arbitramento.&lt;/span&gt;</w:t>
              <w:tab/>
              <w:t>&lt;/span&gt;</w:t>
              <w:tab/>
              <w:t>&lt;/span&gt;</w:t>
              <w:tab/>
              <w:t>&lt;/span&gt;</w:t>
            </w:r>
          </w:p>
          <w:p>
            <w:pPr>
              <w:pStyle w:val="TableParagraph"/>
              <w:tabs>
                <w:tab w:pos="1550" w:val="left" w:leader="none"/>
                <w:tab w:pos="5021" w:val="left" w:leader="none"/>
                <w:tab w:pos="6164" w:val="left" w:leader="none"/>
              </w:tabs>
              <w:spacing w:line="208" w:lineRule="auto" w:before="0"/>
              <w:ind w:right="104"/>
              <w:rPr>
                <w:sz w:val="20"/>
              </w:rPr>
            </w:pPr>
            <w:r>
              <w:rPr>
                <w:sz w:val="20"/>
              </w:rPr>
              <w:t>&lt;/span&gt;&lt;/p&gt;&lt;p style="line-height: 2.16; margin-left: 113pt; text-indent: 57pt; text-align: justify; margin-top: 8pt; margin-bottom: 8pt;" dir="ltr"&gt; &lt;span style="color: #000000; background-color: transparent; font-weight: 400; font-style: italic; font-variant: normal; text- decoration: none; vertical-align: baseline; white-space: pre-wrap;"&gt;</w:t>
              <w:tab/>
              <w:t>&lt;span style="font- size: small;"&gt;</w:t>
              <w:tab/>
              <w:t>&lt;span style="font-size: medium;"&gt;</w:t>
              <w:tab/>
              <w:t>&lt;span style="font-size:</w:t>
            </w:r>
            <w:r>
              <w:rPr>
                <w:spacing w:val="-15"/>
                <w:sz w:val="20"/>
              </w:rPr>
              <w:t> </w:t>
            </w:r>
            <w:r>
              <w:rPr>
                <w:sz w:val="20"/>
              </w:rPr>
              <w:t>medium;"&gt;</w:t>
            </w:r>
          </w:p>
          <w:p>
            <w:pPr>
              <w:pStyle w:val="TableParagraph"/>
              <w:tabs>
                <w:tab w:pos="4860" w:val="left" w:leader="none"/>
                <w:tab w:pos="5916" w:val="left" w:leader="none"/>
                <w:tab w:pos="6861" w:val="left" w:leader="none"/>
              </w:tabs>
              <w:spacing w:line="208" w:lineRule="auto" w:before="0"/>
              <w:ind w:right="30"/>
              <w:rPr>
                <w:sz w:val="20"/>
              </w:rPr>
            </w:pPr>
            <w:r>
              <w:rPr>
                <w:sz w:val="20"/>
              </w:rPr>
              <w:t>&lt;span style="font-size: medium;"&gt;Considerando que a parte autora sucumbiu em parte mínima, condeno a parte ré, ainda, no pagamento das custas, das despesas processuais </w:t>
            </w:r>
            <w:r>
              <w:rPr>
                <w:spacing w:val="-18"/>
                <w:sz w:val="20"/>
              </w:rPr>
              <w:t>e </w:t>
            </w:r>
            <w:r>
              <w:rPr>
                <w:sz w:val="20"/>
              </w:rPr>
              <w:t>de honorários advocatícios, os quais arbitro em 10% (dez por cento) sobre o valor da condenação, conforme art. 85, §2º, CPC.&lt;/span&gt;</w:t>
              <w:tab/>
              <w:t>&lt;/span&gt;</w:t>
              <w:tab/>
              <w:t>&lt;/span&gt;</w:t>
              <w:tab/>
              <w:t>&lt;/span&gt;</w:t>
            </w:r>
          </w:p>
          <w:p>
            <w:pPr>
              <w:pStyle w:val="TableParagraph"/>
              <w:tabs>
                <w:tab w:pos="1550" w:val="left" w:leader="none"/>
                <w:tab w:pos="5021" w:val="left" w:leader="none"/>
                <w:tab w:pos="6164" w:val="left" w:leader="none"/>
              </w:tabs>
              <w:spacing w:line="208" w:lineRule="auto" w:before="0"/>
              <w:ind w:right="104"/>
              <w:rPr>
                <w:sz w:val="20"/>
              </w:rPr>
            </w:pPr>
            <w:r>
              <w:rPr>
                <w:sz w:val="20"/>
              </w:rPr>
              <w:t>&lt;/span&gt;&lt;/p&gt;&lt;p style="line-height: 2.16; margin-left: 113pt; text-indent: 57pt; text-align: justify; margin-top: 8pt; margin-bottom: 8pt;" dir="ltr"&gt; &lt;span style="color: #000000; background-color: transparent; font-weight: 400; font-style: italic; font-variant: normal; text- decoration: none; vertical-align: baseline; white-space: pre-wrap;"&gt;</w:t>
              <w:tab/>
              <w:t>&lt;span style="font- size: small;"&gt;</w:t>
              <w:tab/>
              <w:t>&lt;span style="font-size: medium;"&gt;</w:t>
              <w:tab/>
              <w:t>&lt;span style="font-size:</w:t>
            </w:r>
            <w:r>
              <w:rPr>
                <w:spacing w:val="-15"/>
                <w:sz w:val="20"/>
              </w:rPr>
              <w:t> </w:t>
            </w:r>
            <w:r>
              <w:rPr>
                <w:sz w:val="20"/>
              </w:rPr>
              <w:t>medium;"&gt;</w:t>
            </w:r>
          </w:p>
          <w:p>
            <w:pPr>
              <w:pStyle w:val="TableParagraph"/>
              <w:tabs>
                <w:tab w:pos="4604" w:val="left" w:leader="none"/>
                <w:tab w:pos="5661" w:val="left" w:leader="none"/>
                <w:tab w:pos="6606" w:val="left" w:leader="none"/>
              </w:tabs>
              <w:spacing w:line="190" w:lineRule="exact" w:before="0"/>
              <w:rPr>
                <w:sz w:val="20"/>
              </w:rPr>
            </w:pPr>
            <w:r>
              <w:rPr>
                <w:sz w:val="20"/>
              </w:rPr>
              <w:t>&lt;span style="font-size: medium;"&gt;(...)"&lt;/span&gt;</w:t>
              <w:tab/>
              <w:t>&lt;/span&gt;</w:t>
              <w:tab/>
              <w:t>&lt;/span&gt;</w:t>
              <w:tab/>
              <w:t>&lt;/span&gt;</w:t>
            </w:r>
          </w:p>
          <w:p>
            <w:pPr>
              <w:pStyle w:val="TableParagraph"/>
              <w:tabs>
                <w:tab w:pos="1327" w:val="left" w:leader="none"/>
                <w:tab w:pos="4799" w:val="left" w:leader="none"/>
                <w:tab w:pos="5780" w:val="left" w:leader="none"/>
              </w:tabs>
              <w:spacing w:line="208" w:lineRule="auto" w:before="9"/>
              <w:ind w:right="81"/>
              <w:rPr>
                <w:sz w:val="20"/>
              </w:rPr>
            </w:pPr>
            <w:r>
              <w:rPr>
                <w:sz w:val="20"/>
              </w:rPr>
              <w:t>&lt;/span&gt;&lt;/p&gt;&lt;p style="line-height: 2.16; text-indent: 57pt; text-align: justify; margin-top: </w:t>
            </w:r>
            <w:r>
              <w:rPr>
                <w:spacing w:val="-5"/>
                <w:sz w:val="20"/>
              </w:rPr>
              <w:t>8pt; </w:t>
            </w:r>
            <w:r>
              <w:rPr>
                <w:sz w:val="20"/>
              </w:rPr>
              <w:t>margin-bottom: 8pt;" dir="ltr"&gt;  &lt;span style="font-size: small;"&gt;</w:t>
              <w:tab/>
              <w:t>&lt;span style="font-size: medium;"&gt;</w:t>
              <w:tab/>
              <w:t>&lt;span style="font-size: medium;"&gt;</w:t>
              <w:tab/>
              <w:t>&lt;span style="font-size: medium;"&gt;</w:t>
            </w:r>
          </w:p>
          <w:p>
            <w:pPr>
              <w:pStyle w:val="TableParagraph"/>
              <w:tabs>
                <w:tab w:pos="2141" w:val="left" w:leader="none"/>
                <w:tab w:pos="2428" w:val="left" w:leader="none"/>
                <w:tab w:pos="3075" w:val="left" w:leader="none"/>
                <w:tab w:pos="4020" w:val="left" w:leader="none"/>
                <w:tab w:pos="5108" w:val="left" w:leader="none"/>
                <w:tab w:pos="6253" w:val="left" w:leader="none"/>
              </w:tabs>
              <w:spacing w:line="208" w:lineRule="auto" w:before="0"/>
              <w:ind w:right="52"/>
              <w:rPr>
                <w:sz w:val="20"/>
              </w:rPr>
            </w:pPr>
            <w:r>
              <w:rPr>
                <w:sz w:val="20"/>
              </w:rPr>
              <w:t>&lt;span style="color: #000000; background-color: transparent; font-weight: 400; font-style: normal; font-variant: normal; text-decoration: none; vertical-align: baseline; white-space: pre-wrap;"&gt;A&lt;/span&gt;</w:t>
              <w:tab/>
              <w:tab/>
              <w:t>&lt;span style="color: #000000; background-color: transparent; font-weight: 700; font-style: normal; font-variant: normal; text-decoration: none; vertical- align: baseline; white-space: pre-wrap;"&gt;parte promovida&lt;/span&gt;</w:t>
              <w:tab/>
              <w:t>&lt;span style="color: #000000; background-color: transparent; font-weight: 400; font-style: normal; font-variant: normal; text-decoration: none; vertical-align: baseline; white-space: pre-wrap;"&gt;, em suas razões de&lt;/span&gt;</w:t>
              <w:tab/>
              <w:t>&lt;span style="color: #000000; background-color: transparent; font- weight: 700; font-style: normal; font-variant: normal; text-decoration: none; vertical-align: baseline; white-space: pre-wrap;"&gt;Apelação&lt;/span&gt;</w:t>
              <w:tab/>
              <w:t>&lt;span style="color: #000000; background-color: transparent; font-weight: 400; font-style: normal; font-variant: normal; text-decoration: none; vertical-align: baseline; white-space: pre-wrap;"&gt;, ID. 26765587, alegou&amp;#160; que a contratação do objeto desta lide se deu de forma regular. Requereu a reforma integral da sentença e, subsidiariamente, a minoração do valor da indenização </w:t>
            </w:r>
            <w:r>
              <w:rPr>
                <w:spacing w:val="-6"/>
                <w:sz w:val="20"/>
              </w:rPr>
              <w:t>por </w:t>
            </w:r>
            <w:r>
              <w:rPr>
                <w:sz w:val="20"/>
              </w:rPr>
              <w:t>danos morais.&lt;/span&gt;&lt;/span&gt;</w:t>
              <w:tab/>
              <w:t>&lt;/span&gt;</w:t>
              <w:tab/>
              <w:t>&lt;/span&gt; &lt;/span&gt;&lt;/p&gt;&lt;p style="line-height: 2.16; text-indent: 57pt; text-align: justify; margin-top: 8pt; margin-bottom: 8pt;" dir="ltr"&gt;</w:t>
            </w:r>
          </w:p>
          <w:p>
            <w:pPr>
              <w:pStyle w:val="TableParagraph"/>
              <w:tabs>
                <w:tab w:pos="1439" w:val="left" w:leader="none"/>
                <w:tab w:pos="1905" w:val="left" w:leader="none"/>
                <w:tab w:pos="2352" w:val="left" w:leader="none"/>
                <w:tab w:pos="2438" w:val="left" w:leader="none"/>
                <w:tab w:pos="2519" w:val="left" w:leader="none"/>
                <w:tab w:pos="3044" w:val="left" w:leader="none"/>
                <w:tab w:pos="3262" w:val="left" w:leader="none"/>
                <w:tab w:pos="3464" w:val="left" w:leader="none"/>
                <w:tab w:pos="4910" w:val="left" w:leader="none"/>
                <w:tab w:pos="5377" w:val="left" w:leader="none"/>
                <w:tab w:pos="5798" w:val="left" w:leader="none"/>
                <w:tab w:pos="6404" w:val="left" w:leader="none"/>
              </w:tabs>
              <w:spacing w:line="208" w:lineRule="auto" w:before="0"/>
              <w:ind w:right="42"/>
              <w:rPr>
                <w:sz w:val="20"/>
              </w:rPr>
            </w:pPr>
            <w:r>
              <w:rPr>
                <w:sz w:val="20"/>
              </w:rPr>
              <w:t>&lt;span style="font-size: small;"&gt;</w:t>
              <w:tab/>
              <w:t>&lt;span style="font-size: medium;"&gt;</w:t>
              <w:tab/>
              <w:t>&lt;span style="font- size: medium;"&gt;</w:t>
              <w:tab/>
              <w:t>&lt;span style="font-size: medium;"&gt;</w:t>
              <w:tab/>
              <w:t>&lt;span style="color: #000000; background-color: transparent; font-weight: 700; font-style: normal; font-variant: normal; text-decoration: none; vertical-align: baseline; white-space: pre- wrap;"&gt;Contrarrazões,&lt;/span&gt;</w:t>
              <w:tab/>
              <w:tab/>
              <w:t>&lt;span style="color: #000000; background-color: transparent; font-weight: 400; font-style: normal; font-variant: normal; text-decoration: </w:t>
            </w:r>
            <w:r>
              <w:rPr>
                <w:spacing w:val="-4"/>
                <w:sz w:val="20"/>
              </w:rPr>
              <w:t>none; </w:t>
            </w:r>
            <w:r>
              <w:rPr>
                <w:sz w:val="20"/>
              </w:rPr>
              <w:t>vertical-align: baseline; white-space: pre-wrap;"&gt;ID. 26765693, prestigiando o julgado.&lt;/span&gt;&lt;/span&gt;</w:t>
              <w:tab/>
              <w:tab/>
              <w:tab/>
              <w:t>&lt;/span&gt;</w:t>
              <w:tab/>
              <w:tab/>
              <w:t>&lt;/span&gt; &lt;/span&gt;&lt;/p&gt;&lt;p style="line-height: 2.16; text-indent: 57pt; text-align: justify; margin-top: 8pt; margin-bottom: 8pt;" dir="ltr"&gt; &lt;span style="font-size: small;"&gt;</w:t>
              <w:tab/>
              <w:tab/>
              <w:t>&lt;span style="font-size: medium;"&gt;</w:t>
              <w:tab/>
              <w:t>&lt;span style="font-size: medium;"&gt;</w:t>
              <w:tab/>
              <w:t>&lt;span style="font-size: medium;"&gt;</w:t>
              <w:tab/>
              <w:t>&lt;span style="color: #000000; background-color: transparent; font-weight: 700; font-style: normal; font-variant: normal; text-decoration: none; vertical-align: baseline; white-space: pre-wrap;"&gt;Decisão monocrática&lt;/span&gt;</w:t>
              <w:tab/>
              <w:tab/>
              <w:t>&lt;span style="color: #000000; background-color: transparent;</w:t>
            </w:r>
          </w:p>
          <w:p>
            <w:pPr>
              <w:pStyle w:val="TableParagraph"/>
              <w:tabs>
                <w:tab w:pos="4586" w:val="left" w:leader="none"/>
                <w:tab w:pos="7131" w:val="left" w:leader="none"/>
                <w:tab w:pos="7177" w:val="left" w:leader="none"/>
              </w:tabs>
              <w:spacing w:line="208" w:lineRule="auto" w:before="0"/>
              <w:ind w:right="176"/>
              <w:rPr>
                <w:sz w:val="20"/>
              </w:rPr>
            </w:pPr>
            <w:r>
              <w:rPr>
                <w:sz w:val="20"/>
              </w:rPr>
              <w:t>font-weight: 400; font-style: normal; font-variant: normal; text-decoration: none; vertical- align: baseline; white-space: pre-wrap;"&gt;proferida por este Relator&lt;/span&gt;</w:t>
              <w:tab/>
              <w:t>&lt;span style="color: #000000; background-color: transparent; font-weight: 700; font-style: </w:t>
            </w:r>
            <w:r>
              <w:rPr>
                <w:spacing w:val="-3"/>
                <w:sz w:val="20"/>
              </w:rPr>
              <w:t>normal; </w:t>
            </w:r>
            <w:r>
              <w:rPr>
                <w:sz w:val="20"/>
              </w:rPr>
              <w:t>font-variant: normal; text-decoration: none; vertical-align: baseline; white-space: pre- wrap;"&gt;negando provimento ao apelo&lt;/span&gt;</w:t>
              <w:tab/>
              <w:t>&lt;span style="color: #000000; background-color: transparent; font-weight: 400; font-style: normal; font-variant: normal; text-decoration: none; vertical-align: baseline; white-space: pre-wrap;"&gt;mantendo a sentença de origem em todos os seus termos, ID 26861809.&lt;/span&gt;&lt;/span&gt;</w:t>
              <w:tab/>
              <w:tab/>
              <w:t>&lt;/span&gt;</w:t>
            </w:r>
          </w:p>
          <w:p>
            <w:pPr>
              <w:pStyle w:val="TableParagraph"/>
              <w:tabs>
                <w:tab w:pos="5119" w:val="left" w:leader="none"/>
              </w:tabs>
              <w:spacing w:line="208" w:lineRule="auto" w:before="0"/>
              <w:ind w:right="53"/>
              <w:rPr>
                <w:sz w:val="20"/>
              </w:rPr>
            </w:pPr>
            <w:r>
              <w:rPr>
                <w:sz w:val="20"/>
              </w:rPr>
              <w:t>&lt;/span&gt; &lt;/span&gt;&lt;/p&gt;&lt;p style="line-height: 2.16; text-indent: 57pt; text-align: justify; margin-top: 8pt; margin-bottom: 8pt;" dir="ltr"&gt; &lt;span style="color: #000000; background- color: transparent; font-weight: 400; font-style: normal; font-variant: normal; text-decoration: none; vertical-align: baseline; white-space: pre-wrap;"&gt;</w:t>
              <w:tab/>
              <w:t>&lt;span style="font-size: small;"&gt;</w:t>
            </w:r>
          </w:p>
          <w:p>
            <w:pPr>
              <w:pStyle w:val="TableParagraph"/>
              <w:tabs>
                <w:tab w:pos="3511" w:val="left" w:leader="none"/>
                <w:tab w:pos="4761" w:val="left" w:leader="none"/>
                <w:tab w:pos="5818" w:val="left" w:leader="none"/>
                <w:tab w:pos="6763" w:val="left" w:leader="none"/>
                <w:tab w:pos="7093" w:val="left" w:leader="none"/>
              </w:tabs>
              <w:spacing w:line="208" w:lineRule="auto" w:before="0"/>
              <w:ind w:right="508"/>
              <w:rPr>
                <w:sz w:val="20"/>
              </w:rPr>
            </w:pPr>
            <w:r>
              <w:rPr>
                <w:sz w:val="20"/>
              </w:rPr>
              <w:t>&lt;span style="font-size: medium;"&gt;</w:t>
              <w:tab/>
              <w:t>&lt;span style="font-size: medium;"&gt;</w:t>
              <w:tab/>
              <w:tab/>
            </w:r>
            <w:r>
              <w:rPr>
                <w:spacing w:val="-4"/>
                <w:sz w:val="20"/>
              </w:rPr>
              <w:t>&lt;span </w:t>
            </w:r>
            <w:r>
              <w:rPr>
                <w:sz w:val="20"/>
              </w:rPr>
              <w:t>style="font-size: medium;"&gt;É o relatório.&lt;/span&gt;</w:t>
              <w:tab/>
              <w:t>&lt;/span&gt;</w:t>
              <w:tab/>
              <w:t>&lt;/span&gt;</w:t>
              <w:tab/>
              <w:t>&lt;/span&gt;</w:t>
            </w:r>
          </w:p>
          <w:p>
            <w:pPr>
              <w:pStyle w:val="TableParagraph"/>
              <w:spacing w:line="205" w:lineRule="exact" w:before="0"/>
              <w:rPr>
                <w:sz w:val="20"/>
              </w:rPr>
            </w:pPr>
            <w:r>
              <w:rPr>
                <w:sz w:val="20"/>
              </w:rPr>
              <w:t>&lt;/span&gt;&lt;/p&gt;&lt;p style="line-height: 100%; orphans: 0; widows: 0; margin-bottom: 0.21cm;"</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954" w:val="left" w:leader="none"/>
              </w:tabs>
              <w:spacing w:line="215" w:lineRule="exact"/>
              <w:rPr>
                <w:sz w:val="20"/>
              </w:rPr>
            </w:pPr>
            <w:r>
              <w:rPr>
                <w:sz w:val="20"/>
              </w:rPr>
              <w:t>align="justify"&gt;  &lt;strong style="font-weight: normal;"&gt;</w:t>
              <w:tab/>
              <w:t>&lt;span style="font-size: small;"&gt;</w:t>
            </w:r>
          </w:p>
          <w:p>
            <w:pPr>
              <w:pStyle w:val="TableParagraph"/>
              <w:tabs>
                <w:tab w:pos="3127" w:val="left" w:leader="none"/>
                <w:tab w:pos="3511" w:val="left" w:leader="none"/>
                <w:tab w:pos="4205" w:val="left" w:leader="none"/>
                <w:tab w:pos="5373" w:val="left" w:leader="none"/>
                <w:tab w:pos="6429" w:val="left" w:leader="none"/>
                <w:tab w:pos="7093" w:val="left" w:leader="none"/>
                <w:tab w:pos="7374" w:val="left" w:leader="none"/>
              </w:tabs>
              <w:spacing w:line="208" w:lineRule="auto" w:before="9"/>
              <w:ind w:right="55"/>
              <w:rPr>
                <w:sz w:val="20"/>
              </w:rPr>
            </w:pPr>
            <w:r>
              <w:rPr>
                <w:sz w:val="20"/>
              </w:rPr>
              <w:t>&lt;span style="font-size: medium;"&gt;</w:t>
              <w:tab/>
              <w:tab/>
              <w:t>&lt;span style="font-size: medium;"&gt;</w:t>
              <w:tab/>
              <w:t>&lt;span style="font-size: medium;"&gt;</w:t>
              <w:tab/>
              <w:t>&lt;br /&gt;</w:t>
              <w:tab/>
              <w:t>&lt;/span&gt;</w:t>
              <w:tab/>
              <w:t>&lt;/span&gt;</w:t>
              <w:tab/>
              <w:t>&lt;/span&gt;</w:t>
              <w:tab/>
            </w:r>
            <w:r>
              <w:rPr>
                <w:spacing w:val="-3"/>
                <w:sz w:val="20"/>
              </w:rPr>
              <w:t>&lt;/span&gt;</w:t>
            </w:r>
          </w:p>
          <w:p>
            <w:pPr>
              <w:pStyle w:val="TableParagraph"/>
              <w:tabs>
                <w:tab w:pos="4562" w:val="left" w:leader="none"/>
              </w:tabs>
              <w:spacing w:line="208" w:lineRule="auto" w:before="0"/>
              <w:ind w:right="42"/>
              <w:rPr>
                <w:sz w:val="20"/>
              </w:rPr>
            </w:pPr>
            <w:r>
              <w:rPr>
                <w:sz w:val="20"/>
              </w:rPr>
              <w:t>&lt;/strong&gt;&lt;/p&gt;&lt;p style="line-height: 1.7999999999999998; text-align: center; margin-top: 6pt; margin-bottom: 6pt;" dir="ltr"&gt; &lt;span style="color: #000000; background-color: transparent; font-weight: 700;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4194" w:val="left" w:leader="none"/>
                <w:tab w:pos="5250" w:val="left" w:leader="none"/>
                <w:tab w:pos="6196" w:val="left" w:leader="none"/>
                <w:tab w:pos="7093" w:val="left" w:leader="none"/>
              </w:tabs>
              <w:spacing w:line="208" w:lineRule="auto" w:before="0"/>
              <w:ind w:right="508"/>
              <w:rPr>
                <w:sz w:val="20"/>
              </w:rPr>
            </w:pPr>
            <w:r>
              <w:rPr>
                <w:sz w:val="20"/>
              </w:rPr>
              <w:t>&lt;span style="font-size: medium;"&gt;</w:t>
              <w:tab/>
              <w:t>&lt;span style="font-size: medium;"&gt;</w:t>
              <w:tab/>
            </w:r>
            <w:r>
              <w:rPr>
                <w:spacing w:val="-4"/>
                <w:sz w:val="20"/>
              </w:rPr>
              <w:t>&lt;span </w:t>
            </w:r>
            <w:r>
              <w:rPr>
                <w:sz w:val="20"/>
              </w:rPr>
              <w:t>style="font-size: medium;"&gt;VOTO&lt;/span&gt;</w:t>
              <w:tab/>
              <w:t>&lt;/span&gt;</w:t>
              <w:tab/>
              <w:t>&lt;/span&gt;</w:t>
              <w:tab/>
              <w:t>&lt;/span&gt;</w:t>
            </w:r>
          </w:p>
          <w:p>
            <w:pPr>
              <w:pStyle w:val="TableParagraph"/>
              <w:tabs>
                <w:tab w:pos="1550" w:val="left" w:leader="none"/>
                <w:tab w:pos="2549" w:val="left" w:leader="none"/>
                <w:tab w:pos="6020" w:val="left" w:leader="none"/>
                <w:tab w:pos="6553" w:val="left" w:leader="none"/>
              </w:tabs>
              <w:spacing w:line="208" w:lineRule="auto" w:before="0"/>
              <w:ind w:right="115"/>
              <w:rPr>
                <w:sz w:val="20"/>
              </w:rPr>
            </w:pPr>
            <w:r>
              <w:rPr>
                <w:sz w:val="20"/>
              </w:rPr>
              <w:t>&lt;/span&gt;&lt;/p&gt;&lt;p style="line-height: 1.7999999999999998; text-indent: 57pt; text-align: justify; margin-top: 6pt; margin-bottom: 6pt;" dir="ltr"&gt; &lt;span style="color: #000000; background-color: transparent; font-weight: 700; font-style: normal; font-variant: normal; text-decoration: none; vertical-align: baseline; white-space: pre-wrap;"&gt;</w:t>
              <w:tab/>
              <w:t>&lt;span style="font-size: small;"&gt;</w:t>
              <w:tab/>
              <w:t>&lt;span style="font-size: medium;"&gt;</w:t>
              <w:tab/>
              <w:t>&lt;span style="font-size: medium;"&gt;</w:t>
              <w:tab/>
              <w:t>&lt;span style="font-size: medium;"&gt;ADMISSIBILIDADE:&lt;/span&gt;</w:t>
            </w:r>
          </w:p>
          <w:p>
            <w:pPr>
              <w:pStyle w:val="TableParagraph"/>
              <w:tabs>
                <w:tab w:pos="939" w:val="left" w:leader="none"/>
                <w:tab w:pos="1096" w:val="left" w:leader="none"/>
                <w:tab w:pos="2041" w:val="left" w:leader="none"/>
                <w:tab w:pos="3016" w:val="left" w:leader="none"/>
                <w:tab w:pos="3397" w:val="left" w:leader="none"/>
                <w:tab w:pos="4054" w:val="left" w:leader="none"/>
                <w:tab w:pos="4453" w:val="left" w:leader="none"/>
                <w:tab w:pos="4562" w:val="left" w:leader="none"/>
                <w:tab w:pos="5398" w:val="left" w:leader="none"/>
                <w:tab w:pos="7525" w:val="left" w:leader="none"/>
              </w:tabs>
              <w:spacing w:line="208" w:lineRule="auto" w:before="0"/>
              <w:ind w:right="42"/>
              <w:rPr>
                <w:sz w:val="20"/>
              </w:rPr>
            </w:pPr>
            <w:r>
              <w:rPr>
                <w:sz w:val="20"/>
              </w:rPr>
              <w:t>&lt;/span&gt;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&lt;span style="font-size: medium;"&gt;</w:t>
              <w:tab/>
              <w:t>&lt;span style="font-size: medium;"&gt;</w:t>
              <w:tab/>
              <w:t>&lt;span style="font-size: medium;"&gt;Conheço do recurso interposto, porquanto presentes os pressupostos intrínsecos e extrínsecos de admissibilidade recursal.&lt;/span&gt;</w:t>
              <w:tab/>
              <w:tab/>
              <w:t>&lt;/span&gt;</w:t>
              <w:tab/>
              <w:t>&lt;/span&gt;</w:t>
              <w:tab/>
              <w:t>&lt;/span&gt; &lt;/span&gt;&lt;/p&gt;&lt;p style="line-height: 1.7999999999999998; text-indent: 57pt; text-align: justify; margin-top: 6pt; margin-bottom: 6pt;" dir="ltr"&gt; &lt;span style="color: #000000; background-color: transparent; font-weight: 700; font-style: normal; font-variant: normal; text-decoration: </w:t>
            </w:r>
            <w:r>
              <w:rPr>
                <w:spacing w:val="-4"/>
                <w:sz w:val="20"/>
              </w:rPr>
              <w:t>none; </w:t>
            </w:r>
            <w:r>
              <w:rPr>
                <w:sz w:val="20"/>
              </w:rPr>
              <w:t>vertical-align: baseline; white-space: pre-wrap;"&gt;</w:t>
              <w:tab/>
              <w:tab/>
              <w:t>&lt;span style="font-size: small;"&gt;</w:t>
            </w:r>
          </w:p>
          <w:p>
            <w:pPr>
              <w:pStyle w:val="TableParagraph"/>
              <w:tabs>
                <w:tab w:pos="3511" w:val="left" w:leader="none"/>
                <w:tab w:pos="6150" w:val="left" w:leader="none"/>
                <w:tab w:pos="7093" w:val="left" w:leader="none"/>
                <w:tab w:pos="7206" w:val="left" w:leader="none"/>
              </w:tabs>
              <w:spacing w:line="208" w:lineRule="auto" w:before="0"/>
              <w:ind w:right="223"/>
              <w:rPr>
                <w:sz w:val="20"/>
              </w:rPr>
            </w:pPr>
            <w:r>
              <w:rPr>
                <w:sz w:val="20"/>
              </w:rPr>
              <w:t>&lt;span style="font-size: medium;"&gt;</w:t>
              <w:tab/>
              <w:t>&lt;span style="font-size: medium;"&gt;</w:t>
              <w:tab/>
              <w:t>&lt;span style="font-size: medium;"&gt;PREJUDICIAL DE MÉRITO:&lt;/span&gt;</w:t>
              <w:tab/>
              <w:t>&lt;/span&gt;</w:t>
              <w:tab/>
              <w:tab/>
            </w:r>
            <w:r>
              <w:rPr>
                <w:spacing w:val="-3"/>
                <w:sz w:val="20"/>
              </w:rPr>
              <w:t>&lt;/span&gt;</w:t>
            </w:r>
          </w:p>
          <w:p>
            <w:pPr>
              <w:pStyle w:val="TableParagraph"/>
              <w:tabs>
                <w:tab w:pos="1550" w:val="left" w:leader="none"/>
                <w:tab w:pos="2549" w:val="left" w:leader="none"/>
                <w:tab w:pos="6020" w:val="left" w:leader="none"/>
                <w:tab w:pos="6553" w:val="left" w:leader="none"/>
                <w:tab w:pos="6744" w:val="left" w:leader="none"/>
              </w:tabs>
              <w:spacing w:line="208" w:lineRule="auto" w:before="0"/>
              <w:ind w:right="115"/>
              <w:rPr>
                <w:sz w:val="20"/>
              </w:rPr>
            </w:pPr>
            <w:r>
              <w:rPr>
                <w:sz w:val="20"/>
              </w:rPr>
              <w:t>&lt;/span&gt; &lt;/span&gt;&lt;/p&gt;&lt;p style="line-height: 1.7999999999999998; text-indent: 57pt; text- align: justify; margin-top: 6pt; margin-bottom: 6pt;" dir="ltr"&gt; &lt;span style="color: #000000; background-color: transparent; font-weight: 700; font-style: normal; font-variant: normal; text-decoration: none; vertical-align: baseline; white-space: pre-wrap;"&gt;</w:t>
              <w:tab/>
              <w:t>&lt;span style="font-size: small;"&gt;</w:t>
              <w:tab/>
              <w:t>&lt;span style="font-size: medium;"&gt;</w:t>
              <w:tab/>
              <w:t>&lt;span style="font-size: medium;"&gt;</w:t>
              <w:tab/>
              <w:t>&lt;span style="font-size: medium;"&gt;Prescrição:&lt;/span&gt;</w:t>
              <w:tab/>
              <w:tab/>
              <w:t>&lt;/span&gt;</w:t>
            </w:r>
          </w:p>
          <w:p>
            <w:pPr>
              <w:pStyle w:val="TableParagraph"/>
              <w:tabs>
                <w:tab w:pos="985" w:val="left" w:leader="none"/>
                <w:tab w:pos="1550" w:val="left" w:leader="none"/>
                <w:tab w:pos="2549" w:val="left" w:leader="none"/>
                <w:tab w:pos="6020" w:val="left" w:leader="none"/>
                <w:tab w:pos="6994" w:val="left" w:leader="none"/>
                <w:tab w:pos="7275" w:val="left" w:leader="none"/>
              </w:tabs>
              <w:spacing w:line="208" w:lineRule="auto" w:before="0"/>
              <w:ind w:right="75"/>
              <w:rPr>
                <w:sz w:val="20"/>
              </w:rPr>
            </w:pPr>
            <w:r>
              <w:rPr>
                <w:sz w:val="20"/>
              </w:rPr>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medium;"&gt;Cuida-se a prescrição de matéria que pode ser arguida a qualquer tempo e grau de jurisdição, pela parte a quem aproveita ( Código Civil, art. 193), admitindo-se, ademais, o seu reconhecimento de ofício, nos </w:t>
            </w:r>
            <w:r>
              <w:rPr>
                <w:spacing w:val="-3"/>
                <w:sz w:val="20"/>
              </w:rPr>
              <w:t>termos </w:t>
            </w:r>
            <w:r>
              <w:rPr>
                <w:sz w:val="20"/>
              </w:rPr>
              <w:t>dos arts. 332, § 1º, e 487, II, ambos do Código de Processo Civil.&lt;/span&gt;</w:t>
              <w:tab/>
              <w:t>&lt;/span&gt;</w:t>
            </w:r>
          </w:p>
          <w:p>
            <w:pPr>
              <w:pStyle w:val="TableParagraph"/>
              <w:tabs>
                <w:tab w:pos="985" w:val="left" w:leader="none"/>
                <w:tab w:pos="1550" w:val="left" w:leader="none"/>
                <w:tab w:pos="2549" w:val="left" w:leader="none"/>
                <w:tab w:pos="6020" w:val="left" w:leader="none"/>
                <w:tab w:pos="6309" w:val="left" w:leader="none"/>
                <w:tab w:pos="7275" w:val="left" w:leader="none"/>
                <w:tab w:pos="7365" w:val="left" w:leader="none"/>
              </w:tabs>
              <w:spacing w:line="208" w:lineRule="auto" w:before="0"/>
              <w:ind w:right="64"/>
              <w:rPr>
                <w:sz w:val="20"/>
              </w:rPr>
            </w:pPr>
            <w:r>
              <w:rPr>
                <w:sz w:val="20"/>
              </w:rPr>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medium;"&gt;No caso, trata-se de relação consumerista, incidindo as normas protetivas do Código de Defesa do Consumidor - CDC, que são de ordem pública e de interesse social. É uma norma especial, não aplicando a tese do prazo prescricional do Código Civil, por ser regra.&lt;/span&gt;</w:t>
              <w:tab/>
              <w:tab/>
              <w:t>&lt;/span&gt;</w:t>
              <w:tab/>
              <w:tab/>
            </w:r>
            <w:r>
              <w:rPr>
                <w:spacing w:val="-3"/>
                <w:sz w:val="20"/>
              </w:rPr>
              <w:t>&lt;/span&gt;</w:t>
            </w:r>
          </w:p>
          <w:p>
            <w:pPr>
              <w:pStyle w:val="TableParagraph"/>
              <w:tabs>
                <w:tab w:pos="1550" w:val="left" w:leader="none"/>
                <w:tab w:pos="1905" w:val="left" w:leader="none"/>
                <w:tab w:pos="2549" w:val="left" w:leader="none"/>
                <w:tab w:pos="2585" w:val="left" w:leader="none"/>
                <w:tab w:pos="3329" w:val="left" w:leader="none"/>
                <w:tab w:pos="3642" w:val="left" w:leader="none"/>
                <w:tab w:pos="4587" w:val="left" w:leader="none"/>
                <w:tab w:pos="5488" w:val="left" w:leader="none"/>
                <w:tab w:pos="6020" w:val="left" w:leader="none"/>
                <w:tab w:pos="6444" w:val="left" w:leader="none"/>
                <w:tab w:pos="6553" w:val="left" w:leader="none"/>
              </w:tabs>
              <w:spacing w:line="208" w:lineRule="auto" w:before="0"/>
              <w:ind w:right="102"/>
              <w:rPr>
                <w:sz w:val="20"/>
              </w:rPr>
            </w:pPr>
            <w:r>
              <w:rPr>
                <w:sz w:val="20"/>
              </w:rPr>
              <w:t>&lt;/span&gt; &lt;/span&gt;&lt;/p&gt;&lt;p style="line-height: 1.7999999999999998; text-indent: 57pt; text- align: justify; margin-top: 6pt; margin-bottom: 6pt;" dir="ltr"&gt; &lt;span style="color: #000000; background-color: transparent; font-weight: 400; font-style: normal; font-variant: normal; text-decoration: none; vertical-align: baseline; white-space: pre-wrap;"&gt;</w:t>
              <w:tab/>
              <w:tab/>
              <w:t>&lt;span style="font-size: small;"&gt;</w:t>
              <w:tab/>
              <w:t>&lt;span style="font-size: medium;"&gt;</w:t>
              <w:tab/>
              <w:t>&lt;span style="font-size: medium;"&gt;</w:t>
              <w:tab/>
              <w:t>&lt;span style="font-size: medium;"&gt;Dessa forma, os bancos, como prestadores de serviços contemplados no art. 3º, do CDC estão submetidos às disposições do diploma consumerista, atraindo para o caso concreto as normas desse sistema.&amp;#160;&lt;/span&gt;</w:t>
              <w:tab/>
              <w:tab/>
              <w:t>&lt;/span&gt;</w:t>
              <w:tab/>
              <w:tab/>
              <w:t>&lt;/span&gt;</w:t>
              <w:tab/>
              <w:t>&lt;/span&gt; &lt;/span&gt;&lt;/p&gt;&lt;p style="line- height: 1.7999999999999998;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w:t>
            </w:r>
            <w:r>
              <w:rPr>
                <w:spacing w:val="-2"/>
                <w:sz w:val="20"/>
              </w:rPr>
              <w:t>style="font- </w:t>
            </w:r>
            <w:r>
              <w:rPr>
                <w:sz w:val="20"/>
              </w:rPr>
              <w:t>size: medium;"&gt;</w:t>
              <w:tab/>
              <w:tab/>
              <w:t>&lt;span style="font-size: medium;"&gt;</w:t>
              <w:tab/>
              <w:t>&lt;span style="font-size:</w:t>
            </w:r>
          </w:p>
          <w:p>
            <w:pPr>
              <w:pStyle w:val="TableParagraph"/>
              <w:spacing w:line="208" w:lineRule="auto" w:before="0"/>
              <w:ind w:right="54"/>
              <w:rPr>
                <w:sz w:val="20"/>
              </w:rPr>
            </w:pPr>
            <w:r>
              <w:rPr>
                <w:sz w:val="20"/>
              </w:rPr>
              <w:t>medium;"&gt;Com efeito, as normas do Código de Defesa do Consumidor estabelecem </w:t>
            </w:r>
            <w:r>
              <w:rPr>
                <w:spacing w:val="-4"/>
                <w:sz w:val="20"/>
              </w:rPr>
              <w:t>prazo </w:t>
            </w:r>
            <w:r>
              <w:rPr>
                <w:sz w:val="20"/>
              </w:rPr>
              <w:t>prescricional quinquenal para as ações que pretendem a reparação de danos causados por falhas na prestação de serviço dessa natureza, qual seja, alegativa de desconto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831" w:val="left" w:leader="none"/>
                <w:tab w:pos="5888" w:val="left" w:leader="none"/>
                <w:tab w:pos="6833" w:val="left" w:leader="none"/>
              </w:tabs>
              <w:spacing w:line="208" w:lineRule="auto" w:before="26"/>
              <w:ind w:right="208"/>
              <w:rPr>
                <w:sz w:val="20"/>
              </w:rPr>
            </w:pPr>
            <w:r>
              <w:rPr>
                <w:sz w:val="20"/>
              </w:rPr>
              <w:t>indevido na conta bancária do consumidor, decorrente de suposta fraude. Vejamos o </w:t>
            </w:r>
            <w:r>
              <w:rPr>
                <w:spacing w:val="-5"/>
                <w:sz w:val="20"/>
              </w:rPr>
              <w:t>Art. </w:t>
            </w:r>
            <w:r>
              <w:rPr>
                <w:sz w:val="20"/>
              </w:rPr>
              <w:t>27 do Código de Defesa do Consumidor:&lt;/span&gt;</w:t>
              <w:tab/>
              <w:t>&lt;/span&gt;</w:t>
              <w:tab/>
              <w:t>&lt;/span&gt;</w:t>
              <w:tab/>
              <w:t>&lt;/span&gt;</w:t>
            </w:r>
          </w:p>
          <w:p>
            <w:pPr>
              <w:pStyle w:val="TableParagraph"/>
              <w:tabs>
                <w:tab w:pos="1661" w:val="left" w:leader="none"/>
                <w:tab w:pos="1729" w:val="left" w:leader="none"/>
                <w:tab w:pos="1905" w:val="left" w:leader="none"/>
                <w:tab w:pos="2896" w:val="left" w:leader="none"/>
                <w:tab w:pos="3329" w:val="left" w:leader="none"/>
                <w:tab w:pos="3952" w:val="left" w:leader="none"/>
                <w:tab w:pos="4562" w:val="left" w:leader="none"/>
                <w:tab w:pos="4897" w:val="left" w:leader="none"/>
                <w:tab w:pos="5488" w:val="left" w:leader="none"/>
                <w:tab w:pos="6444" w:val="left" w:leader="none"/>
              </w:tabs>
              <w:spacing w:line="208" w:lineRule="auto" w:before="0"/>
              <w:ind w:right="37"/>
              <w:rPr>
                <w:sz w:val="20"/>
              </w:rPr>
            </w:pPr>
            <w:r>
              <w:rPr>
                <w:sz w:val="20"/>
              </w:rPr>
              <w:t>&lt;/span&gt;&lt;/p&gt;&lt;p style="line-height: 1.7999999999999998; margin-left: 113.38582677165351pt; text-indent: 57pt; text-align: justify; margin-top: 12pt; margin- bottom: 12pt;" dir="ltr"&gt;&amp;#160;&lt;/p&gt;&lt;p style="line-height: 1.7999999999999998; margin-left: 113.38582677165351pt; text-indent: 57pt; text-align: justify; margin-top: 12pt; margin- bottom: 12pt;" dir="ltr"&gt; &lt;span style="color: #000000; background-color: transparent; font- weight: 400; font-style: normal; font-variant: normal; text-decoration: none; vertical-align: baseline; white-space: pre-wrap;"&gt;</w:t>
              <w:tab/>
              <w:t>&lt;span style="font-size: small;"&gt;</w:t>
              <w:tab/>
              <w:t>&lt;span style="font- size: medium;"&gt;</w:t>
              <w:tab/>
              <w:tab/>
              <w:tab/>
              <w:t>&lt;span style="font-size: medium;"&gt;</w:t>
              <w:tab/>
              <w:t>&lt;span style="font-size: medium;"&gt;</w:t>
              <w:tab/>
              <w:t>&lt;em&gt;Art. 27. Prescreve em cinco anos a pretensão à reparação pelos danos causados por fato do produto ou do serviço prevista na Seção II deste Capítulo, iniciando-se a contagem do prazo a partir do conhecimento do dano e de sua autoria. (CDC)&lt;/em&gt;</w:t>
              <w:tab/>
              <w:tab/>
              <w:t>&lt;/span&gt;</w:t>
              <w:tab/>
              <w:t>&lt;/span&gt;</w:t>
              <w:tab/>
              <w:t>&lt;/span&gt;</w:t>
              <w:tab/>
              <w:t>&lt;/span&gt; &lt;/span&gt;&lt;/p&gt;&lt;p </w:t>
            </w:r>
            <w:r>
              <w:rPr>
                <w:spacing w:val="-2"/>
                <w:sz w:val="20"/>
              </w:rPr>
              <w:t>style="line- </w:t>
            </w:r>
            <w:r>
              <w:rPr>
                <w:sz w:val="20"/>
              </w:rPr>
              <w:t>height: 1.7999999999999998; text-indent: 56.692913385826756pt; text-align: justify; margin-top: 12pt; margin-bottom: 12pt;" dir="ltr"&gt;&amp;#160;&lt;/p&gt;&lt;p style="line-height: 1.7999999999999998; text-indent: 56.692913385826756pt; text-align: justify; margin-top: 12pt; margin-bottom: 12pt;" dir="ltr"&gt; &lt;span style="color: #000000; background-color: transparent; font-weight: 400; font-style: normal; font-variant: normal; text-decoration: </w:t>
            </w:r>
            <w:r>
              <w:rPr>
                <w:spacing w:val="-3"/>
                <w:sz w:val="20"/>
              </w:rPr>
              <w:t>none; </w:t>
            </w:r>
            <w:r>
              <w:rPr>
                <w:sz w:val="20"/>
              </w:rPr>
              <w:t>vertical-align: baseline; white-space: pre-wrap;"&gt;</w:t>
              <w:tab/>
              <w:t>&lt;span style="font-size: small;"&gt;</w:t>
            </w:r>
          </w:p>
          <w:p>
            <w:pPr>
              <w:pStyle w:val="TableParagraph"/>
              <w:tabs>
                <w:tab w:pos="3511" w:val="left" w:leader="none"/>
                <w:tab w:pos="5565" w:val="left" w:leader="none"/>
                <w:tab w:pos="6622" w:val="left" w:leader="none"/>
                <w:tab w:pos="7093" w:val="left" w:leader="none"/>
              </w:tabs>
              <w:spacing w:line="208" w:lineRule="auto" w:before="0"/>
              <w:ind w:right="208"/>
              <w:rPr>
                <w:sz w:val="20"/>
              </w:rPr>
            </w:pPr>
            <w:r>
              <w:rPr>
                <w:sz w:val="20"/>
              </w:rPr>
              <w:t>&lt;span style="font-size: medium;"&gt;</w:t>
              <w:tab/>
              <w:t>&lt;span style="font-size: medium;"&gt;</w:t>
              <w:tab/>
              <w:tab/>
              <w:t>&lt;span style="font-size: medium;"&gt;Analisando o texto legal acima reproduzido, denota-se que o Código de Defesa do Consumidor foi assertivo ao estabelecer que o prazo para </w:t>
            </w:r>
            <w:r>
              <w:rPr>
                <w:spacing w:val="-3"/>
                <w:sz w:val="20"/>
              </w:rPr>
              <w:t>reclamar </w:t>
            </w:r>
            <w:r>
              <w:rPr>
                <w:sz w:val="20"/>
              </w:rPr>
              <w:t>perdas e danos por fato do produto, ou do serviço, é de 5 (cinco) anos e apenas inicia a partir do conhecimento do dano e de sua autoria.&lt;/span&gt;</w:t>
              <w:tab/>
              <w:t>&lt;/span&gt;</w:t>
              <w:tab/>
              <w:t>&lt;/span&gt;</w:t>
            </w:r>
          </w:p>
          <w:p>
            <w:pPr>
              <w:pStyle w:val="TableParagraph"/>
              <w:spacing w:line="208" w:lineRule="auto" w:before="0"/>
              <w:rPr>
                <w:sz w:val="20"/>
              </w:rPr>
            </w:pPr>
            <w:r>
              <w:rPr>
                <w:sz w:val="20"/>
              </w:rPr>
              <w:t>&lt;/span&gt; &lt;/span&gt;&lt;/p&gt;&lt;p style="line-height: 1.7999999999999998; text-indent: 56.692913385826756pt; text-align: justify; margin-top: 12pt; margin-bottom: 12pt;"</w:t>
            </w:r>
            <w:r>
              <w:rPr>
                <w:spacing w:val="-18"/>
                <w:sz w:val="20"/>
              </w:rPr>
              <w:t> </w:t>
            </w:r>
            <w:r>
              <w:rPr>
                <w:sz w:val="20"/>
              </w:rPr>
              <w:t>dir="ltr"&gt;</w:t>
            </w:r>
          </w:p>
          <w:p>
            <w:pPr>
              <w:pStyle w:val="TableParagraph"/>
              <w:tabs>
                <w:tab w:pos="1439" w:val="left" w:leader="none"/>
                <w:tab w:pos="1794" w:val="left" w:leader="none"/>
                <w:tab w:pos="1905" w:val="left" w:leader="none"/>
                <w:tab w:pos="2473" w:val="left" w:leader="none"/>
                <w:tab w:pos="2551" w:val="left" w:leader="none"/>
                <w:tab w:pos="2707" w:val="left" w:leader="none"/>
                <w:tab w:pos="2897" w:val="left" w:leader="none"/>
                <w:tab w:pos="3044" w:val="left" w:leader="none"/>
                <w:tab w:pos="3842" w:val="left" w:leader="none"/>
                <w:tab w:pos="4145" w:val="left" w:leader="none"/>
                <w:tab w:pos="4685" w:val="left" w:leader="none"/>
                <w:tab w:pos="4775" w:val="left" w:leader="none"/>
                <w:tab w:pos="5021" w:val="left" w:leader="none"/>
                <w:tab w:pos="5086" w:val="left" w:leader="none"/>
                <w:tab w:pos="5266" w:val="left" w:leader="none"/>
                <w:tab w:pos="5377" w:val="left" w:leader="none"/>
                <w:tab w:pos="5588" w:val="left" w:leader="none"/>
                <w:tab w:pos="6169" w:val="left" w:leader="none"/>
                <w:tab w:pos="6404" w:val="left" w:leader="none"/>
                <w:tab w:pos="7266" w:val="left" w:leader="none"/>
              </w:tabs>
              <w:spacing w:line="208" w:lineRule="auto" w:before="0"/>
              <w:ind w:right="20"/>
              <w:rPr>
                <w:sz w:val="20"/>
              </w:rPr>
            </w:pPr>
            <w:r>
              <w:rPr>
                <w:sz w:val="20"/>
              </w:rPr>
              <w:t>&lt;span style="font-size: small;"&gt;</w:t>
              <w:tab/>
              <w:tab/>
              <w:t>&lt;span style="font-size: medium;"&gt;</w:t>
              <w:tab/>
              <w:tab/>
              <w:t>&lt;span style="font- size: medium;"&gt;</w:t>
              <w:tab/>
              <w:tab/>
              <w:t>&lt;span style="font-size: medium;"&gt;</w:t>
              <w:tab/>
              <w:tab/>
              <w:tab/>
              <w:tab/>
              <w:t>&lt;span style="color: #000000; background-color: transparent; font-weight: 400; font-style: normal; font-variant: normal; text-decoration: none; vertical-align: baseline; white-space: pre-wrap;"&gt;Enquadrando-se o caso como fato do produto ou do serviço, atrai a aplicação do prazo prescricional previsto no dispositivo supracitado. Assim é que&lt;/span&gt;</w:t>
              <w:tab/>
              <w:tab/>
              <w:t>&lt;span style="color: #000000; background-color: transparent; font-weight: 400; font-style: italic; font-variant: normal; text- decoration: none; vertical-align: baseline; white-space: pre-wrap;"&gt;"o fornecedor de serviços responde, independentemente da existência de culpa, pela reparação dos danos causados aos consumidores por defeitos relativos à prestação dos serviços, bem como </w:t>
            </w:r>
            <w:r>
              <w:rPr>
                <w:spacing w:val="-6"/>
                <w:sz w:val="20"/>
              </w:rPr>
              <w:t>por </w:t>
            </w:r>
            <w:r>
              <w:rPr>
                <w:sz w:val="20"/>
              </w:rPr>
              <w:t>informações insuficientes ou inadequadas sobre sua fruição e riscos&lt;/span&gt;</w:t>
              <w:tab/>
              <w:t>&lt;span style="color: #000000; background-color: transparent; font-weight: 400; font-style: normal; font-variant: normal; text-decoration: none; vertical-align: baseline; white-space: pre- wrap;"&gt;" (art. 14 do CDC).&lt;/span&gt;&lt;/span&gt;</w:t>
              <w:tab/>
              <w:tab/>
              <w:t>&lt;/span&gt;</w:t>
              <w:tab/>
              <w:tab/>
              <w:t>&lt;/span&gt; &lt;/span&gt;&lt;/p&gt;&lt;p style="line-height: 1.7999999999999998; text-indent: 57pt; text-align: justify; margin-top: 6pt; margin-bottom: 6pt;" dir="ltr"&gt;  &lt;span style="font-size: small;"&gt;</w:t>
              <w:tab/>
              <w:t>&lt;span style="font- size: medium;"&gt;</w:t>
              <w:tab/>
              <w:t>&lt;span style="font-size: medium;"&gt;</w:t>
              <w:tab/>
              <w:tab/>
              <w:tab/>
              <w:t>&lt;span style="font-size: medium;"&gt;</w:t>
              <w:tab/>
              <w:t>&lt;span style="color: #000000; background-color: transparent; font-weight: 400; font-style: normal; font-variant: normal; text-decoration: none; vertical-align: baseline; white-space: pre-wrap;"&gt;Aplicável ao caso o prazo prescricional de 05 (cinco) anos, nos termos do artigo&lt;/span&gt;</w:t>
              <w:tab/>
              <w:tab/>
              <w:tab/>
              <w:t>&lt;span style="font-size: 14pt; color: #000000; background- color: transparent; font-weight: 400; font-style: normal; font-variant: normal; text-decoration- skip-ink: none; vertical-align: baseline; white-space: pre-wrap; text-decoration: underline;"&gt;27&lt;/span&gt;</w:t>
              <w:tab/>
              <w:tab/>
              <w:t>&lt;span style="color: #000000; background-color: transparent; font-weight: 400; font-style: normal; font-variant: normal; text-decoration: none; vertical- align: baseline; white-space: pre-wrap;"&gt;do&lt;/span&gt;</w:t>
              <w:tab/>
              <w:tab/>
              <w:tab/>
              <w:tab/>
              <w:t>&lt;span style="font-size: 14pt; color: #000000; background-color: transparent; font-weight: 400; font-style: normal; font- variant: normal; text-decoration-skip-ink: none; vertical-align: baseline; white-space: pre- wrap; text-decoration: underline;"&gt;CDC&lt;/span&gt;</w:t>
              <w:tab/>
              <w:t>&lt;span style="color: #000000; background-color: transparent; font-weight: 400; font-style: normal; font-variant: normal; text-decoration: none; vertical-align: baseline; white-space: pre-wrap;"&gt;, para dedução da pretensão reparatória dos eventuais danos causados por fato do produto ou do serviço, bem como do início da contagem do prazo nos casos de empréstimo consignado.&lt;/span&gt;&lt;/span&gt;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ab/>
              <w:tab/>
              <w:t>&lt;span style="font-size: medium;"&gt;</w:t>
              <w:tab/>
              <w:t>&lt;span style="font-size: medium;"&gt;</w:t>
              <w:tab/>
              <w:tab/>
              <w:tab/>
              <w:t>&lt;span style="font-size: medium;"&gt;Assim, em se tratando de prescrição de trato sucessivo, este se renova mês a mês, através dos descontos nos proventos da recorrente. Nesse caso verificando-se que os descontos referentes ao empréstimo em discussão, tiveram início em 08/2020 e a propositura da ação se deu em 09/2024, tem-se que a pretensão da autora não foi atingida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05" w:val="left" w:leader="none"/>
                <w:tab w:pos="2674" w:val="left" w:leader="none"/>
                <w:tab w:pos="3329" w:val="left" w:leader="none"/>
                <w:tab w:pos="3730" w:val="left" w:leader="none"/>
                <w:tab w:pos="4331" w:val="left" w:leader="none"/>
                <w:tab w:pos="4676" w:val="left" w:leader="none"/>
                <w:tab w:pos="5387" w:val="left" w:leader="none"/>
                <w:tab w:pos="5488" w:val="left" w:leader="none"/>
                <w:tab w:pos="6332" w:val="left" w:leader="none"/>
                <w:tab w:pos="6444" w:val="left" w:leader="none"/>
              </w:tabs>
              <w:spacing w:line="208" w:lineRule="auto" w:before="26"/>
              <w:ind w:right="102"/>
              <w:rPr>
                <w:sz w:val="20"/>
              </w:rPr>
            </w:pPr>
            <w:r>
              <w:rPr>
                <w:sz w:val="20"/>
              </w:rPr>
              <w:t>pela prescrição .&lt;/span&gt;</w:t>
              <w:tab/>
              <w:t>&lt;/span&gt;</w:t>
              <w:tab/>
              <w:t>&lt;/span&gt;</w:t>
              <w:tab/>
              <w:t>&lt;/span&gt; &lt;/span&gt;&lt;/p&gt;&lt;p style="line- height: 1.7999999999999998;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ab/>
              <w:t>&lt;span </w:t>
            </w:r>
            <w:r>
              <w:rPr>
                <w:spacing w:val="-2"/>
                <w:sz w:val="20"/>
              </w:rPr>
              <w:t>style="font- </w:t>
            </w:r>
            <w:r>
              <w:rPr>
                <w:sz w:val="20"/>
              </w:rPr>
              <w:t>size: medium;"&gt;</w:t>
              <w:tab/>
              <w:t>&lt;span style="font-size: medium;"&gt;</w:t>
              <w:tab/>
              <w:tab/>
              <w:t>&lt;span style="font-size: medium;"&gt;Assim, na data do protocolo da ação ainda não havia escoado o prazo de </w:t>
            </w:r>
            <w:r>
              <w:rPr>
                <w:spacing w:val="-3"/>
                <w:sz w:val="20"/>
              </w:rPr>
              <w:t>cinco </w:t>
            </w:r>
            <w:r>
              <w:rPr>
                <w:sz w:val="20"/>
              </w:rPr>
              <w:t>anos para seu manejo. Há que se observar, sim, pela existência de parcelas prescritas anteriores ao ajuizamento da ação.&lt;/span&gt;</w:t>
              <w:tab/>
              <w:t>&lt;/span&gt;</w:t>
              <w:tab/>
              <w:t>&lt;/span&gt;</w:t>
              <w:tab/>
              <w:t>&lt;/span&gt;</w:t>
            </w:r>
          </w:p>
          <w:p>
            <w:pPr>
              <w:pStyle w:val="TableParagraph"/>
              <w:spacing w:line="208" w:lineRule="auto" w:before="0"/>
              <w:ind w:right="415"/>
              <w:rPr>
                <w:sz w:val="20"/>
              </w:rPr>
            </w:pPr>
            <w:r>
              <w:rPr>
                <w:sz w:val="20"/>
              </w:rPr>
              <w:t>&lt;/span&gt;&lt;/p&gt;&lt;p style="line-height: 1.7999999999999998; text-indent: 57pt; text-align: justify; margin-top: 6pt; margin-bottom: 6pt;" dir="ltr"&gt; &lt;span style="font-size: small;"&gt;</w:t>
            </w:r>
          </w:p>
          <w:p>
            <w:pPr>
              <w:pStyle w:val="TableParagraph"/>
              <w:tabs>
                <w:tab w:pos="2905" w:val="left" w:leader="none"/>
                <w:tab w:pos="3400" w:val="left" w:leader="none"/>
                <w:tab w:pos="6277" w:val="left" w:leader="none"/>
                <w:tab w:pos="6871" w:val="left" w:leader="none"/>
              </w:tabs>
              <w:spacing w:line="208" w:lineRule="auto" w:before="0"/>
              <w:ind w:right="42"/>
              <w:rPr>
                <w:sz w:val="20"/>
              </w:rPr>
            </w:pPr>
            <w:r>
              <w:rPr>
                <w:sz w:val="20"/>
              </w:rPr>
              <w:t>&lt;span style="font-size: medium;"&gt;</w:t>
              <w:tab/>
              <w:t>&lt;span style="font-size: medium;"&gt;</w:t>
              <w:tab/>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pre-wrap;"&gt;Este, é o entendimento do Superior Tribunal de Justiça que, cuidando do assunto proclamou&lt;/span&gt;</w:t>
              <w:tab/>
              <w:t>&lt;span style="color: #000000; background-color: transparent; font-weight: 700; font-style: normal; font-variant: normal; text-decoration: none; vertical-align: baseline; white-space: pre-wrap;"&gt;,&lt;/span&gt;</w:t>
            </w:r>
          </w:p>
          <w:p>
            <w:pPr>
              <w:pStyle w:val="TableParagraph"/>
              <w:tabs>
                <w:tab w:pos="1439" w:val="left" w:leader="none"/>
                <w:tab w:pos="2438" w:val="left" w:leader="none"/>
                <w:tab w:pos="4607" w:val="left" w:leader="none"/>
                <w:tab w:pos="4910" w:val="left" w:leader="none"/>
                <w:tab w:pos="5552" w:val="left" w:leader="none"/>
                <w:tab w:pos="5798" w:val="left" w:leader="none"/>
              </w:tabs>
              <w:spacing w:line="208" w:lineRule="auto" w:before="0"/>
              <w:ind w:right="56"/>
              <w:rPr>
                <w:sz w:val="20"/>
              </w:rPr>
            </w:pPr>
            <w:r>
              <w:rPr>
                <w:sz w:val="20"/>
              </w:rPr>
              <w:t>&lt;span style="color: #000000; background-color: transparent; font-weight: 400; font-style: normal; font-variant: normal; text-decoration: none; vertical-align: baseline; white-space: pre-wrap;"&gt;verbatim et litteram:&lt;/span&gt;&lt;/span&gt;</w:t>
              <w:tab/>
              <w:t>&lt;/span&gt;</w:t>
              <w:tab/>
              <w:t>&lt;/span&gt; &lt;/span&gt;&lt;/p&gt;&lt;p style="line-height: 1.7999999999999998; margin-left: 113.38582677165351pt; text-indent: 63.75pt; text-align: justify; margin-top: 12pt; margin-bottom: 12pt;" dir="ltr"&gt; &lt;span style="font-size: small;"&gt;</w:t>
              <w:tab/>
              <w:t>&lt;span style="font-size: medium;"&gt;</w:t>
              <w:tab/>
              <w:tab/>
              <w:t>&lt;span style="font-size: medium;"&gt;</w:t>
              <w:tab/>
              <w:t>&lt;span style="font-size: medium;"&gt;</w:t>
              <w:tab/>
              <w:tab/>
              <w:t>&lt;span style="color: #000000; background-color: transparent; font-weight: 400; font-style: normal; font-variant: normal; text-decoration: none; vertical-align: baseline; white-space: pre-wrap;"&gt;AGRAVO INTERNO NO AGRAVO EM RECURSO ESPECIAL. AÇÃO DECLARATÓRIA DE INEXISTÊNCIA DE DÉBITO CUMULADA COM REPETIÇÃO DE INDÉBITO E DANOS MORAIS. PRAZO PRESCRICIONAL QUINQUENAL. TERMO INICIAL. DATA DO </w:t>
            </w:r>
            <w:r>
              <w:rPr>
                <w:spacing w:val="-3"/>
                <w:sz w:val="20"/>
              </w:rPr>
              <w:t>ÚLTIMO</w:t>
            </w:r>
          </w:p>
          <w:p>
            <w:pPr>
              <w:pStyle w:val="TableParagraph"/>
              <w:tabs>
                <w:tab w:pos="2151" w:val="left" w:leader="none"/>
                <w:tab w:pos="2384" w:val="left" w:leader="none"/>
                <w:tab w:pos="3229" w:val="left" w:leader="none"/>
                <w:tab w:pos="3340" w:val="left" w:leader="none"/>
                <w:tab w:pos="3541" w:val="left" w:leader="none"/>
                <w:tab w:pos="4197" w:val="left" w:leader="none"/>
                <w:tab w:pos="4963" w:val="left" w:leader="none"/>
              </w:tabs>
              <w:spacing w:line="208" w:lineRule="auto" w:before="0"/>
              <w:ind w:right="42"/>
              <w:rPr>
                <w:sz w:val="20"/>
              </w:rPr>
            </w:pPr>
            <w:r>
              <w:rPr>
                <w:sz w:val="20"/>
              </w:rPr>
              <w:t>DESCONTO. SÚMULA&lt;/span&gt;</w:t>
              <w:tab/>
              <w:tab/>
              <w:t>&lt;span style="font-size: 14pt; color: #000000; background-color: transparent; font-weight: 400; font-style: normal; font-variant: normal; text-decoration-skip-ink: none; vertical-align: baseline; white-space: pre-wrap; text- decoration: underline;"&gt;83&lt;/span&gt;</w:t>
              <w:tab/>
              <w:tab/>
              <w:tab/>
              <w:t>&lt;span style="color: #000000; background-color: transparent; font-weight: 400; font-style: normal; font-variant: normal; text-decoration: </w:t>
            </w:r>
            <w:r>
              <w:rPr>
                <w:spacing w:val="-4"/>
                <w:sz w:val="20"/>
              </w:rPr>
              <w:t>none; </w:t>
            </w:r>
            <w:r>
              <w:rPr>
                <w:sz w:val="20"/>
              </w:rPr>
              <w:t>vertical-align: baseline; white-space: pre-wrap;"&gt;/STJ. REVER O JULGADO. IMPOSSIBILIDADE. ÓBICE DA SÚMULA&lt;/span&gt;</w:t>
              <w:tab/>
              <w:t>&lt;a style="text-decoration: none;" </w:t>
            </w:r>
            <w:hyperlink r:id="rId8">
              <w:r>
                <w:rPr>
                  <w:sz w:val="20"/>
                </w:rPr>
                <w:t>href="https://www.jusbrasil.com.br/jurisprudencia/stj/sumulas/sumula-n-7-do-</w:t>
              </w:r>
            </w:hyperlink>
            <w:r>
              <w:rPr>
                <w:sz w:val="20"/>
              </w:rPr>
              <w:t> stj/1289710547"&gt;</w:t>
              <w:tab/>
              <w:t>&lt;span style="font-size: 14pt; color: #1155cc; background-color: transparent; font-weight: 400; font-style: normal; font-variant: normal; text-decoration-skip- ink: none; vertical-align: baseline; white-space: pre-wrap; text-decoration: underline;"&gt;7&lt;/span&gt;</w:t>
              <w:tab/>
              <w:tab/>
              <w:t>&lt;/a&gt;</w:t>
              <w:tab/>
              <w:t>&lt;span style="color: #000000; background-color: transparent; font-weight: 400; font-style: normal; font-variant: normal; text-decoration: </w:t>
            </w:r>
            <w:r>
              <w:rPr>
                <w:spacing w:val="-4"/>
                <w:sz w:val="20"/>
              </w:rPr>
              <w:t>none; </w:t>
            </w:r>
            <w:r>
              <w:rPr>
                <w:sz w:val="20"/>
              </w:rPr>
              <w:t>vertical-align: baseline; white-space: pre-wrap;"&gt;/STJ. AGRAVO INTERNO IMPROVIDO.&lt;/span&gt;</w:t>
              <w:tab/>
              <w:tab/>
              <w:t>&lt;span style="color: #000000; background-color: transparent; font-weight: 700; font-style: normal; font-variant: normal; text-decoration: none; vertical- align: baseline; white-space: pre-wrap;"&gt;1. O Tribunal de origem consignou que o termo inicial da contagem do prazo prescricional é a data do último desconto realizado no benefício previdenciário da agravante. O referido entendimento encontra-se em harmonia com a jurisprudência desta Corte&lt;/span&gt;</w:t>
              <w:tab/>
              <w:t>&lt;span style="color: #000000; background- color: transparent; font-weight: 400; font-style: normal; font-variant: normal; text-decoration: none; vertical-align: baseline; white-space: pre-wrap;"&gt;segundo a qual, nas hipóteses de ação de repetição de indébito," o termo inicial para o cômputo do prazo prescricional corresponde à data em que ocorreu a lesão, ou seja, a data do pagamento "(&lt;/span&gt;</w:t>
            </w:r>
          </w:p>
          <w:p>
            <w:pPr>
              <w:pStyle w:val="TableParagraph"/>
              <w:spacing w:line="208" w:lineRule="auto" w:before="0"/>
              <w:ind w:right="276"/>
              <w:jc w:val="both"/>
              <w:rPr>
                <w:sz w:val="20"/>
              </w:rPr>
            </w:pPr>
            <w:r>
              <w:rPr>
                <w:sz w:val="20"/>
              </w:rPr>
              <w:t>&lt;span style="font-size: 14pt; color: #000000; background-color: transparent; font-weight: 400; font-style: normal; font-variant: normal; text-decoration-skip-ink: none; vertical-align: baseline; white-space: pre-wrap; text-decoration: underline;"&gt;AgInt no AREsp n.</w:t>
            </w:r>
          </w:p>
          <w:p>
            <w:pPr>
              <w:pStyle w:val="TableParagraph"/>
              <w:tabs>
                <w:tab w:pos="2341" w:val="left" w:leader="none"/>
                <w:tab w:pos="6822" w:val="left" w:leader="none"/>
                <w:tab w:pos="6864" w:val="left" w:leader="none"/>
              </w:tabs>
              <w:spacing w:line="208" w:lineRule="auto" w:before="0"/>
              <w:ind w:right="176"/>
              <w:rPr>
                <w:sz w:val="20"/>
              </w:rPr>
            </w:pPr>
            <w:r>
              <w:rPr>
                <w:sz w:val="20"/>
              </w:rPr>
              <w:t>1056534/MS&lt;/span&gt;</w:t>
              <w:tab/>
              <w:t>&lt;span style="color: #000000; background-color: transparent; font-weight: 400; font-style: normal; font-variant: normal; text-decoration: none; vertical- align: baseline; white-space: pre-wrap;"&gt;, Relator o Ministro Luis Felipe Salomão, julgado em 20/4/2017, DJe 3/5/2017). Incidência, no ponto, da Súmula&lt;/span&gt;</w:t>
              <w:tab/>
              <w:t>&lt;span style="font-size: 14pt; color: #000000; background-color: transparent; font-weight: 400; font-style: normal; font-variant: normal; text-decoration-skip-ink: none; vertical-align: baseline; white-space: pre-wrap; text-decoration: underline;"&gt;83&lt;/span&gt;</w:t>
              <w:tab/>
              <w:tab/>
              <w:t>&lt;span style="color: #000000; background-color: transparent; font-weight: 400; font-style: </w:t>
            </w:r>
            <w:r>
              <w:rPr>
                <w:spacing w:val="-3"/>
                <w:sz w:val="20"/>
              </w:rPr>
              <w:t>normal; </w:t>
            </w:r>
            <w:r>
              <w:rPr>
                <w:sz w:val="20"/>
              </w:rPr>
              <w:t>font-variant: normal; text-decoration: none; vertical-align: baseline; white-space: pre- wrap;"&gt;/STJ.2. Ademais, para alterar a conclusão do acórdão hostilizado (referente à</w:t>
            </w:r>
          </w:p>
          <w:p>
            <w:pPr>
              <w:pStyle w:val="TableParagraph"/>
              <w:tabs>
                <w:tab w:pos="1940" w:val="left" w:leader="none"/>
              </w:tabs>
              <w:spacing w:line="208" w:lineRule="auto" w:before="0"/>
              <w:ind w:right="64"/>
              <w:rPr>
                <w:sz w:val="20"/>
              </w:rPr>
            </w:pPr>
            <w:r>
              <w:rPr>
                <w:sz w:val="20"/>
              </w:rPr>
              <w:t>consumação da prescrição), seria imprescindível o reexame do acervo fático-probatório </w:t>
            </w:r>
            <w:r>
              <w:rPr>
                <w:spacing w:val="-9"/>
                <w:sz w:val="20"/>
              </w:rPr>
              <w:t>do </w:t>
            </w:r>
            <w:r>
              <w:rPr>
                <w:sz w:val="20"/>
              </w:rPr>
              <w:t>respectivo processo, sendo inafastável, de fato, a confirmação da incidência da Súmula&lt;/span&gt;</w:t>
              <w:tab/>
              <w:t>&lt;a style="text-decoration: none;"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9" w:val="left" w:leader="none"/>
                <w:tab w:pos="2151" w:val="left" w:leader="none"/>
                <w:tab w:pos="2341" w:val="left" w:leader="none"/>
                <w:tab w:pos="2384" w:val="left" w:leader="none"/>
                <w:tab w:pos="3229" w:val="left" w:leader="none"/>
              </w:tabs>
              <w:spacing w:line="208" w:lineRule="auto" w:before="26"/>
              <w:ind w:right="21"/>
              <w:rPr>
                <w:sz w:val="20"/>
              </w:rPr>
            </w:pPr>
            <w:hyperlink r:id="rId8">
              <w:r>
                <w:rPr>
                  <w:sz w:val="20"/>
                </w:rPr>
                <w:t>href="https://www.jusbrasil.com.br/jurisprudencia/stj/sumulas/sumula-n-7-do-</w:t>
              </w:r>
            </w:hyperlink>
            <w:r>
              <w:rPr>
                <w:sz w:val="20"/>
              </w:rPr>
              <w:t> stj/1289710547"&gt;</w:t>
              <w:tab/>
              <w:t>&lt;span style="font-size: 14pt; color: #1155cc; background-color: transparent; font-weight: 400; font-style: normal; font-variant: normal; text-decoration-skip- ink: none; vertical-align: baseline; white-space: pre-wrap; text-decoration: underline;"&gt;7&lt;/span&gt;</w:t>
              <w:tab/>
              <w:tab/>
              <w:tab/>
              <w:t>&lt;/a&gt;</w:t>
              <w:tab/>
              <w:t>&lt;span style="color: #000000; background-color: transparent; font-weight: 400; font-style: normal; font-variant: normal; text-decoration: none; vertical-align: baseline; white-space: pre-wrap;"&gt;/STJ. 3. Agravo interno improvido. (&lt;/span&gt;</w:t>
              <w:tab/>
              <w:t>&lt;span style="font-size: 14pt; color: #000000; background-color: transparent; font-weight: 400; font-style: normal; font-variant: normal; text-decoration-skip-ink: none; vertical-align: baseline; white-space: pre-wrap; text-decoration: underline;"&gt;AgInt no </w:t>
            </w:r>
            <w:r>
              <w:rPr>
                <w:spacing w:val="-4"/>
                <w:sz w:val="20"/>
              </w:rPr>
              <w:t>AREsp </w:t>
            </w:r>
            <w:r>
              <w:rPr>
                <w:sz w:val="20"/>
              </w:rPr>
              <w:t>1130505/MS&lt;/span&gt;</w:t>
              <w:tab/>
              <w:tab/>
              <w:t>&lt;span style="color: #000000; background-color: transparent;</w:t>
            </w:r>
          </w:p>
          <w:p>
            <w:pPr>
              <w:pStyle w:val="TableParagraph"/>
              <w:tabs>
                <w:tab w:pos="7332" w:val="left" w:leader="none"/>
              </w:tabs>
              <w:spacing w:line="208" w:lineRule="auto" w:before="0"/>
              <w:ind w:right="97"/>
              <w:rPr>
                <w:sz w:val="20"/>
              </w:rPr>
            </w:pPr>
            <w:r>
              <w:rPr>
                <w:sz w:val="20"/>
              </w:rPr>
              <w:t>font-weight: 400; font-style: normal; font-variant: normal; text-decoration: none; vertical- align: baseline; white-space: pre-wrap;"&gt;, Rel. Ministro MARCO AURÉLIO BELLIZZE, TERCEIRA TURMA, julgado em 07/11/2017, DJe 13/11/2017)&lt;/span&gt;&lt;/span&gt;</w:t>
              <w:tab/>
            </w:r>
            <w:r>
              <w:rPr>
                <w:spacing w:val="-3"/>
                <w:sz w:val="20"/>
              </w:rPr>
              <w:t>&lt;/span&gt;</w:t>
            </w:r>
          </w:p>
          <w:p>
            <w:pPr>
              <w:pStyle w:val="TableParagraph"/>
              <w:spacing w:line="208" w:lineRule="auto" w:before="0"/>
              <w:rPr>
                <w:sz w:val="20"/>
              </w:rPr>
            </w:pPr>
            <w:r>
              <w:rPr>
                <w:sz w:val="20"/>
              </w:rPr>
              <w:t>&lt;/span&gt; &lt;/span&gt;&lt;/p&gt;&lt;p style="line-height: 1.7999999999999998; text-indent: 56.692913385826756pt; text-align: justify; margin-top: 12pt; margin-bottom: 12pt;"</w:t>
            </w:r>
            <w:r>
              <w:rPr>
                <w:spacing w:val="-18"/>
                <w:sz w:val="20"/>
              </w:rPr>
              <w:t> </w:t>
            </w:r>
            <w:r>
              <w:rPr>
                <w:sz w:val="20"/>
              </w:rPr>
              <w:t>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3622" w:val="left" w:leader="none"/>
                <w:tab w:pos="5742" w:val="left" w:leader="none"/>
                <w:tab w:pos="6799" w:val="left" w:leader="none"/>
              </w:tabs>
              <w:spacing w:line="208" w:lineRule="auto" w:before="0"/>
              <w:ind w:right="536"/>
              <w:rPr>
                <w:sz w:val="20"/>
              </w:rPr>
            </w:pPr>
            <w:r>
              <w:rPr>
                <w:sz w:val="20"/>
              </w:rPr>
              <w:t>&lt;span style="font-size: medium;"&gt;</w:t>
              <w:tab/>
              <w:t>&lt;span style="font-size: medium;"&gt;No </w:t>
            </w:r>
            <w:r>
              <w:rPr>
                <w:spacing w:val="-4"/>
                <w:sz w:val="20"/>
              </w:rPr>
              <w:t>mesmo </w:t>
            </w:r>
            <w:r>
              <w:rPr>
                <w:sz w:val="20"/>
              </w:rPr>
              <w:t>sentido, também é a vasta jurisprudência do TJCE:&lt;/span&gt;</w:t>
              <w:tab/>
              <w:t>&lt;/span&gt;</w:t>
              <w:tab/>
              <w:t>&lt;/span&gt;</w:t>
            </w:r>
          </w:p>
          <w:p>
            <w:pPr>
              <w:pStyle w:val="TableParagraph"/>
              <w:tabs>
                <w:tab w:pos="1327" w:val="left" w:leader="none"/>
                <w:tab w:pos="4799" w:val="left" w:leader="none"/>
                <w:tab w:pos="5213" w:val="left" w:leader="none"/>
              </w:tabs>
              <w:spacing w:line="208" w:lineRule="auto" w:before="0"/>
              <w:ind w:right="274"/>
              <w:rPr>
                <w:sz w:val="20"/>
              </w:rPr>
            </w:pPr>
            <w:r>
              <w:rPr>
                <w:sz w:val="20"/>
              </w:rPr>
              <w:t>&lt;/span&gt; &lt;/span&gt;&lt;/p&gt;&lt;p style="line-height: 1.7999999999999998; margin-left: 113.38582677165351pt; text-indent: 56.25pt; text-align: justify; margin-top: 12pt; </w:t>
            </w:r>
            <w:r>
              <w:rPr>
                <w:spacing w:val="-3"/>
                <w:sz w:val="20"/>
              </w:rPr>
              <w:t>margin- </w:t>
            </w:r>
            <w:r>
              <w:rPr>
                <w:sz w:val="20"/>
              </w:rPr>
              <w:t>bottom: 12pt;" dir="ltr"&gt;  &lt;span style="font-size: small;"&gt;</w:t>
              <w:tab/>
              <w:t>&lt;span style="font-size: medium;"&gt;</w:t>
              <w:tab/>
              <w:t>&lt;span style="font-size: medium;"&gt;</w:t>
              <w:tab/>
              <w:t>&lt;span style="font-size: medium;"&gt;</w:t>
            </w:r>
          </w:p>
          <w:p>
            <w:pPr>
              <w:pStyle w:val="TableParagraph"/>
              <w:spacing w:line="208" w:lineRule="auto" w:before="0"/>
              <w:ind w:right="292"/>
              <w:rPr>
                <w:sz w:val="20"/>
              </w:rPr>
            </w:pPr>
            <w:r>
              <w:rPr>
                <w:sz w:val="20"/>
              </w:rPr>
              <w:t>&lt;span style="color: #000000; background-color: transparent; font-weight: 400; font-style: normal; font-variant: normal; text-decoration: none; vertical-align: baseline; white-space: pre-wrap;"&gt;DIREITO PROCESSUAL E DO CONSUMIDOR. APELAÇÃO CÍVEL. AÇÃO DECLARATÓRIA DE NULIDADE DE RELAÇÃO CONTRATUAL C/C REPETIÇÃO DE</w:t>
            </w:r>
          </w:p>
          <w:p>
            <w:pPr>
              <w:pStyle w:val="TableParagraph"/>
              <w:tabs>
                <w:tab w:pos="5974" w:val="left" w:leader="none"/>
                <w:tab w:pos="7019" w:val="left" w:leader="none"/>
              </w:tabs>
              <w:spacing w:line="208" w:lineRule="auto" w:before="0"/>
              <w:ind w:right="208"/>
              <w:rPr>
                <w:sz w:val="20"/>
              </w:rPr>
            </w:pPr>
            <w:r>
              <w:rPr>
                <w:sz w:val="20"/>
              </w:rPr>
              <w:t>INDÉBITO E INDENIZAÇÃO POR DANOS MORAIS.&lt;/span&gt;</w:t>
              <w:tab/>
              <w:t>&lt;span style="color: #000000; background-color: transparent; font-weight: 700; font-style: normal; </w:t>
            </w:r>
            <w:r>
              <w:rPr>
                <w:spacing w:val="-2"/>
                <w:sz w:val="20"/>
              </w:rPr>
              <w:t>font-variant: </w:t>
            </w:r>
            <w:r>
              <w:rPr>
                <w:sz w:val="20"/>
              </w:rPr>
              <w:t>normal; text-decoration: none; vertical-align: baseline; white-space: pre- wrap;"&gt;DESCONTOS NA CONTA BANCÁRIA DA PARTE AUTORA . EMPRÉSTIMO CONSIGNADO. EXTINÇÃO DO PROCESSO POR PRESCRIÇÃO. PRAZO PRESCRICIONAL QUINQUENAL. ART . 27 DO CDC. RELAÇÃO DE TRATO SUCESSIVO. TERMO INICIAL. DATA DO ÚLTIMO DESCONTO&lt;/span&gt;</w:t>
              <w:tab/>
              <w:t>&lt;span</w:t>
            </w:r>
          </w:p>
          <w:p>
            <w:pPr>
              <w:pStyle w:val="TableParagraph"/>
              <w:spacing w:line="208" w:lineRule="auto" w:before="0"/>
              <w:ind w:right="176"/>
              <w:rPr>
                <w:sz w:val="20"/>
              </w:rPr>
            </w:pPr>
            <w:r>
              <w:rPr>
                <w:sz w:val="20"/>
              </w:rPr>
              <w:t>style="color: #000000; background-color: transparent; font-weight: 400; font-style: normal; font-variant: normal; text-decoration: none; vertical-align: baseline; white-space: pre- wrap;"&gt;. PRECEDENTES DESTA CORTE E DO STJ. PRESCRIÇÃO CONFIGURADA. RECURSO CONHECIDO E IMPROVIDO. SENTENÇA MANTIDA . (TJ-CE - AC:</w:t>
            </w:r>
          </w:p>
          <w:p>
            <w:pPr>
              <w:pStyle w:val="TableParagraph"/>
              <w:spacing w:line="208" w:lineRule="auto" w:before="0"/>
              <w:ind w:right="137"/>
              <w:rPr>
                <w:sz w:val="20"/>
              </w:rPr>
            </w:pPr>
            <w:r>
              <w:rPr>
                <w:sz w:val="20"/>
              </w:rPr>
              <w:t>00003595720198060028 Acaraú, Relator.: DURVAL AIRES FILHO, Data de Julgamento: 30/05/2023, 4ª Câmara Direito Privado, Data de Publicação: 30/05/2023).&lt;/span&gt;&lt;/span&gt;</w:t>
            </w:r>
          </w:p>
          <w:p>
            <w:pPr>
              <w:pStyle w:val="TableParagraph"/>
              <w:tabs>
                <w:tab w:pos="985" w:val="left" w:leader="none"/>
                <w:tab w:pos="1327" w:val="left" w:leader="none"/>
                <w:tab w:pos="4799" w:val="left" w:leader="none"/>
                <w:tab w:pos="5213" w:val="left" w:leader="none"/>
              </w:tabs>
              <w:spacing w:line="208" w:lineRule="auto" w:before="0"/>
              <w:ind w:right="236"/>
              <w:rPr>
                <w:sz w:val="20"/>
              </w:rPr>
            </w:pPr>
            <w:r>
              <w:rPr>
                <w:sz w:val="20"/>
              </w:rPr>
              <w:t>&lt;/span&gt;</w:t>
              <w:tab/>
              <w:t>&lt;/span&gt; &lt;/span&gt;&lt;/p&gt;&lt;p style="line-height: 1.7999999999999998; </w:t>
            </w:r>
            <w:r>
              <w:rPr>
                <w:spacing w:val="-2"/>
                <w:sz w:val="20"/>
              </w:rPr>
              <w:t>margin-left: </w:t>
            </w:r>
            <w:r>
              <w:rPr>
                <w:sz w:val="20"/>
              </w:rPr>
              <w:t>113.38582677165351pt; text-indent: 56.25pt; text-align: justify; margin-top: 12pt; margin- bottom: 12pt;" dir="ltr"&gt;  &lt;span style="font-size: small;"&gt;</w:t>
              <w:tab/>
              <w:t>&lt;span style="font-size: medium;"&gt;</w:t>
              <w:tab/>
              <w:t>&lt;span style="font-size: medium;"&gt;</w:t>
              <w:tab/>
              <w:t>&lt;span style="font-size: medium;"&gt;</w:t>
            </w:r>
          </w:p>
          <w:p>
            <w:pPr>
              <w:pStyle w:val="TableParagraph"/>
              <w:spacing w:line="208" w:lineRule="auto" w:before="0"/>
              <w:ind w:right="100"/>
              <w:rPr>
                <w:sz w:val="20"/>
              </w:rPr>
            </w:pPr>
            <w:r>
              <w:rPr>
                <w:sz w:val="20"/>
              </w:rPr>
              <w:t>&lt;span style="color: #000000; background-color: transparent; font-weight: 400; font-style: normal; font-variant: normal; text-decoration: none; vertical-align: baseline; white-space: pre-wrap;"&gt;DIREITO DO CONSUMIDOR. CIVIL E PROCESSUAL CIVIL. APELAÇÕES CÍVEIS. SENTENÇA DE PARCIAL PROCEDÊNCIA . PRESCRIÇÃO PARCIAL. RECONHECIDA. EMPRÉSTIMO CONSIGNADO. PLEITO DE MAJORAÇÃO DO DANO MORAL . POSSIBILIDADE. JUROS MORATÓRIOS. APELO DO BANCO RÉU CONHECIDO E PARCIALMENTE PROVIDO. RECURSO DA PARTE AUTORA CONHECIDO E PROVIDO . SENTENÇA REFORMADA EM PARTE. I. Caso em exame </w:t>
            </w:r>
            <w:r>
              <w:rPr>
                <w:spacing w:val="-9"/>
                <w:sz w:val="20"/>
              </w:rPr>
              <w:t>1.</w:t>
            </w:r>
          </w:p>
          <w:p>
            <w:pPr>
              <w:pStyle w:val="TableParagraph"/>
              <w:spacing w:line="208" w:lineRule="auto" w:before="0"/>
              <w:ind w:right="40"/>
              <w:rPr>
                <w:sz w:val="20"/>
              </w:rPr>
            </w:pPr>
            <w:r>
              <w:rPr>
                <w:sz w:val="20"/>
              </w:rPr>
              <w:t>Apelações interpostas contra sentença que reconheceu a inexistência de relação contratual entre a autora e a instituição financeira ré, condenando-a à restituição dos valores descontados e ao pagamento de indenização por danos morais . A autora recorre pleiteando a majoração do quantum indenizatório, enquanto o Banco sustenta a prescrição da pretensão indenizatória. II. Questão em discussão 2. Há duas questões em discussão:</w:t>
            </w:r>
          </w:p>
          <w:p>
            <w:pPr>
              <w:pStyle w:val="TableParagraph"/>
              <w:tabs>
                <w:tab w:pos="1940" w:val="left" w:leader="none"/>
                <w:tab w:pos="6776" w:val="left" w:leader="none"/>
              </w:tabs>
              <w:spacing w:line="208" w:lineRule="auto" w:before="0"/>
              <w:ind w:right="86"/>
              <w:rPr>
                <w:sz w:val="20"/>
              </w:rPr>
            </w:pPr>
            <w:r>
              <w:rPr>
                <w:sz w:val="20"/>
              </w:rPr>
              <w:t>(i) definir se a pretensão indenizatória estaria atingida pela prescrição; e (ii) estabelecer </w:t>
            </w:r>
            <w:r>
              <w:rPr>
                <w:spacing w:val="-9"/>
                <w:sz w:val="20"/>
              </w:rPr>
              <w:t>se </w:t>
            </w:r>
            <w:r>
              <w:rPr>
                <w:sz w:val="20"/>
              </w:rPr>
              <w:t>o valor arbitrado a título de danos morais deve ser majorado . I&lt;/span&gt;</w:t>
              <w:tab/>
              <w:t>&lt;span style="color: #000000; background-color: transparent; font-weight: 700; font-style: normal; font-variant: normal; text-decoration: none; vertical-align: baseline; white-space: pre- wrap;"&gt;II. Razões de decidir 3. O prazo prescricional para a reparação de danos decorrentes de descontos indevidos em benefício previdenciário é de cinco anos, nos termos do art. 27 do Código de Defesa do Consumidor . Em se tratando de relação de trato sucessivo, o termo inicial da contagem do prazo prescricional é a data do último desconto indevido, conforme entendimento consolidado pelo Superior Tribunal de Justiça.&lt;/span&gt;</w:t>
              <w:tab/>
              <w:t>&lt;span style="color: #000000; background-color: transparent; font- weight: 400; font-style: normal; font-variant: normal; text-decoration: none; vertical-align: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baseline; white-space: pre-wrap;"&gt;4. No caso concreto, os descontos cessaram em novembro de 2014, e a ação foi ajuizada em novembro de 2016, dentro do prazo quinquenal, razão pela qual não se reconhece a prescrição total da pretensão. No entanto, há prescrição parcial das parcelas vencidas há mais de cinco anos do ajuizamento da demanda, ou seja, anteriores a 17/11/2011 . 5. O dano moral decorrente dos descontos indevidos em benefício previdenciário da autora, pessoa hipossuficiente, configura lesão significativa, justificando a majoração do quantum indenizatório para R$ 4.000,00 (quatro mil reais), em observância aos princípios da razoabilidade e proporcionalidade. 6 . A correção monetária do valor da indenização incide desde a data do arbitramento, </w:t>
            </w:r>
            <w:r>
              <w:rPr>
                <w:spacing w:val="-3"/>
                <w:sz w:val="20"/>
              </w:rPr>
              <w:t>conforme </w:t>
            </w:r>
            <w:r>
              <w:rPr>
                <w:sz w:val="20"/>
              </w:rPr>
              <w:t>Súmula nº 362 do STJ, enquanto os juros moratórios fluem a partir do evento danoso, nos termos da Súmula nº 54 do STJ. Considerando a alteração legislativa promovida pela Lei nº 14.905/2024, os juros moratórios passam a incidir pela taxa Selic e correção monetária pelo IPCA a partir de 30/08/2024. IV . Dispositivo 7. Apelo autoral conhecido e provido.</w:t>
            </w:r>
          </w:p>
          <w:p>
            <w:pPr>
              <w:pStyle w:val="TableParagraph"/>
              <w:tabs>
                <w:tab w:pos="6154" w:val="left" w:leader="none"/>
                <w:tab w:pos="7100" w:val="left" w:leader="none"/>
              </w:tabs>
              <w:spacing w:line="208" w:lineRule="auto" w:before="0"/>
              <w:ind w:right="131"/>
              <w:rPr>
                <w:sz w:val="20"/>
              </w:rPr>
            </w:pPr>
            <w:r>
              <w:rPr>
                <w:sz w:val="20"/>
              </w:rPr>
              <w:t>Recurso do Banco conhecido e parcialmente provido. Sentença reformada em parte . </w:t>
            </w:r>
            <w:r>
              <w:rPr>
                <w:spacing w:val="-5"/>
                <w:sz w:val="20"/>
              </w:rPr>
              <w:t>(TJ- </w:t>
            </w:r>
            <w:r>
              <w:rPr>
                <w:sz w:val="20"/>
              </w:rPr>
              <w:t>CE - Apelação Cível: 00095202520168060084 Guaraciaba do Norte, Relator.: FRANCISCO BEZERRA CAVALCANTE, Data de Julgamento: 25/02/2025, 4ª Câmara Direito Privado, Data de Publicação: 25/02/2025)&lt;/span&gt;&lt;/span&gt;</w:t>
              <w:tab/>
              <w:t>&lt;/span&gt;</w:t>
              <w:tab/>
              <w:t>&lt;/span&gt;</w:t>
            </w:r>
          </w:p>
          <w:p>
            <w:pPr>
              <w:pStyle w:val="TableParagraph"/>
              <w:spacing w:line="208" w:lineRule="auto" w:before="0"/>
              <w:ind w:right="21"/>
              <w:rPr>
                <w:sz w:val="20"/>
              </w:rPr>
            </w:pPr>
            <w:r>
              <w:rPr>
                <w:sz w:val="20"/>
              </w:rPr>
              <w:t>&lt;/span&gt;&lt;/p&gt;&lt;p style="line-height: 1.7999999999999998; text-indent: 56.692913385826756pt; text-align: justify; margin-top: 12pt; margin-bottom: 12pt;"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3622" w:val="left" w:leader="none"/>
                <w:tab w:pos="6755" w:val="left" w:leader="none"/>
              </w:tabs>
              <w:spacing w:line="208" w:lineRule="auto" w:before="0"/>
              <w:ind w:right="375"/>
              <w:rPr>
                <w:sz w:val="20"/>
              </w:rPr>
            </w:pPr>
            <w:r>
              <w:rPr>
                <w:sz w:val="20"/>
              </w:rPr>
              <w:t>&lt;span style="font-size: medium;"&gt;</w:t>
              <w:tab/>
              <w:t>&lt;span style="font-size: medium;"&gt;Ressoa clarividente que o prazo de prescrição, em contratos da espécie sub examine, </w:t>
            </w:r>
            <w:r>
              <w:rPr>
                <w:spacing w:val="-3"/>
                <w:sz w:val="20"/>
              </w:rPr>
              <w:t>somente </w:t>
            </w:r>
            <w:r>
              <w:rPr>
                <w:sz w:val="20"/>
              </w:rPr>
              <w:t>passa a fluir com o adimplemento da última parcela a ser descontada no benefício previdenciário da parte devedora ou com a quitação do débito.&lt;/span&gt;</w:t>
              <w:tab/>
              <w:t>&lt;/span&gt;</w:t>
            </w:r>
          </w:p>
          <w:p>
            <w:pPr>
              <w:pStyle w:val="TableParagraph"/>
              <w:tabs>
                <w:tab w:pos="985" w:val="left" w:leader="none"/>
              </w:tabs>
              <w:spacing w:line="208" w:lineRule="auto" w:before="0"/>
              <w:ind w:right="39"/>
              <w:rPr>
                <w:sz w:val="20"/>
              </w:rPr>
            </w:pPr>
            <w:r>
              <w:rPr>
                <w:sz w:val="20"/>
              </w:rPr>
              <w:t>&lt;/span&gt;</w:t>
              <w:tab/>
              <w:t>&lt;/span&gt; &lt;/span&gt;&lt;/p&gt;&lt;p style="line-height: 1.7999999999999998; text-indent: 56.692913385826756pt; text-align: justify; margin-top: 12pt; margin-bottom: 12pt;"</w:t>
            </w:r>
            <w:r>
              <w:rPr>
                <w:spacing w:val="-17"/>
                <w:sz w:val="20"/>
              </w:rPr>
              <w:t> </w:t>
            </w:r>
            <w:r>
              <w:rPr>
                <w:sz w:val="20"/>
              </w:rPr>
              <w:t>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1550" w:val="left" w:leader="none"/>
                <w:tab w:pos="2549" w:val="left" w:leader="none"/>
                <w:tab w:pos="3008" w:val="left" w:leader="none"/>
                <w:tab w:pos="3622" w:val="left" w:leader="none"/>
                <w:tab w:pos="4064" w:val="left" w:leader="none"/>
                <w:tab w:pos="5009" w:val="left" w:leader="none"/>
                <w:tab w:pos="6020" w:val="left" w:leader="none"/>
                <w:tab w:pos="6553" w:val="left" w:leader="none"/>
              </w:tabs>
              <w:spacing w:line="208" w:lineRule="auto" w:before="0"/>
              <w:ind w:right="115"/>
              <w:rPr>
                <w:sz w:val="20"/>
              </w:rPr>
            </w:pPr>
            <w:r>
              <w:rPr>
                <w:sz w:val="20"/>
              </w:rPr>
              <w:t>&lt;span style="font-size: medium;"&gt;</w:t>
              <w:tab/>
              <w:t>&lt;span style="font-size: medium;"&gt;Prejudicial de mérito não acolhida.&lt;/span&gt;</w:t>
              <w:tab/>
              <w:t>&lt;/span&gt;</w:t>
              <w:tab/>
              <w:t>&lt;/span&gt;</w:t>
              <w:tab/>
              <w:t>&lt;/span&gt; &lt;/span&gt;&lt;/p&gt;&lt;p style="line-height: 1.7999999999999998; text-indent: 56.692913385826756pt; text-align: justify; margin-top: 12pt; margin-bottom: 12pt;" dir="ltr"&gt; &lt;span style="color: #000000; background-color: transparent; font-weight: 700; font-style: normal; font-variant: normal; text-decoration: none; vertical-align: baseline; white-space: pre-wrap;"&gt;</w:t>
              <w:tab/>
              <w:t>&lt;span style="font-size: small;"&gt;</w:t>
              <w:tab/>
              <w:t>&lt;span style="font-size: medium;"&gt;</w:t>
              <w:tab/>
              <w:t>&lt;span style="font-size: medium;"&gt;</w:t>
              <w:tab/>
              <w:t>&lt;span style="font-size: medium;"&gt;MÉRITO.&lt;/span&gt;</w:t>
              <w:tab/>
              <w:t>&lt;/span&gt;</w:t>
            </w:r>
          </w:p>
          <w:p>
            <w:pPr>
              <w:pStyle w:val="TableParagraph"/>
              <w:tabs>
                <w:tab w:pos="985" w:val="left" w:leader="none"/>
                <w:tab w:pos="1550" w:val="left" w:leader="none"/>
                <w:tab w:pos="2549" w:val="left" w:leader="none"/>
                <w:tab w:pos="6020" w:val="left" w:leader="none"/>
                <w:tab w:pos="6553" w:val="left" w:leader="none"/>
              </w:tabs>
              <w:spacing w:line="208" w:lineRule="auto" w:before="0"/>
              <w:ind w:right="115"/>
              <w:rPr>
                <w:sz w:val="20"/>
              </w:rPr>
            </w:pPr>
            <w:r>
              <w:rPr>
                <w:sz w:val="20"/>
              </w:rPr>
              <w:t>&lt;/span&gt;</w:t>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medium;"&gt;O cerne da controvérsia consiste em analisar a regularidade/existência de negócio jurídico supostamente firmado entre as partes litigantes. O promovente alega que estava tendo descontos em seu benefício previdenciário em razão de uma avença que não realizou com o banco réu.&lt;/span&gt;</w:t>
            </w:r>
          </w:p>
          <w:p>
            <w:pPr>
              <w:pStyle w:val="TableParagraph"/>
              <w:tabs>
                <w:tab w:pos="1096" w:val="left" w:leader="none"/>
                <w:tab w:pos="1550" w:val="left" w:leader="none"/>
                <w:tab w:pos="1885" w:val="left" w:leader="none"/>
                <w:tab w:pos="2041" w:val="left" w:leader="none"/>
                <w:tab w:pos="2549" w:val="left" w:leader="none"/>
                <w:tab w:pos="2941" w:val="left" w:leader="none"/>
                <w:tab w:pos="3886" w:val="left" w:leader="none"/>
                <w:tab w:pos="6020" w:val="left" w:leader="none"/>
                <w:tab w:pos="7275" w:val="left" w:leader="none"/>
              </w:tabs>
              <w:spacing w:line="208" w:lineRule="auto" w:before="0"/>
              <w:ind w:right="115"/>
              <w:rPr>
                <w:sz w:val="20"/>
              </w:rPr>
            </w:pPr>
            <w:r>
              <w:rPr>
                <w:sz w:val="20"/>
              </w:rPr>
              <w:t>&lt;/span&gt;</w:t>
              <w:tab/>
              <w:t>&lt;/span&gt;</w:t>
              <w:tab/>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ab/>
              <w:t>&lt;span style="font-size: medium;"&gt;É certo que a relação instaurada entre as partes litigantes é consumerista, conforme a Súmula 297 do STJ. No entanto, a prerrogativa da facilitação do acesso à justiça conferida ao consumidor não o isenta de comprovar a existência mínima do fato constitutivo do seu direito. Além disso, registre-se que a responsabilidade civil consiste no instituto que visa garantir a reparação por danos morais ou o ressarcimento por danos materiais decorrentes de ato ilícito praticado por outrem.&lt;/span&gt;</w:t>
              <w:tab/>
              <w:tab/>
              <w:t>&lt;/span&gt;</w:t>
              <w:tab/>
              <w:t>&lt;/span&gt;</w:t>
              <w:tab/>
              <w:t>&lt;/span&gt; &lt;/span&gt;&lt;/p&gt;&lt;p style="line-height: 2.16; text-indent: 57pt; text-align: justify; margin-top: 8pt; margin-bottom: 8pt;"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3622" w:val="left" w:leader="none"/>
                <w:tab w:pos="4397" w:val="left" w:leader="none"/>
                <w:tab w:pos="5454" w:val="left" w:leader="none"/>
                <w:tab w:pos="6399" w:val="left" w:leader="none"/>
              </w:tabs>
              <w:spacing w:line="208" w:lineRule="auto" w:before="0"/>
              <w:ind w:right="30"/>
              <w:rPr>
                <w:sz w:val="20"/>
              </w:rPr>
            </w:pPr>
            <w:r>
              <w:rPr>
                <w:sz w:val="20"/>
              </w:rPr>
              <w:t>&lt;span style="font-size: medium;"&gt;</w:t>
              <w:tab/>
              <w:t>&lt;span style="font-size: medium;"&gt;Em regra, a modalidade de responsabilidade civil adotada pelo ordenamento jurídico pátrio é subjetiva, tendo como requisitos a conduta ilícita, o dano, o nexo de causalidade e a culpa. No entanto, a lei elenca algumas hipóteses em que a responsabilidade civil é objetiva, ou </w:t>
            </w:r>
            <w:r>
              <w:rPr>
                <w:spacing w:val="-4"/>
                <w:sz w:val="20"/>
              </w:rPr>
              <w:t>seja, </w:t>
            </w:r>
            <w:r>
              <w:rPr>
                <w:sz w:val="20"/>
              </w:rPr>
              <w:t>independente de demonstração de culpa (art. 186 c/c art. 927 do Código de Civil), como nos casos de relação consumerista.&lt;/span&gt;</w:t>
              <w:tab/>
              <w:t>&lt;/span&gt;</w:t>
              <w:tab/>
              <w:t>&lt;/span&gt;</w:t>
              <w:tab/>
              <w: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42"/>
              <w:rPr>
                <w:sz w:val="20"/>
              </w:rPr>
            </w:pPr>
            <w:r>
              <w:rPr>
                <w:sz w:val="20"/>
              </w:rPr>
              <w:t>&lt;/span&gt;&lt;/p&gt;&lt;p style="line-height: 2.16;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6054" w:val="left" w:leader="none"/>
                <w:tab w:pos="7093" w:val="left" w:leader="none"/>
              </w:tabs>
              <w:spacing w:line="208" w:lineRule="auto" w:before="0"/>
              <w:ind w:right="133"/>
              <w:rPr>
                <w:sz w:val="20"/>
              </w:rPr>
            </w:pPr>
            <w:r>
              <w:rPr>
                <w:sz w:val="20"/>
              </w:rPr>
              <w:t>&lt;span style="font-size: medium;"&gt;</w:t>
              <w:tab/>
              <w:t>&lt;span style="font-size: medium;"&gt;</w:t>
              <w:tab/>
              <w:t>&lt;span style="font-size: medium;"&gt;Na espécie, se deu por caracterizada a falha na prestação </w:t>
            </w:r>
            <w:r>
              <w:rPr>
                <w:spacing w:val="-6"/>
                <w:sz w:val="20"/>
              </w:rPr>
              <w:t>dos </w:t>
            </w:r>
            <w:r>
              <w:rPr>
                <w:sz w:val="20"/>
              </w:rPr>
              <w:t>serviços da instituição financeira que não demonstrou a regular contratação do negócio jurídico impugnado nos autos. O banco não se encarregou de demonstrar o ônus que lhe competia, segundo a regra do art. 373, inc. II, do CPC.&lt;/span&gt;</w:t>
              <w:tab/>
              <w:t>&lt;/span&gt;</w:t>
              <w:tab/>
              <w:t>&lt;/span&gt;</w:t>
            </w:r>
          </w:p>
          <w:p>
            <w:pPr>
              <w:pStyle w:val="TableParagraph"/>
              <w:tabs>
                <w:tab w:pos="5119" w:val="left" w:leader="none"/>
              </w:tabs>
              <w:spacing w:line="208" w:lineRule="auto" w:before="0"/>
              <w:ind w:right="53"/>
              <w:rPr>
                <w:sz w:val="20"/>
              </w:rPr>
            </w:pPr>
            <w:r>
              <w:rPr>
                <w:sz w:val="20"/>
              </w:rPr>
              <w:t>&lt;/span&gt; &lt;/span&gt;&lt;/p&gt;&lt;p style="line-height: 2.16; text-indent: 57pt; text-align: justify; margin-top: 8pt; margin-bottom: 8pt;" dir="ltr"&gt; &lt;span style="color: #000000; background- color: transparent; font-weight: 400; font-style: normal; font-variant: normal; text-decoration: none; vertical-align: baseline; white-space: pre-wrap;"&gt;</w:t>
              <w:tab/>
              <w:t>&lt;span style="font-size: small;"&gt;</w:t>
            </w:r>
          </w:p>
          <w:p>
            <w:pPr>
              <w:pStyle w:val="TableParagraph"/>
              <w:tabs>
                <w:tab w:pos="1939" w:val="left" w:leader="none"/>
                <w:tab w:pos="2530" w:val="left" w:leader="none"/>
                <w:tab w:pos="3511" w:val="left" w:leader="none"/>
                <w:tab w:pos="3586" w:val="left" w:leader="none"/>
                <w:tab w:pos="4531" w:val="left" w:leader="none"/>
                <w:tab w:pos="5055" w:val="left" w:leader="none"/>
                <w:tab w:pos="7093" w:val="left" w:leader="none"/>
              </w:tabs>
              <w:spacing w:line="208" w:lineRule="auto" w:before="0"/>
              <w:ind w:right="20"/>
              <w:rPr>
                <w:sz w:val="20"/>
              </w:rPr>
            </w:pPr>
            <w:r>
              <w:rPr>
                <w:sz w:val="20"/>
              </w:rPr>
              <w:t>&lt;span style="font-size: medium;"&gt;</w:t>
              <w:tab/>
              <w:t>&lt;span style="font-size: medium;"&gt;</w:t>
              <w:tab/>
              <w:t>&lt;span style="font-size: medium;"&gt;Por tratar-se de consumidor hipossuficiente, é inviável exigir que apresente prova de fato negativo, isto é, de que não realizou os empréstimos impugnados, cabendo ao réu, na condição de fornecedor do serviço, tal demonstração.&lt;/span&gt;</w:t>
              <w:tab/>
              <w:t>&lt;/span&gt;</w:t>
              <w:tab/>
              <w:tab/>
              <w:t>&lt;/span&gt;</w:t>
              <w:tab/>
              <w:t>&lt;/span&gt; &lt;/span&gt;&lt;/p&gt;&lt;p style="line- height: 2.16; text-indent: 57pt; text-align: justify; margin-top: 8pt; margin-bottom: 8pt;"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3622" w:val="left" w:leader="none"/>
                <w:tab w:pos="6521" w:val="left" w:leader="none"/>
              </w:tabs>
              <w:spacing w:line="208" w:lineRule="auto" w:before="0"/>
              <w:ind w:right="58"/>
              <w:rPr>
                <w:sz w:val="20"/>
              </w:rPr>
            </w:pPr>
            <w:r>
              <w:rPr>
                <w:sz w:val="20"/>
              </w:rPr>
              <w:t>&lt;span style="font-size: medium;"&gt;</w:t>
              <w:tab/>
              <w:t>&lt;span style="font-size: medium;"&gt;O argumento </w:t>
            </w:r>
            <w:r>
              <w:rPr>
                <w:spacing w:val="-9"/>
                <w:sz w:val="20"/>
              </w:rPr>
              <w:t>do </w:t>
            </w:r>
            <w:r>
              <w:rPr>
                <w:sz w:val="20"/>
              </w:rPr>
              <w:t>apelante de que o contrato seria válido, não se sustenta. Era dever do ente bancário, ao celebrar contrato, proceder com cautela na identificação do consumidor, verificando a autenticidade dos documentos que lhe foram apresentados.&lt;/span&gt;</w:t>
              <w:tab/>
              <w:t>&lt;/span&gt;</w:t>
            </w:r>
          </w:p>
          <w:p>
            <w:pPr>
              <w:pStyle w:val="TableParagraph"/>
              <w:tabs>
                <w:tab w:pos="985" w:val="left" w:leader="none"/>
                <w:tab w:pos="1550" w:val="left" w:leader="none"/>
                <w:tab w:pos="1905" w:val="left" w:leader="none"/>
                <w:tab w:pos="2408" w:val="left" w:leader="none"/>
                <w:tab w:pos="2549" w:val="left" w:leader="none"/>
                <w:tab w:pos="3329" w:val="left" w:leader="none"/>
                <w:tab w:pos="3464" w:val="left" w:leader="none"/>
                <w:tab w:pos="4409" w:val="left" w:leader="none"/>
                <w:tab w:pos="5488" w:val="left" w:leader="none"/>
                <w:tab w:pos="6020" w:val="left" w:leader="none"/>
                <w:tab w:pos="6444" w:val="left" w:leader="none"/>
                <w:tab w:pos="6553" w:val="left" w:leader="none"/>
              </w:tabs>
              <w:spacing w:line="208" w:lineRule="auto" w:before="0"/>
              <w:ind w:right="64"/>
              <w:rPr>
                <w:sz w:val="20"/>
              </w:rPr>
            </w:pPr>
            <w:r>
              <w:rPr>
                <w:sz w:val="20"/>
              </w:rPr>
              <w:t>&lt;/span&gt;</w:t>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ab/>
              <w:t>&lt;span style="font-size: small;"&gt;</w:t>
              <w:tab/>
              <w:tab/>
              <w:t>&lt;span style="font-size: medium;"&gt;</w:t>
              <w:tab/>
              <w:t>&lt;span style="font-size: medium;"&gt;</w:t>
              <w:tab/>
              <w:t>&lt;span style="font-size: medium;"&gt;Transcrevo trecho da sentença a quo, ID 26765585:&lt;/span&gt;</w:t>
              <w:tab/>
              <w:t>&lt;/span&gt;</w:t>
              <w:tab/>
              <w:tab/>
              <w:t>&lt;/span&gt;</w:t>
              <w:tab/>
              <w:t>&lt;/span&gt; &lt;/span&gt;&lt;/p&gt;&lt;p style="line- height: 2.16; margin-left: 113pt; text-indent: 57pt; text-align: justify; margin-top: 8pt; </w:t>
            </w:r>
            <w:r>
              <w:rPr>
                <w:spacing w:val="-3"/>
                <w:sz w:val="20"/>
              </w:rPr>
              <w:t>margin- </w:t>
            </w:r>
            <w:r>
              <w:rPr>
                <w:sz w:val="20"/>
              </w:rPr>
              <w:t>bottom: 8pt;" dir="ltr"&gt; &lt;span style="color: #000000; background-color: transparent; font- weight: 400; font-style: italic; font-variant: normal; text-decoration: none; vertical-align: baseline; white-space: pre-wrap;"&gt;</w:t>
              <w:tab/>
              <w:t>&lt;span style="font-size: small;"&gt;</w:t>
              <w:tab/>
              <w:t>&lt;span style="font- size: medium;"&gt;</w:t>
              <w:tab/>
              <w:tab/>
              <w:t>&lt;span style="font-size: medium;"&gt;</w:t>
              <w:tab/>
              <w:t>&lt;span style="font-size: medium;"&gt;Do exame das alegações das partes e provas coligidas aos autos tenho que se afiguram manifestamente indevidos os descontos referentes à cartão de crédito consignado impostos pela reclamada, uma vez que a autora se desincumbiu do ônus probatório que lhe é atribuído por força de lei, porquanto demonstrou, por meio dos documentos de Id. 113172218 - e seguintes, a efetivação de tais descontos.&lt;/span&gt;</w:t>
            </w:r>
          </w:p>
          <w:p>
            <w:pPr>
              <w:pStyle w:val="TableParagraph"/>
              <w:tabs>
                <w:tab w:pos="939" w:val="left" w:leader="none"/>
                <w:tab w:pos="1096" w:val="left" w:leader="none"/>
                <w:tab w:pos="2041" w:val="left" w:leader="none"/>
                <w:tab w:pos="3016" w:val="left" w:leader="none"/>
                <w:tab w:pos="4054" w:val="left" w:leader="none"/>
                <w:tab w:pos="7525" w:val="left" w:leader="none"/>
              </w:tabs>
              <w:spacing w:line="208" w:lineRule="auto" w:before="0"/>
              <w:ind w:right="76"/>
              <w:rPr>
                <w:sz w:val="20"/>
              </w:rPr>
            </w:pPr>
            <w:r>
              <w:rPr>
                <w:sz w:val="20"/>
              </w:rPr>
              <w:t>&lt;/span&gt;</w:t>
              <w:tab/>
              <w:tab/>
              <w:t>&lt;/span&gt;</w:t>
              <w:tab/>
              <w:t>&lt;/span&gt; &lt;/span&gt;&lt;/p&gt;&lt;p style="line-height: 2.16; margin-left: 113pt; text-indent: 57pt; text-align: justify; margin-top: 8pt; margin-bottom: 8pt;" dir="ltr"&gt; &lt;span style="color: #000000; background-color: transparent; font-weight: 400; font-style: italic;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medium;"&gt;Por sua vez, o réu não comprovou os fatos impeditivos, modificativos ou extintivos do direito do autor.&lt;/span&gt;</w:t>
            </w:r>
          </w:p>
          <w:p>
            <w:pPr>
              <w:pStyle w:val="TableParagraph"/>
              <w:tabs>
                <w:tab w:pos="939" w:val="left" w:leader="none"/>
                <w:tab w:pos="1096" w:val="left" w:leader="none"/>
                <w:tab w:pos="2041" w:val="left" w:leader="none"/>
                <w:tab w:pos="3016" w:val="left" w:leader="none"/>
                <w:tab w:pos="4054" w:val="left" w:leader="none"/>
                <w:tab w:pos="7525" w:val="left" w:leader="none"/>
              </w:tabs>
              <w:spacing w:line="208" w:lineRule="auto" w:before="0"/>
              <w:ind w:right="76"/>
              <w:rPr>
                <w:sz w:val="20"/>
              </w:rPr>
            </w:pPr>
            <w:r>
              <w:rPr>
                <w:sz w:val="20"/>
              </w:rPr>
              <w:t>&lt;/span&gt;</w:t>
              <w:tab/>
              <w:tab/>
              <w:t>&lt;/span&gt;</w:t>
              <w:tab/>
              <w:t>&lt;/span&gt; &lt;/span&gt;&lt;/p&gt;&lt;p style="line-height: 2.16; margin-left: 113pt; text-indent: 57pt; text-align: justify; margin-top: 8pt; margin-bottom: 8pt;" dir="ltr"&gt; &lt;span style="color: #000000; background-color: transparent; font-weight: 400; font-style: italic;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medium;"&gt;Isso porque embora tenha anexado o contrato supostamente celebrado entre as partes, ao observá-lo (Id.</w:t>
            </w:r>
          </w:p>
          <w:p>
            <w:pPr>
              <w:pStyle w:val="TableParagraph"/>
              <w:tabs>
                <w:tab w:pos="1905" w:val="left" w:leader="none"/>
                <w:tab w:pos="2508" w:val="left" w:leader="none"/>
                <w:tab w:pos="3130" w:val="left" w:leader="none"/>
                <w:tab w:pos="3329" w:val="left" w:leader="none"/>
                <w:tab w:pos="3564" w:val="left" w:leader="none"/>
                <w:tab w:pos="4186" w:val="left" w:leader="none"/>
                <w:tab w:pos="4509" w:val="left" w:leader="none"/>
                <w:tab w:pos="5131" w:val="left" w:leader="none"/>
                <w:tab w:pos="5488" w:val="left" w:leader="none"/>
                <w:tab w:pos="6444" w:val="left" w:leader="none"/>
              </w:tabs>
              <w:spacing w:line="208" w:lineRule="auto" w:before="0"/>
              <w:ind w:right="64"/>
              <w:rPr>
                <w:sz w:val="20"/>
              </w:rPr>
            </w:pPr>
            <w:r>
              <w:rPr>
                <w:sz w:val="20"/>
              </w:rPr>
              <w:t>113172201 -), é possível constatar a existência de assinatura que seria do autor. No entanto, este é analfabeto, conforme RG e procuração juntados à inicial(Id. 113172215 - e 113172216 - ).&lt;/span&gt;</w:t>
              <w:tab/>
              <w:t>&lt;/span&gt;</w:t>
              <w:tab/>
              <w:tab/>
              <w:t>&lt;/span&gt;</w:t>
              <w:tab/>
              <w:t>&lt;/span&gt; &lt;/span&gt;&lt;/p&gt;&lt;p style="line- height: 2.16; margin-left: 113pt; text-indent: 57pt; text-align: justify; margin-top: 8pt; </w:t>
            </w:r>
            <w:r>
              <w:rPr>
                <w:spacing w:val="-3"/>
                <w:sz w:val="20"/>
              </w:rPr>
              <w:t>margin- </w:t>
            </w:r>
            <w:r>
              <w:rPr>
                <w:sz w:val="20"/>
              </w:rPr>
              <w:t>bottom: 8pt;" dir="ltr"&gt; &lt;span style="color: #000000; background-color: transparent; font- weight: 400; font-style: italic; font-variant: normal; text-decoration: none; vertical-align: baseline; white-space: pre-wrap;"&gt;</w:t>
              <w:tab/>
              <w:tab/>
              <w:t>&lt;span style="font-size: small;"&gt;</w:t>
              <w:tab/>
              <w:t>&lt;span style="font- size: medium;"&gt;</w:t>
              <w:tab/>
              <w:t>&lt;span style="font-size: medium;"&gt;</w:t>
              <w:tab/>
              <w:tab/>
              <w:t>&lt;span style="font-size: medium;"&gt;Não bastasse isso, o documento pessoal juntado ao mencionado contrato é uma habilitação, quando o autor nem sequer possui tal documento, na qual consta fotografia de pessoa diversa, além de dados completamente ilegíveis (Id. 113172201 – p. 5). Assim, é desnecessária, inclusive, a realização de perícia grafotécnica, por se tratar de falsificação grosseira.&lt;/span&gt;</w:t>
              <w:tab/>
              <w:t>&lt;/span&gt;</w:t>
              <w:tab/>
              <w:t>&lt;/span&gt;</w:t>
              <w:tab/>
              <w:t>&lt;/span&gt; &lt;/span&gt;&lt;/p&gt;&lt;p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210"/>
              <w:rPr>
                <w:sz w:val="20"/>
              </w:rPr>
            </w:pPr>
            <w:r>
              <w:rPr>
                <w:sz w:val="20"/>
              </w:rPr>
              <w:t>style="line-height: 2.16; margin-left: 113pt; text-indent: 57pt; text-align: justify; margin-top: 8pt; margin-bottom: 8pt;" dir="ltr"&gt; &lt;span style="color: #000000; background-color: transparent; font-weight: 400; font-style: italic; font-variant: normal; text-decoration: none; vertical-align: baseline; white-space: pre-wrap;"&gt;</w:t>
              <w:tab/>
              <w:t>&lt;span style="font-size: small;"&gt;</w:t>
            </w:r>
          </w:p>
          <w:p>
            <w:pPr>
              <w:pStyle w:val="TableParagraph"/>
              <w:tabs>
                <w:tab w:pos="2207" w:val="left" w:leader="none"/>
                <w:tab w:pos="3264" w:val="left" w:leader="none"/>
                <w:tab w:pos="3511" w:val="left" w:leader="none"/>
                <w:tab w:pos="4209" w:val="left" w:leader="none"/>
                <w:tab w:pos="4562" w:val="left" w:leader="none"/>
                <w:tab w:pos="7093" w:val="left" w:leader="none"/>
              </w:tabs>
              <w:spacing w:line="208" w:lineRule="auto" w:before="0"/>
              <w:ind w:right="41"/>
              <w:rPr>
                <w:sz w:val="20"/>
              </w:rPr>
            </w:pPr>
            <w:r>
              <w:rPr>
                <w:sz w:val="20"/>
              </w:rPr>
              <w:t>&lt;span style="font-size: medium;"&gt;</w:t>
              <w:tab/>
              <w:tab/>
              <w:t>&lt;span style="font-size: medium;"&gt;</w:t>
              <w:tab/>
              <w:t>&lt;span style="font-size: medium;"&gt;Deste modo, diante das alegações das partes e das provas coligidas aos autos, tenho como evidente que o consumidor não contratou o aludido </w:t>
            </w:r>
            <w:r>
              <w:rPr>
                <w:spacing w:val="-3"/>
                <w:sz w:val="20"/>
              </w:rPr>
              <w:t>cartão </w:t>
            </w:r>
            <w:r>
              <w:rPr>
                <w:sz w:val="20"/>
              </w:rPr>
              <w:t>de crédito.”&lt;/span&gt;</w:t>
              <w:tab/>
              <w:t>&lt;/span&gt;</w:t>
              <w:tab/>
              <w:t>&lt;/span&gt;</w:t>
              <w:tab/>
              <w:t>&lt;/span&gt; &lt;/span&gt;&lt;/p&gt;&lt;p style="line-height: 2.16; text-indent: 57pt; text-align: justify; margin-top: 8pt; margin-bottom: 8pt;" dir="ltr"&gt;&amp;#160;&lt;/p&gt;&lt;p style="line-height: 2.16; text-indent: 57pt; text-align: justify; margin- 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7093" w:val="left" w:leader="none"/>
              </w:tabs>
              <w:spacing w:line="208" w:lineRule="auto" w:before="0"/>
              <w:ind w:right="384"/>
              <w:rPr>
                <w:sz w:val="20"/>
              </w:rPr>
            </w:pPr>
            <w:r>
              <w:rPr>
                <w:sz w:val="20"/>
              </w:rPr>
              <w:t>&lt;span style="font-size: medium;"&gt;</w:t>
              <w:tab/>
              <w:t>&lt;span style="font-size: medium;"&gt;</w:t>
              <w:tab/>
              <w:t>&lt;span style="font-size: medium;"&gt;Na hipótese dos autos, saliente-se que intimadas para se manifestarem acerca da produção de provas, o autor requereu a realização de perícia grafotécnica, enquanto o Banco requerido pugnou pelo julgamento</w:t>
            </w:r>
            <w:r>
              <w:rPr>
                <w:spacing w:val="-17"/>
                <w:sz w:val="20"/>
              </w:rPr>
              <w:t> </w:t>
            </w:r>
            <w:r>
              <w:rPr>
                <w:sz w:val="20"/>
              </w:rPr>
              <w:t>antecipado.&lt;/span&gt;</w:t>
            </w:r>
          </w:p>
          <w:p>
            <w:pPr>
              <w:pStyle w:val="TableParagraph"/>
              <w:tabs>
                <w:tab w:pos="1096" w:val="left" w:leader="none"/>
                <w:tab w:pos="1550" w:val="left" w:leader="none"/>
                <w:tab w:pos="1939" w:val="left" w:leader="none"/>
                <w:tab w:pos="2041" w:val="left" w:leader="none"/>
                <w:tab w:pos="2549" w:val="left" w:leader="none"/>
                <w:tab w:pos="2719" w:val="left" w:leader="none"/>
                <w:tab w:pos="3775" w:val="left" w:leader="none"/>
                <w:tab w:pos="4720" w:val="left" w:leader="none"/>
                <w:tab w:pos="5055" w:val="left" w:leader="none"/>
                <w:tab w:pos="6020" w:val="left" w:leader="none"/>
                <w:tab w:pos="7275" w:val="left" w:leader="none"/>
              </w:tabs>
              <w:spacing w:line="208" w:lineRule="auto" w:before="0"/>
              <w:ind w:right="20"/>
              <w:rPr>
                <w:sz w:val="20"/>
              </w:rPr>
            </w:pPr>
            <w:r>
              <w:rPr>
                <w:sz w:val="20"/>
              </w:rPr>
              <w:t>&lt;/span&gt;</w:t>
              <w:tab/>
              <w:t>&lt;/span&gt;</w:t>
              <w:tab/>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ab/>
              <w:t>&lt;span style="font-size: medium;"&gt;Inequívoco, pois, o defeito do serviço prestado pelo réu, que não se houve no episódio com a diligência que seria de se esperar de sua atividade.&lt;/span&gt;</w:t>
              <w:tab/>
              <w:tab/>
              <w:t>&lt;/span&gt;</w:t>
              <w:tab/>
              <w:t>&lt;/span&gt;</w:t>
              <w:tab/>
              <w:t>&lt;/span&gt; &lt;/span&gt;&lt;/p&gt;&lt;p style="line- height: 2.16; text-indent: 57pt; text-align: justify; margin-top: 8pt; margin-bottom: 8pt;"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1439" w:val="left" w:leader="none"/>
                <w:tab w:pos="2141" w:val="left" w:leader="none"/>
                <w:tab w:pos="2473" w:val="left" w:leader="none"/>
                <w:tab w:pos="3197" w:val="left" w:leader="none"/>
                <w:tab w:pos="3622" w:val="left" w:leader="none"/>
                <w:tab w:pos="3941" w:val="left" w:leader="none"/>
                <w:tab w:pos="4142" w:val="left" w:leader="none"/>
                <w:tab w:pos="4998" w:val="left" w:leader="none"/>
                <w:tab w:pos="5588" w:val="left" w:leader="none"/>
                <w:tab w:pos="5943" w:val="left" w:leader="none"/>
              </w:tabs>
              <w:spacing w:line="208" w:lineRule="auto" w:before="0"/>
              <w:ind w:right="24"/>
              <w:rPr>
                <w:sz w:val="20"/>
              </w:rPr>
            </w:pPr>
            <w:r>
              <w:rPr>
                <w:sz w:val="20"/>
              </w:rPr>
              <w:t>&lt;span style="font-size: medium;"&gt;</w:t>
              <w:tab/>
              <w:tab/>
              <w:t>&lt;span style="font-size: medium;"&gt;Assim, uma vez comprovada a falsidade da assinatura, a contratação questionada deve ser considerada inexistente, acarretando, por conseguinte, o dever de indenizar o consumidor pelos danos morais e materiais suportados.&lt;/span&gt;</w:t>
              <w:tab/>
              <w:tab/>
              <w:t>&lt;/span&gt;</w:t>
              <w:tab/>
              <w:t>&lt;/span&gt;</w:t>
              <w:tab/>
              <w:t>&lt;/span&gt; </w:t>
            </w:r>
            <w:r>
              <w:rPr>
                <w:spacing w:val="-2"/>
                <w:sz w:val="20"/>
              </w:rPr>
              <w:t>&lt;/span&gt;&lt;/p&gt;&lt;p </w:t>
            </w:r>
            <w:r>
              <w:rPr>
                <w:sz w:val="20"/>
              </w:rPr>
              <w:t>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medium;"&gt;Neste contexto, não se pode conceber a legitimidade de descontos compensatórios pelo requerido quando sequer houve a comprovação da celebração contratual.&lt;/span&gt;</w:t>
              <w:tab/>
              <w:t>&lt;/span&gt;</w:t>
              <w:tab/>
              <w:t>&lt;/span&gt;</w:t>
              <w:tab/>
              <w:tab/>
              <w:t>&lt;/span&gt; &lt;/span&gt;&lt;/p&gt;&lt;p style="line-height: 2.16; text-indent: 57pt; text-align: justify; margin-top: 8pt; margin-bottom: 8pt;"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3622" w:val="left" w:leader="none"/>
                <w:tab w:pos="5298" w:val="left" w:leader="none"/>
                <w:tab w:pos="6354" w:val="left" w:leader="none"/>
                <w:tab w:pos="7299" w:val="left" w:leader="none"/>
              </w:tabs>
              <w:spacing w:line="208" w:lineRule="auto" w:before="0"/>
              <w:ind w:right="130"/>
              <w:rPr>
                <w:sz w:val="20"/>
              </w:rPr>
            </w:pPr>
            <w:r>
              <w:rPr>
                <w:sz w:val="20"/>
              </w:rPr>
              <w:t>&lt;span style="font-size: medium;"&gt;</w:t>
              <w:tab/>
              <w:t>&lt;span style="font-size: medium;"&gt;Demonstrada </w:t>
            </w:r>
            <w:r>
              <w:rPr>
                <w:spacing w:val="-12"/>
                <w:sz w:val="20"/>
              </w:rPr>
              <w:t>a </w:t>
            </w:r>
            <w:r>
              <w:rPr>
                <w:sz w:val="20"/>
              </w:rPr>
              <w:t>falha na prestação dos serviços, configurado está o ilícito civil, o qual enseja pronta reparação dos danos causados, nos termos do art. 14 do Código de Defesa do Consumidor e arts. 186 e 927 do Código Civil.&lt;/span&gt;</w:t>
              <w:tab/>
              <w:t>&lt;/span&gt;</w:t>
              <w:tab/>
              <w:t>&lt;/span&gt;</w:t>
              <w:tab/>
            </w:r>
            <w:r>
              <w:rPr>
                <w:spacing w:val="-3"/>
                <w:sz w:val="20"/>
              </w:rPr>
              <w:t>&lt;/span&gt;</w:t>
            </w:r>
          </w:p>
          <w:p>
            <w:pPr>
              <w:pStyle w:val="TableParagraph"/>
              <w:tabs>
                <w:tab w:pos="1327" w:val="left" w:leader="none"/>
                <w:tab w:pos="4799" w:val="left" w:leader="none"/>
                <w:tab w:pos="5780" w:val="left" w:leader="none"/>
              </w:tabs>
              <w:spacing w:line="208" w:lineRule="auto" w:before="0"/>
              <w:ind w:right="81"/>
              <w:rPr>
                <w:sz w:val="20"/>
              </w:rPr>
            </w:pPr>
            <w:r>
              <w:rPr>
                <w:sz w:val="20"/>
              </w:rPr>
              <w:t>&lt;/span&gt;&lt;/p&gt;&lt;p style="line-height: 2.16; text-indent: 57pt; text-align: justify; margin-top: </w:t>
            </w:r>
            <w:r>
              <w:rPr>
                <w:spacing w:val="-5"/>
                <w:sz w:val="20"/>
              </w:rPr>
              <w:t>8pt; </w:t>
            </w:r>
            <w:r>
              <w:rPr>
                <w:sz w:val="20"/>
              </w:rPr>
              <w:t>margin-bottom: 8pt;" dir="ltr"&gt;  &lt;span style="font-size: small;"&gt;</w:t>
              <w:tab/>
              <w:t>&lt;span style="font-size: medium;"&gt;</w:t>
              <w:tab/>
              <w:t>&lt;span style="font-size: medium;"&gt;</w:t>
              <w:tab/>
              <w:t>&lt;span style="font-size: medium;"&gt;</w:t>
            </w:r>
          </w:p>
          <w:p>
            <w:pPr>
              <w:pStyle w:val="TableParagraph"/>
              <w:tabs>
                <w:tab w:pos="2319" w:val="left" w:leader="none"/>
                <w:tab w:pos="5141" w:val="left" w:leader="none"/>
                <w:tab w:pos="5287" w:val="left" w:leader="none"/>
                <w:tab w:pos="6232" w:val="left" w:leader="none"/>
              </w:tabs>
              <w:spacing w:line="208" w:lineRule="auto" w:before="0"/>
              <w:ind w:right="142"/>
              <w:rPr>
                <w:sz w:val="20"/>
              </w:rPr>
            </w:pPr>
            <w:r>
              <w:rPr>
                <w:sz w:val="20"/>
              </w:rPr>
              <w:t>&lt;span style="color: #000000; background-color: transparent; font-weight: 400; font-style: normal; font-variant: normal; text-decoration: none; vertical-align: baseline; white-space: pre-wrap;"&gt;Destarte, a reiterada jurisprudência do STJ e do TJCE, em casos análogos, entende ser&lt;/span&gt;</w:t>
              <w:tab/>
              <w:t>&lt;span style="color: #000000; background-color: transparent; font-weight: 400; font-style: italic; font-variant: normal; text-decoration: none; </w:t>
            </w:r>
            <w:r>
              <w:rPr>
                <w:spacing w:val="-2"/>
                <w:sz w:val="20"/>
              </w:rPr>
              <w:t>vertical-align: </w:t>
            </w:r>
            <w:r>
              <w:rPr>
                <w:sz w:val="20"/>
              </w:rPr>
              <w:t>baseline; white-space: pre-wrap;"&gt;in re ipsa&lt;/span&gt;</w:t>
              <w:tab/>
              <w:t>&lt;span style="color: #000000; background-color: transparent; font-weight: 400; font-style: normal; font-variant: normal; text-decoration: none; vertical-align: baseline; white-space: pre-wrap;"&gt;o dano moral proveniente de desconto indevido que gerou diminuição do benefício previdenciário utilizado para a subsistência da autora.&lt;/span&gt;&lt;/span&gt;</w:t>
              <w:tab/>
              <w:tab/>
              <w:t>&lt;/span&gt;</w:t>
              <w:tab/>
              <w:t>&lt;/span&gt;</w:t>
            </w:r>
          </w:p>
          <w:p>
            <w:pPr>
              <w:pStyle w:val="TableParagraph"/>
              <w:tabs>
                <w:tab w:pos="4562" w:val="left" w:leader="none"/>
              </w:tabs>
              <w:spacing w:line="208" w:lineRule="auto" w:before="0"/>
              <w:ind w:right="42"/>
              <w:rPr>
                <w:sz w:val="20"/>
              </w:rPr>
            </w:pPr>
            <w:r>
              <w:rPr>
                <w:sz w:val="20"/>
              </w:rPr>
              <w:t>&lt;/span&gt;&lt;/p&gt;&lt;p style="line-height: 2.16;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7093" w:val="left" w:leader="none"/>
              </w:tabs>
              <w:spacing w:line="208" w:lineRule="auto" w:before="0"/>
              <w:ind w:right="53"/>
              <w:rPr>
                <w:sz w:val="20"/>
              </w:rPr>
            </w:pPr>
            <w:r>
              <w:rPr>
                <w:sz w:val="20"/>
              </w:rPr>
              <w:t>&lt;span style="font-size: medium;"&gt;</w:t>
              <w:tab/>
              <w:t>&lt;span style="font-size: medium;"&gt;</w:t>
              <w:tab/>
              <w:t>&lt;span style="font-size: medium;"&gt;Quanto ao valor da indenização, consoante parâmetros adotados na jurisprudência deste Tribunal de Justiça, e o total do valor descontado em desfavor da consumidora, a quantia de R$ 4.000,00 (quatro mil reais) arbitrada no</w:t>
            </w:r>
            <w:r>
              <w:rPr>
                <w:spacing w:val="5"/>
                <w:sz w:val="20"/>
              </w:rPr>
              <w:t> </w:t>
            </w:r>
            <w:r>
              <w:rPr>
                <w:spacing w:val="-3"/>
                <w:sz w:val="20"/>
              </w:rPr>
              <w:t>primeiro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931" w:val="left" w:leader="none"/>
                <w:tab w:pos="5988" w:val="left" w:leader="none"/>
                <w:tab w:pos="6933" w:val="left" w:leader="none"/>
              </w:tabs>
              <w:spacing w:line="208" w:lineRule="auto" w:before="26"/>
              <w:ind w:right="41"/>
              <w:rPr>
                <w:sz w:val="20"/>
              </w:rPr>
            </w:pPr>
            <w:r>
              <w:rPr>
                <w:sz w:val="20"/>
              </w:rPr>
              <w:t>grau se revela suficiente a reparar o dano experimentado, sem representar enriquecimento sem causa, ao mesmo tempo em que serve para desestimular a reiteração de práticas dessa natureza pela instituição financeira.&lt;/span&gt;</w:t>
              <w:tab/>
              <w:t>&lt;/span&gt;</w:t>
              <w:tab/>
              <w:t>&lt;/span&gt;</w:t>
              <w:tab/>
              <w:t>&lt;/span&gt;</w:t>
            </w:r>
          </w:p>
          <w:p>
            <w:pPr>
              <w:pStyle w:val="TableParagraph"/>
              <w:tabs>
                <w:tab w:pos="4562" w:val="left" w:leader="none"/>
              </w:tabs>
              <w:spacing w:line="208" w:lineRule="auto" w:before="0"/>
              <w:ind w:right="42"/>
              <w:rPr>
                <w:sz w:val="20"/>
              </w:rPr>
            </w:pPr>
            <w:r>
              <w:rPr>
                <w:sz w:val="20"/>
              </w:rPr>
              <w:t>&lt;/span&gt;&lt;/p&gt;&lt;p style="line-height: 2.16;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4695" w:val="left" w:leader="none"/>
                <w:tab w:pos="5751" w:val="left" w:leader="none"/>
                <w:tab w:pos="6696" w:val="left" w:leader="none"/>
                <w:tab w:pos="7093" w:val="left" w:leader="none"/>
              </w:tabs>
              <w:spacing w:line="208" w:lineRule="auto" w:before="0"/>
              <w:ind w:right="508"/>
              <w:rPr>
                <w:sz w:val="20"/>
              </w:rPr>
            </w:pPr>
            <w:r>
              <w:rPr>
                <w:sz w:val="20"/>
              </w:rPr>
              <w:t>&lt;span style="font-size: medium;"&gt;</w:t>
              <w:tab/>
              <w:t>&lt;span style="font-size: medium;"&gt;</w:t>
              <w:tab/>
              <w:tab/>
            </w:r>
            <w:r>
              <w:rPr>
                <w:spacing w:val="-4"/>
                <w:sz w:val="20"/>
              </w:rPr>
              <w:t>&lt;span </w:t>
            </w:r>
            <w:r>
              <w:rPr>
                <w:sz w:val="20"/>
              </w:rPr>
              <w:t>style="font-size: medium;"&gt;A propósito:&lt;/span&gt;</w:t>
              <w:tab/>
              <w:t>&lt;/span&gt;</w:t>
              <w:tab/>
              <w:t>&lt;/span&gt;</w:t>
              <w:tab/>
              <w:t>&lt;/span&gt;</w:t>
            </w:r>
          </w:p>
          <w:p>
            <w:pPr>
              <w:pStyle w:val="TableParagraph"/>
              <w:spacing w:line="208" w:lineRule="auto" w:before="0"/>
              <w:ind w:right="474"/>
              <w:rPr>
                <w:sz w:val="20"/>
              </w:rPr>
            </w:pPr>
            <w:r>
              <w:rPr>
                <w:sz w:val="20"/>
              </w:rPr>
              <w:t>&lt;/span&gt;&lt;/p&gt;&lt;p style="line-height: 2.16; margin-left: 113pt; text-indent: 57pt; text-align: justify; margin-top: 8pt; margin-bottom: 8pt;" dir="ltr"&gt; &lt;span style="font-size: small;"&gt;</w:t>
            </w:r>
          </w:p>
          <w:p>
            <w:pPr>
              <w:pStyle w:val="TableParagraph"/>
              <w:tabs>
                <w:tab w:pos="2905" w:val="left" w:leader="none"/>
                <w:tab w:pos="3400" w:val="left" w:leader="none"/>
                <w:tab w:pos="6871" w:val="left" w:leader="none"/>
              </w:tabs>
              <w:spacing w:line="208" w:lineRule="auto" w:before="0"/>
              <w:ind w:right="42"/>
              <w:rPr>
                <w:sz w:val="20"/>
              </w:rPr>
            </w:pPr>
            <w:r>
              <w:rPr>
                <w:sz w:val="20"/>
              </w:rPr>
              <w:t>&lt;span style="font-size: medium;"&gt;</w:t>
              <w:tab/>
              <w:t>&lt;span style="font-size: medium;"&gt;</w:t>
              <w:tab/>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pre-wrap;"&gt;CIVIL E PROCESSUAL CIVIL. DIREITO DO CONSUMIDOR. APELAÇÃO CÍVEL. AÇÃO DECLARATÓRIA DE INEXISTÊNCIA DE DÉBITO OU NULIDADE DE NEGÓCIO JURÍDICO C/C REPETIÇÃO DO INDÉBITO E INDENIZAÇÃO POR DANOS MORAIS. CONTRATO BANCÁRIO. RELAÇÃO CONSUMERISTA. IMPUGNAÇÃO AUTENTICIDADE DA ASSINATURA. ÔNUS DA PROVA DA INSTITUIÇÃO FINANCEIRA. RECURSO ESPECIAL REPETITIVO Nº 1846649/ MA, TEMA 1061. INTIMAÇÃO. NÃO MANIFESTAÇÃO. AUSÊNCIA DE COMPROVAÇÃO VÁLIDA DA CONTRATAÇÃO. FRAUDE PRESUMIDA. DEFEITO NA PRESTAÇÃO DO SERVIÇO. RESPONSABILIDADE OBJETIVA. RESTITUIÇÃO DO INDÉBITO. NA FORMA DOBRADA. VALORES DESCONTADOS APÓS 30/03/2021, CONFORME DO STJ (EARESP 676608/RS). DO JUROS DE MORA SOBRE O DANO MATERIAL. MATÉRIA DE ORDEM PÚBLICA. FIXAÇÃO, DE OFÍCIO, A PARTIR DO EVENTO DANOSO, CONFORME SÚMULA 54 DO STJ. DANO MORAL IN RE IPSA. CORREÇÃO MONETÁRIA A PARTIR O ARBITRAMENTO NESSA CORTE DE JUSTIÇA, SÚMULA 362 DO STJ E JUROS DE MORA A PARTIR DO EVENTO DANOSO, NOS TERMOS DA SÚMULA 54 DO STJ E. RECURSOS DE APELAÇÃO CONHECIDOS. PARCIALMENTE PROVIDO O DA AUTORA. NEGADO PROVIMENTO O DO BANCO. 1.</w:t>
            </w:r>
          </w:p>
          <w:p>
            <w:pPr>
              <w:pStyle w:val="TableParagraph"/>
              <w:tabs>
                <w:tab w:pos="2296" w:val="left" w:leader="none"/>
                <w:tab w:pos="4942" w:val="left" w:leader="none"/>
              </w:tabs>
              <w:spacing w:line="208" w:lineRule="auto" w:before="0"/>
              <w:ind w:right="19"/>
              <w:rPr>
                <w:sz w:val="20"/>
              </w:rPr>
            </w:pPr>
            <w:r>
              <w:rPr>
                <w:sz w:val="20"/>
              </w:rPr>
              <w:t>Em seu recurso, busca o banco apelante a reforma da sentença do magistrado a quo, a fim de que a ação seja julgada totalmente improcedente, uma vez que não cometeu qualquer ilicitude, mantendo-se o contrato em todos os seus termos. De outro lado, busca a parte autora em seu recurso, a condenação do banco demandado em dano moral, bem como a restituição do indébito em dobro. 2. In casu, as partes mantêm relação de consumo na modalidade prestação de serviços, nos termos do art. 2º e 3º do Código Consumerista. Ademais, sobre o tema, o Superior Tribunal de Justiça editou a Súmula nº 297, que dispõe: ¿O Código de Defesa do Consumidor é aplicável às instituições financeiras." 3. É sabido que, na tentativa de equilibrar a relação consumerista, o Código de Defesa do Consumidor confere uma série de prerrogativas ao consumidor, dentre as quais, a possibilidade de inversão do ônus da prova, como forma de facilitar a sua defesa, quando a critério do juiz, for verossímil a alegação ou quando hipossuficiente, segundo as regrar ordinárias da experiência, a teor do art. 6º, VIII, do CDC. Como no caso dos presentes autos, pessoa de escassas condições financeiras, beneficiária de benefício de prestação continuada do INSS. 4. No caso presente, a parte autora juntou aos autos consulta de empréstimo consignado demonstrando a existência de empréstimo: Banco Bradesco Financiamentos S.A; Valor: R$ 2.082,57; 11 Parcelas de R$ 51,00; Nº do Contrato 817086530; Início do desconto: 07/2021; Situação: Ativo, id.16, o qual alega nunca tê-lo contratado, razão pela qual ajuizou a presente ação; junta ainda extratos bancários do período 06/2021 a 09/2021 (Banco Bradesco), demonstrando que não houve o crédito desses valores em sua conta corrente, id. 24, o fato constitutivo do direito do autor, a teor do art. 373, I, do CPC. 5. Em contestação, o banco demandado junta aos autos o contrato de empréstimo consignado. Entretanto, a parte autora impugnou a assinatura aposta no documento. Desse modo, diante do teor do art. 429, II, do CPC, bem como do entendimento do STJ proferido no julgamento do REsp: 1846649 MA, caberia ao banco demandado, requerer a perícia grafotécnica, a fim de comprovar a licitude do negócio jurídico, ônus do qual não se desincumbiu, vez que embora intimado para manifestar-se sobre a réplica do autor, deixou transcorrer o prazo, sem nada apresentar </w:t>
            </w:r>
            <w:r>
              <w:rPr>
                <w:spacing w:val="-9"/>
                <w:sz w:val="20"/>
              </w:rPr>
              <w:t>ou </w:t>
            </w:r>
            <w:r>
              <w:rPr>
                <w:sz w:val="20"/>
              </w:rPr>
              <w:t>requerer. 6.&lt;/span&gt;</w:t>
              <w:tab/>
              <w:t>&lt;span style="color: #000000; background-color: transparent; font- weight: 700; font-style: normal; font-variant: normal; text-decoration: none; vertical-align: baseline; white-space: pre-wrap;"&gt;Assim, não demonstrada a veracidade da assinatura aposta no contrato, ônus que competia à instituição financeira, impõe-se a manutenção da decisão do magistrado a quo, com a procedência do pleito autoral, para declarar-se a inexistência da realização do contrato questionado, em razão de fraude presumida, restando, portanto, configurado ato ilícito.&lt;/span&gt;</w:t>
              <w:tab/>
              <w:t>&lt;span style="color: #000000; background-color: transparent; font-weight: 400; font-style: normal; font-variant: normal; text-decoration: none; vertical-align: baseline; white-space: pre-wrap;"&gt;7. No que diz respeito ao pedido da parte autora da repetição do indébito na forma dobrada, merece reparo a decisão do magistrado a quo. É que, conforme modulação do STJ (EAREsp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231" w:val="left" w:leader="none"/>
                <w:tab w:pos="6478" w:val="left" w:leader="none"/>
                <w:tab w:pos="6950" w:val="left" w:leader="none"/>
              </w:tabs>
              <w:spacing w:line="208" w:lineRule="auto" w:before="26"/>
              <w:ind w:right="63"/>
              <w:rPr>
                <w:sz w:val="20"/>
              </w:rPr>
            </w:pPr>
            <w:r>
              <w:rPr>
                <w:sz w:val="20"/>
              </w:rPr>
              <w:t>676608/RS), os valores descontados após 30/03/2021 devem ser restituídos, em dobro. In casu, verifica-se dos documentos de id. 16 e 88/89, que se trata contrato realizado em 16 de junho de 2021, ou seja, após 30/03/2021, portanto, as parcelas descontadas indevidamente do benefício da parte autora, deverão ser restituídas em dobro, acrescidos de correção monetária da data do efetivo prejuízo, nos termos da Súmula 43 do STJ, tudo nos termos do art. 42, parágrafo único, do CDC. 8. Quanto ao juros de mora a serem aplicados sobre a repetição do indébito, omissa a decisão do magistrado a quo, assim, </w:t>
            </w:r>
            <w:r>
              <w:rPr>
                <w:spacing w:val="-6"/>
                <w:sz w:val="20"/>
              </w:rPr>
              <w:t>por </w:t>
            </w:r>
            <w:r>
              <w:rPr>
                <w:sz w:val="20"/>
              </w:rPr>
              <w:t>tratar-se de questão de ordem pública, hei por bem fixá-lo, de ofício, em de 1% ao mês, incidindo a partir do evento danoso (desde de as datas dos efetivos descontos), por se tratar de relação extracontratual, conforme Súmula 54 do STJ. Precedentes dos Tribunais pátrios e dessa Corte de Justiça. 9. Quanto ao pedido da parte autora de indenização por dano moral entendo que merece prosperar. É que os danos morais nesse caso decorrem de descontos indevidos sobre verba alimentar da parte autora, de causa não comprovada e idônea, fazendo com que tivesse que buscar a seara judiciária para solução do problema. Tais circunstâncias representam clara afronta ao princípio da dignidade da pessoa humana, art. 1º, III, da CF, configurando dano in re ipsa.&lt;/span&gt;</w:t>
              <w:tab/>
              <w:tab/>
              <w:t>&lt;span style="color: #000000; background-color: transparent; font-weight: 700; font-style: normal; font-variant: normal; text-decoration: none; vertical-align: baseline; white-space: pre- wrap;"&gt;10. No caso de que ora se cuida, a condenação em danos morais, além do caráter punitivo, deve levar em conta o caráter pedagógico, a fim de desestimular a prática de tal comportamento. Destarte, levando-se em conta a reprovabilidade da conduta (realização de contrato fraudado, bem como de descontos indevidos), a capacidade econômica do causador do dano, bem como as condições sociais do ofendido, fixo o valor do dano </w:t>
            </w:r>
            <w:r>
              <w:rPr>
                <w:spacing w:val="-4"/>
                <w:sz w:val="20"/>
              </w:rPr>
              <w:t>moral </w:t>
            </w:r>
            <w:r>
              <w:rPr>
                <w:sz w:val="20"/>
              </w:rPr>
              <w:t>em R$ 3.000,00 (cinco mil reais), acrescidos de correção monetária pelo INPC, a partir do presente arbitramento neste Tribunal, nos termos da Súmula 362 do STJ e juros de mora de um por cento ao mês, a partir do evento danoso, nos termos da Súmula 54 do STJ, por tratar-se de responsabilidade extracontratual&lt;/span&gt;</w:t>
              <w:tab/>
              <w:t>&lt;span style="color: #000000; background-color: transparent; font-weight: 400; font-style: normal; font-variant: normal; text-decoration: none; vertical-align: baseline; white-space: pre-wrap;"&gt;11. Recursos de Apelação conhecidos. Provido o da autora e desprovido o da instituição financeira. (Apelação Cível - 0200503-34.2022.8.06.0160, Rel. Desembargador(a) INACIO DE ALENCAR CORTEZ NETO, 2ª Câmara Direito Privado, data do julgamento:&amp;#160; 28/06/2023, data da publicação:&amp;#160; 28/06/2023).&lt;/span&gt;&lt;/span&gt;</w:t>
              <w:tab/>
              <w:t>&lt;/span&gt;</w:t>
            </w:r>
          </w:p>
          <w:p>
            <w:pPr>
              <w:pStyle w:val="TableParagraph"/>
              <w:tabs>
                <w:tab w:pos="939" w:val="left" w:leader="none"/>
                <w:tab w:pos="1439" w:val="left" w:leader="none"/>
                <w:tab w:pos="2473" w:val="left" w:leader="none"/>
                <w:tab w:pos="3016" w:val="left" w:leader="none"/>
                <w:tab w:pos="3530" w:val="left" w:leader="none"/>
                <w:tab w:pos="3742" w:val="left" w:leader="none"/>
                <w:tab w:pos="4054" w:val="left" w:leader="none"/>
                <w:tab w:pos="4086" w:val="left" w:leader="none"/>
                <w:tab w:pos="4587" w:val="left" w:leader="none"/>
                <w:tab w:pos="4798" w:val="left" w:leader="none"/>
                <w:tab w:pos="5021" w:val="left" w:leader="none"/>
                <w:tab w:pos="5532" w:val="left" w:leader="none"/>
                <w:tab w:pos="5588" w:val="left" w:leader="none"/>
                <w:tab w:pos="5743" w:val="left" w:leader="none"/>
                <w:tab w:pos="7525" w:val="left" w:leader="none"/>
              </w:tabs>
              <w:spacing w:line="208" w:lineRule="auto" w:before="0"/>
              <w:ind w:right="76"/>
              <w:rPr>
                <w:sz w:val="20"/>
              </w:rPr>
            </w:pPr>
            <w:r>
              <w:rPr>
                <w:sz w:val="20"/>
              </w:rPr>
              <w:t>&lt;/span&gt; &lt;/span&gt;&lt;/p&gt;&lt;p style="line-height: 2.16; text-indent: 57pt; text-align: justify; margin-top: 8pt; margin-bottom: 8pt;" dir="ltr"&gt;&amp;#160;&lt;/p&gt;&lt;p style="line-height: 2.16; text- indent: 57pt; text-align: justify; margin-top: 8pt; margin-bottom: 8pt;" dir="ltr"&gt; &lt;span style="color: #000000; background-color: transparent; font-weight: 700; font-style: normal; font-variant: normal; text-decoration: none; vertical-align: baseline; white-space: pre- wrap;"&gt;</w:t>
              <w:tab/>
              <w:t>&lt;span style="font-size: small;"&gt;</w:t>
              <w:tab/>
              <w:tab/>
              <w:t>&lt;span style="font-size: medium;"&gt;</w:t>
              <w:tab/>
            </w:r>
            <w:r>
              <w:rPr>
                <w:spacing w:val="-4"/>
                <w:sz w:val="20"/>
              </w:rPr>
              <w:t>&lt;span </w:t>
            </w:r>
            <w:r>
              <w:rPr>
                <w:sz w:val="20"/>
              </w:rPr>
              <w:t>style="font-size: medium;"&gt;</w:t>
              <w:tab/>
              <w:tab/>
              <w:t>&lt;span style="font-size: medium;"&gt;Juros de Mora e Correção Monetária:&lt;/span&gt;</w:t>
              <w:tab/>
              <w:t>&lt;/span&gt;</w:t>
              <w:tab/>
              <w:tab/>
              <w:t>&lt;/span&gt;</w:t>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ab/>
              <w:t>&lt;span style="font-size: medium;"&gt;</w:t>
              <w:tab/>
              <w:t>&lt;span style="font-size: medium;"&gt;</w:t>
              <w:tab/>
              <w:tab/>
              <w:tab/>
              <w:t>&lt;span style="font-size: medium;"&gt;A responsabilidade, na hipótese, encerra natureza extracontratual/aquiliana, ou seja, decorre de ato ilícito, na medida em que não há provas da existência de relação contratual entre as partes.&lt;/span&gt;</w:t>
              <w:tab/>
              <w:t>&lt;/span&gt;</w:t>
              <w:tab/>
              <w:t>&lt;/span&gt;</w:t>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ab/>
              <w:t>&lt;span style="font-size: medium;"&gt;</w:t>
              <w:tab/>
              <w:t>&lt;span style="font-size: medium;"&gt;</w:t>
              <w:tab/>
              <w:tab/>
              <w:tab/>
              <w:t>&lt;span style="font-size: medium;"&gt;Desse modo, os juros moratórios e a correção monetária atinentes aos danos materiais fluem a partir do evento danoso (Súmulas n.º 54 e 43 do STJ). Por sua vez, a correção monetária do valor da indenização por dano moral incide desde a data do arbitramento (Súmula n.º 362/STJ), ao passo que os juros também têm aplicação a partir do evento danoso. Vejamos:&lt;/span&gt;</w:t>
              <w:tab/>
              <w:tab/>
              <w:t>&lt;/span&gt;</w:t>
              <w:tab/>
              <w:tab/>
              <w:t>&lt;/span&gt;</w:t>
              <w:tab/>
              <w:tab/>
              <w:tab/>
              <w:t>&lt;/span&gt; &lt;/span&gt;&lt;/p&gt;&lt;p style="line-height: 2.16; margin-left: 113pt; text-indent: 57pt; text-align: justify; margin-top:</w:t>
            </w:r>
          </w:p>
          <w:p>
            <w:pPr>
              <w:pStyle w:val="TableParagraph"/>
              <w:tabs>
                <w:tab w:pos="939" w:val="left" w:leader="none"/>
                <w:tab w:pos="2634" w:val="left" w:leader="none"/>
                <w:tab w:pos="3016" w:val="left" w:leader="none"/>
                <w:tab w:pos="3801" w:val="left" w:leader="none"/>
                <w:tab w:pos="4054" w:val="left" w:leader="none"/>
                <w:tab w:pos="4858" w:val="left" w:leader="none"/>
                <w:tab w:pos="5803" w:val="left" w:leader="none"/>
                <w:tab w:pos="6709" w:val="left" w:leader="none"/>
                <w:tab w:pos="7525" w:val="left" w:leader="none"/>
              </w:tabs>
              <w:spacing w:line="208" w:lineRule="auto" w:before="0"/>
              <w:ind w:right="35"/>
              <w:rPr>
                <w:sz w:val="20"/>
              </w:rPr>
            </w:pPr>
            <w:r>
              <w:rPr>
                <w:sz w:val="20"/>
              </w:rPr>
              <w:t>8pt; margin-bottom: 8pt;" dir="ltr"&gt;&amp;#160;&lt;/p&gt;&lt;p style="line-height: 2.16; margin-left: </w:t>
            </w:r>
            <w:r>
              <w:rPr>
                <w:spacing w:val="-3"/>
                <w:sz w:val="20"/>
              </w:rPr>
              <w:t>113pt; </w:t>
            </w:r>
            <w:r>
              <w:rPr>
                <w:sz w:val="20"/>
              </w:rPr>
              <w:t>text-indent: 57pt; text-align: justify; margin-top: 8pt; margin-bottom: 8pt;" dir="ltr"&gt; &lt;span style="color: #000000; background-color: transparent; font-weight: 400; font-style: normal; font-variant: normal; text-decoration: none; vertical-align: baseline; white-space: pre- wrap;"&gt;</w:t>
              <w:tab/>
              <w:t>&lt;span style="font-size: small;"&gt;</w:t>
              <w:tab/>
              <w:tab/>
              <w:t>&lt;span style="font-size: medium;"&gt;</w:t>
              <w:tab/>
              <w:t>&lt;span style="font-size: medium;"&gt;</w:t>
              <w:tab/>
              <w:tab/>
              <w:t>&lt;span style="font-size: medium;"&gt;</w:t>
              <w:tab/>
              <w:t>&lt;em&gt;Súmula 43: "Incide correção monetária sobre dívida por ato ilícito a partir da data do efetivo prejuízo".&amp;#160;&lt;/em&gt;</w:t>
              <w:tab/>
              <w:t>&lt;/span&gt;</w:t>
              <w:tab/>
              <w:t>&lt;/span&gt;</w:t>
              <w:tab/>
              <w:t>&lt;/span&gt;</w:t>
              <w:tab/>
              <w:t>&lt;/span&gt; &lt;/span&gt;&lt;/p&gt;&lt;p style="line-height: 2.16; margin-left: 113pt; text-indent: 57pt; text-align: justify; margin-top: 8pt; margin-bottom: 8pt;" dir="ltr"&gt; &lt;span style="color: #000000; background-color: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42"/>
              <w:rPr>
                <w:sz w:val="20"/>
              </w:rPr>
            </w:pPr>
            <w:r>
              <w:rPr>
                <w:sz w:val="20"/>
              </w:rPr>
              <w:t>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127" w:val="left" w:leader="none"/>
                <w:tab w:pos="3511" w:val="left" w:leader="none"/>
                <w:tab w:pos="6788" w:val="left" w:leader="none"/>
                <w:tab w:pos="7093" w:val="left" w:leader="none"/>
              </w:tabs>
              <w:spacing w:line="208" w:lineRule="auto" w:before="0"/>
              <w:ind w:right="201"/>
              <w:rPr>
                <w:sz w:val="20"/>
              </w:rPr>
            </w:pPr>
            <w:r>
              <w:rPr>
                <w:sz w:val="20"/>
              </w:rPr>
              <w:t>&lt;span style="font-size: medium;"&gt;</w:t>
              <w:tab/>
              <w:tab/>
              <w:t>&lt;span style="font-size: medium;"&gt;</w:t>
              <w:tab/>
              <w:tab/>
              <w:t>&lt;span style="font-size: medium;"&gt;</w:t>
              <w:tab/>
              <w:t>&lt;em&gt;Súmula 54: Os juros moratórios fluem a partir </w:t>
            </w:r>
            <w:r>
              <w:rPr>
                <w:spacing w:val="-9"/>
                <w:sz w:val="20"/>
              </w:rPr>
              <w:t>do </w:t>
            </w:r>
            <w:r>
              <w:rPr>
                <w:sz w:val="20"/>
              </w:rPr>
              <w:t>evento danoso, em caso de responsabilidade extracontratual ...&lt;/em&gt;</w:t>
              <w:tab/>
              <w:t>&lt;/span&gt;</w:t>
            </w:r>
          </w:p>
          <w:p>
            <w:pPr>
              <w:pStyle w:val="TableParagraph"/>
              <w:tabs>
                <w:tab w:pos="939" w:val="left" w:leader="none"/>
                <w:tab w:pos="1096" w:val="left" w:leader="none"/>
                <w:tab w:pos="2041" w:val="left" w:leader="none"/>
                <w:tab w:pos="2285" w:val="left" w:leader="none"/>
                <w:tab w:pos="3016" w:val="left" w:leader="none"/>
                <w:tab w:pos="3452" w:val="left" w:leader="none"/>
                <w:tab w:pos="4054" w:val="left" w:leader="none"/>
                <w:tab w:pos="4508" w:val="left" w:leader="none"/>
                <w:tab w:pos="5119" w:val="left" w:leader="none"/>
                <w:tab w:pos="5454" w:val="left" w:leader="none"/>
                <w:tab w:pos="6709" w:val="left" w:leader="none"/>
                <w:tab w:pos="7525" w:val="left" w:leader="none"/>
              </w:tabs>
              <w:spacing w:line="208" w:lineRule="auto" w:before="0"/>
              <w:ind w:right="53"/>
              <w:rPr>
                <w:sz w:val="20"/>
              </w:rPr>
            </w:pPr>
            <w:r>
              <w:rPr>
                <w:sz w:val="20"/>
              </w:rPr>
              <w:t>&lt;/span&gt;</w:t>
              <w:tab/>
              <w:tab/>
              <w:t>&lt;/span&gt;</w:t>
              <w:tab/>
              <w:t>&lt;/span&gt; &lt;/span&gt;&lt;/p&gt;&lt;p style="line-height: 2.16; margin-left: 113pt; text-indent: 57pt; text-align: justify; margin-top: 8pt; margin-bottom: 8pt;" dir="ltr"&gt; &lt;span style="color: #000000; background-color: transparent; font-weight: 400; font-style: normal; font-variant: normal; text-decoration: none; vertical-align: baseline; white-space: pre- wrap;"&gt;</w:t>
              <w:tab/>
              <w:t>&lt;span style="font-size: small;"&gt;</w:t>
              <w:tab/>
              <w:t>&lt;span style="font-size: medium;"&gt;</w:t>
              <w:tab/>
              <w:t>&lt;span style="font-size: medium;"&gt;</w:t>
              <w:tab/>
              <w:t>&lt;span style="font-size: medium;"&gt;</w:t>
              <w:tab/>
              <w:t>&lt;em&gt;Súmula 362: A correção monetária do valor da indenização do dano moral incide desde a data do arbitramento&lt;/em&gt;</w:t>
              <w:tab/>
              <w:tab/>
              <w:t>&lt;/span&gt;</w:t>
              <w:tab/>
              <w:tab/>
              <w:t>&lt;/span&gt;</w:t>
              <w:tab/>
              <w:t>&lt;/span&gt;</w:t>
              <w:tab/>
              <w:t>&lt;/span&gt; &lt;/span&gt;&lt;/p&gt;&lt;p style="line-height: 2.16; text-indent: 57pt; text-align: justify; margin-top: 8pt; margin-bottom: 8pt;" dir="ltr"&gt;&amp;#160;&lt;/p&gt;&lt;p style="line-height: 2.16; text-indent: 57pt; text-align: justify; margin-top: 8pt; margin-bottom: 8pt;" dir="ltr"&gt; &lt;span style="color: #000000; background- color: transparent; font-weight: 400; font-style: normal; font-variant: normal; text-decoration: none; vertical-align: baseline; white-space: pre-wrap;"&gt;</w:t>
              <w:tab/>
              <w:t>&lt;span style="font-size: small;"&gt;</w:t>
            </w:r>
          </w:p>
          <w:p>
            <w:pPr>
              <w:pStyle w:val="TableParagraph"/>
              <w:tabs>
                <w:tab w:pos="3511" w:val="left" w:leader="none"/>
                <w:tab w:pos="6554" w:val="left" w:leader="none"/>
                <w:tab w:pos="7093" w:val="left" w:leader="none"/>
              </w:tabs>
              <w:spacing w:line="208" w:lineRule="auto" w:before="0"/>
              <w:ind w:right="53"/>
              <w:rPr>
                <w:sz w:val="20"/>
              </w:rPr>
            </w:pPr>
            <w:r>
              <w:rPr>
                <w:sz w:val="20"/>
              </w:rPr>
              <w:t>&lt;span style="font-size: medium;"&gt;</w:t>
              <w:tab/>
              <w:t>&lt;span style="font-size: medium;"&gt;</w:t>
              <w:tab/>
              <w:tab/>
              <w:t>&lt;span style="font-size: medium;"&gt;É cediço que a jurisprudência do colendo Superior Tribunal de Justiça é firme no sentido de que as questões relativas à correção monetária e aos juros de mora são de ordem pública e, por isso, devem ser conhecidas ou modificadas de </w:t>
            </w:r>
            <w:r>
              <w:rPr>
                <w:spacing w:val="-3"/>
                <w:sz w:val="20"/>
              </w:rPr>
              <w:t>ofício, </w:t>
            </w:r>
            <w:r>
              <w:rPr>
                <w:sz w:val="20"/>
              </w:rPr>
              <w:t>sem importar em ofensa ao princípio da congruência e, por conseguinte, da non reformatio in pejus (AgInt no REsp 1555776/PR; EDcl no AgInt no AREsp 1314880/SC; AgInt no REsp 1687982/SP; AgInt nos EDcl no REsp 1.652.981/MG).&lt;/span&gt;</w:t>
              <w:tab/>
              <w:t>&lt;/span&gt;</w:t>
            </w:r>
          </w:p>
          <w:p>
            <w:pPr>
              <w:pStyle w:val="TableParagraph"/>
              <w:tabs>
                <w:tab w:pos="985" w:val="left" w:leader="none"/>
                <w:tab w:pos="1550" w:val="left" w:leader="none"/>
                <w:tab w:pos="2549" w:val="left" w:leader="none"/>
                <w:tab w:pos="6020" w:val="left" w:leader="none"/>
                <w:tab w:pos="6553" w:val="left" w:leader="none"/>
              </w:tabs>
              <w:spacing w:line="208" w:lineRule="auto" w:before="0"/>
              <w:ind w:right="115"/>
              <w:rPr>
                <w:sz w:val="20"/>
              </w:rPr>
            </w:pPr>
            <w:r>
              <w:rPr>
                <w:sz w:val="20"/>
              </w:rPr>
              <w:t>&lt;/span&gt;</w:t>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medium;"&gt;Nesse contexto, é importante esclarecer que foi publicada em 28 de junho de 2024 a Lei de nº14.905, alterando o Código Civil, para dispor sobre atualização monetária e juros de mora.&lt;/span&gt;</w:t>
            </w:r>
          </w:p>
          <w:p>
            <w:pPr>
              <w:pStyle w:val="TableParagraph"/>
              <w:tabs>
                <w:tab w:pos="1096" w:val="left" w:leader="none"/>
                <w:tab w:pos="1550" w:val="left" w:leader="none"/>
                <w:tab w:pos="1661" w:val="left" w:leader="none"/>
                <w:tab w:pos="1905" w:val="left" w:leader="none"/>
                <w:tab w:pos="2041" w:val="left" w:leader="none"/>
                <w:tab w:pos="2549" w:val="left" w:leader="none"/>
                <w:tab w:pos="2686" w:val="left" w:leader="none"/>
                <w:tab w:pos="3329" w:val="left" w:leader="none"/>
                <w:tab w:pos="3742" w:val="left" w:leader="none"/>
                <w:tab w:pos="4687" w:val="left" w:leader="none"/>
                <w:tab w:pos="5488" w:val="left" w:leader="none"/>
                <w:tab w:pos="6020" w:val="left" w:leader="none"/>
                <w:tab w:pos="6444" w:val="left" w:leader="none"/>
                <w:tab w:pos="7275" w:val="left" w:leader="none"/>
              </w:tabs>
              <w:spacing w:line="208" w:lineRule="auto" w:before="0"/>
              <w:ind w:right="64"/>
              <w:rPr>
                <w:sz w:val="20"/>
              </w:rPr>
            </w:pPr>
            <w:r>
              <w:rPr>
                <w:sz w:val="20"/>
              </w:rPr>
              <w:t>&lt;/span&gt;</w:t>
              <w:tab/>
              <w:t>&lt;/span&gt;</w:t>
              <w:tab/>
              <w:tab/>
              <w:t>&lt;/span&gt; &lt;/span&gt;&lt;/p&gt;&lt;p style="line-height: 2.16;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ab/>
              <w:t>&lt;span style="font-size: medium;"&gt;Faz-se necessária a adequação dos índices que incidirão sobre os valores a serem restituídos, diante da publicação da Lei n.º 14.905/2024, que, alterando a redação dos arts. 389 e 406 do Código Civil, passou a estabelecer que:&lt;/span&gt;</w:t>
              <w:tab/>
              <w:tab/>
              <w:t>&lt;/span&gt;</w:t>
              <w:tab/>
              <w:t>&lt;/span&gt;</w:t>
              <w:tab/>
              <w:t>&lt;/span&gt; &lt;/span&gt;&lt;/p&gt;&lt;p style="line- height: 2.16; margin-left: 113pt; text-indent: 57pt; text-align: justify; margin-top: 8pt; </w:t>
            </w:r>
            <w:r>
              <w:rPr>
                <w:spacing w:val="-3"/>
                <w:sz w:val="20"/>
              </w:rPr>
              <w:t>margin- </w:t>
            </w:r>
            <w:r>
              <w:rPr>
                <w:sz w:val="20"/>
              </w:rPr>
              <w:t>bottom: 8pt;" dir="ltr"&gt; &lt;span style="color: #000000; background-color: transparent; font- weight: 400; font-style: normal; font-variant: normal; text-decoration: none; vertical-align: baseline; white-space: pre-wrap;"&gt;</w:t>
              <w:tab/>
              <w:t>&lt;span style="font-size: small;"&gt;</w:t>
              <w:tab/>
              <w:t>&lt;span style="font- size: medium;"&gt;</w:t>
              <w:tab/>
              <w:tab/>
              <w:tab/>
              <w:t>&lt;span style="font-size: medium;"&gt;</w:t>
              <w:tab/>
              <w:t>&lt;span style="font-size: medium;"&gt;</w:t>
              <w:tab/>
              <w:tab/>
              <w:tab/>
              <w:t>&lt;em&gt;Art. 389 - Não cumprida a obrigação, responde o devedor por perdas e danos, mais juros, atualização monetária e honorários de advogado.&lt;/em&gt;</w:t>
            </w:r>
          </w:p>
          <w:p>
            <w:pPr>
              <w:pStyle w:val="TableParagraph"/>
              <w:tabs>
                <w:tab w:pos="1207" w:val="left" w:leader="none"/>
                <w:tab w:pos="1939" w:val="left" w:leader="none"/>
                <w:tab w:pos="2263" w:val="left" w:leader="none"/>
                <w:tab w:pos="3208" w:val="left" w:leader="none"/>
                <w:tab w:pos="5055" w:val="left" w:leader="none"/>
              </w:tabs>
              <w:spacing w:line="208" w:lineRule="auto" w:before="0"/>
              <w:ind w:right="20"/>
              <w:rPr>
                <w:sz w:val="20"/>
              </w:rPr>
            </w:pPr>
            <w:r>
              <w:rPr>
                <w:sz w:val="20"/>
              </w:rPr>
              <w:t>&lt;/span&gt;</w:t>
              <w:tab/>
              <w:t>&lt;/span&gt;</w:t>
              <w:tab/>
              <w:tab/>
              <w:t>&lt;/span&gt;</w:t>
              <w:tab/>
              <w:t>&lt;/span&gt; &lt;/span&gt;&lt;/p&gt;&lt;p style="line-height: 2.16; margin-left: 113pt; text-indent: 57pt; text-align: justify; margin-top: 8pt; margin-bottom: 8pt;"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3622" w:val="left" w:leader="none"/>
              </w:tabs>
              <w:spacing w:line="190" w:lineRule="exact" w:before="0"/>
              <w:rPr>
                <w:sz w:val="20"/>
              </w:rPr>
            </w:pPr>
            <w:r>
              <w:rPr>
                <w:sz w:val="20"/>
              </w:rPr>
              <w:t>&lt;span style="font-size: medium;"&gt;</w:t>
              <w:tab/>
              <w:t>&lt;span style="font-size: medium;"&gt;</w:t>
            </w:r>
          </w:p>
          <w:p>
            <w:pPr>
              <w:pStyle w:val="TableParagraph"/>
              <w:tabs>
                <w:tab w:pos="1373" w:val="left" w:leader="none"/>
                <w:tab w:pos="1661" w:val="left" w:leader="none"/>
                <w:tab w:pos="1905" w:val="left" w:leader="none"/>
                <w:tab w:pos="2541" w:val="left" w:leader="none"/>
                <w:tab w:pos="3329" w:val="left" w:leader="none"/>
                <w:tab w:pos="3597" w:val="left" w:leader="none"/>
                <w:tab w:pos="4542" w:val="left" w:leader="none"/>
                <w:tab w:pos="4786" w:val="left" w:leader="none"/>
                <w:tab w:pos="5488" w:val="left" w:leader="none"/>
                <w:tab w:pos="5843" w:val="left" w:leader="none"/>
                <w:tab w:pos="6444" w:val="left" w:leader="none"/>
                <w:tab w:pos="6788" w:val="left" w:leader="none"/>
              </w:tabs>
              <w:spacing w:line="208" w:lineRule="auto" w:before="6"/>
              <w:ind w:right="64"/>
              <w:rPr>
                <w:sz w:val="20"/>
              </w:rPr>
            </w:pPr>
            <w:r>
              <w:rPr>
                <w:sz w:val="20"/>
              </w:rPr>
              <w:t>&lt;em&gt;Parágrafo único. Na hipótese de o índice de atualização monetária não ter sido convencionado ou não estar previsto em lei específica, será aplicada a variação do Índice Nacional de Preços ao Consumidor Amplo (IPCA), apurado e divulgado pela Fundação Instituto Brasileiro de Geografia e Estatística (IBGE), ou do índice que vier a substituí- lo.&lt;/em&gt;</w:t>
              <w:tab/>
              <w:t>&lt;/span&gt;</w:t>
              <w:tab/>
              <w:t>&lt;/span&gt;</w:t>
              <w:tab/>
              <w:tab/>
              <w:t>&lt;/span&gt;</w:t>
              <w:tab/>
              <w:t>&lt;/span&gt; &lt;/span&gt;&lt;/p&gt;&lt;p style="line- height: 2.16; margin-left: 113pt; text-indent: 57pt; text-align: justify; margin-top: 8pt; </w:t>
            </w:r>
            <w:r>
              <w:rPr>
                <w:spacing w:val="-3"/>
                <w:sz w:val="20"/>
              </w:rPr>
              <w:t>margin- </w:t>
            </w:r>
            <w:r>
              <w:rPr>
                <w:sz w:val="20"/>
              </w:rPr>
              <w:t>bottom: 8pt;" dir="ltr"&gt; &lt;span style="color: #000000; background-color: transparent; font- weight: 400; font-style: normal; font-variant: normal; text-decoration: none; vertical-align: baseline; white-space: pre-wrap;"&gt;</w:t>
              <w:tab/>
              <w:t>&lt;span style="font-size: small;"&gt;</w:t>
              <w:tab/>
              <w:t>&lt;span style="font- size: medium;"&gt;</w:t>
              <w:tab/>
              <w:tab/>
              <w:t>&lt;span style="font-size: medium;"&gt;</w:t>
              <w:tab/>
              <w:t>&lt;span style="font-size: medium;"&gt;</w:t>
              <w:tab/>
              <w:tab/>
              <w:t>&lt;em&gt;Art. 406 - Quando não forem convencionados, ou quando o forem sem taxa estipulada, ou quando provierem de determinação da lei, os juros serão fixados de acordo com a taxa legal.&lt;/em&gt;</w:t>
              <w:tab/>
              <w:tab/>
              <w:t>&lt;/span&gt;</w:t>
              <w:tab/>
              <w:tab/>
              <w:t>&lt;/span&gt;</w:t>
              <w:tab/>
              <w:t>&lt;/span&gt;</w:t>
              <w:tab/>
              <w:t>&lt;/span&gt;</w:t>
            </w:r>
          </w:p>
          <w:p>
            <w:pPr>
              <w:pStyle w:val="TableParagraph"/>
              <w:spacing w:line="208" w:lineRule="auto" w:before="0"/>
              <w:ind w:right="474"/>
              <w:rPr>
                <w:sz w:val="20"/>
              </w:rPr>
            </w:pPr>
            <w:r>
              <w:rPr>
                <w:sz w:val="20"/>
              </w:rPr>
              <w:t>&lt;/span&gt;&lt;/p&gt;&lt;p style="line-height: 2.16; margin-left: 113pt; text-indent: 57pt; text-align: justify; margin-top: 8pt; margin-bottom: 8pt;" dir="ltr"&gt; &lt;span style="color: #000000;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50" w:val="left" w:leader="none"/>
                <w:tab w:pos="2396" w:val="left" w:leader="none"/>
                <w:tab w:pos="2549" w:val="left" w:leader="none"/>
                <w:tab w:pos="3564" w:val="left" w:leader="none"/>
                <w:tab w:pos="4620" w:val="left" w:leader="none"/>
                <w:tab w:pos="5243" w:val="left" w:leader="none"/>
                <w:tab w:pos="5565" w:val="left" w:leader="none"/>
                <w:tab w:pos="6020" w:val="left" w:leader="none"/>
                <w:tab w:pos="6553" w:val="left" w:leader="none"/>
              </w:tabs>
              <w:spacing w:line="208" w:lineRule="auto" w:before="26"/>
              <w:ind w:right="97"/>
              <w:rPr>
                <w:sz w:val="20"/>
              </w:rPr>
            </w:pPr>
            <w:r>
              <w:rPr>
                <w:sz w:val="20"/>
              </w:rPr>
              <w:t>background-color: transparent; font-weight: 400; font-style: normal; font-variant: normal; text-decoration: none; vertical-align: baseline; white-space: pre-wrap;"&gt;</w:t>
              <w:tab/>
              <w:t>&lt;span style="font-size: small;"&gt;</w:t>
              <w:tab/>
              <w:tab/>
              <w:t>&lt;span style="font-size: medium;"&gt;</w:t>
              <w:tab/>
              <w:t>&lt;span style="font-size: medium;"&gt;</w:t>
              <w:tab/>
              <w:t>&lt;span style="font-size: medium;"&gt;</w:t>
              <w:tab/>
              <w:tab/>
              <w:t>&lt;em&gt;§ 1º - A taxa legal corresponderá à taxa referencial do Sistema Especial de Liquidação e de Custódia </w:t>
            </w:r>
            <w:r>
              <w:rPr>
                <w:spacing w:val="-3"/>
                <w:sz w:val="20"/>
              </w:rPr>
              <w:t>(Selic), </w:t>
            </w:r>
            <w:r>
              <w:rPr>
                <w:sz w:val="20"/>
              </w:rPr>
              <w:t>deduzido o índice de atualização monetária de que trata o parágrafo único do art. 389 deste Código.&lt;/em&gt;</w:t>
              <w:tab/>
              <w:t>&lt;/span&gt;</w:t>
              <w:tab/>
              <w:t>&lt;/span&gt;</w:t>
              <w:tab/>
              <w:t>&lt;/span&gt;</w:t>
              <w:tab/>
              <w:t>&lt;/span&gt; &lt;/span&gt;&lt;/p&gt;&lt;p style="line-height: 2.16; margin-left: 113pt; text-indent: 57pt; text-align: justify; margin-top: 8pt; margin-bottom: 8pt;" dir="ltr"&gt; &lt;span style="color: #000000; background-color:</w:t>
            </w:r>
          </w:p>
          <w:p>
            <w:pPr>
              <w:pStyle w:val="TableParagraph"/>
              <w:tabs>
                <w:tab w:pos="4562" w:val="left" w:leader="none"/>
              </w:tabs>
              <w:spacing w:line="208" w:lineRule="auto" w:before="0"/>
              <w:ind w:right="42"/>
              <w:rPr>
                <w:sz w:val="20"/>
              </w:rPr>
            </w:pPr>
            <w:r>
              <w:rPr>
                <w:sz w:val="20"/>
              </w:rPr>
              <w:t>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127" w:val="left" w:leader="none"/>
                <w:tab w:pos="3511" w:val="left" w:leader="none"/>
                <w:tab w:pos="3752" w:val="left" w:leader="none"/>
                <w:tab w:pos="4920" w:val="left" w:leader="none"/>
                <w:tab w:pos="5976" w:val="left" w:leader="none"/>
                <w:tab w:pos="6921" w:val="left" w:leader="none"/>
                <w:tab w:pos="7093" w:val="left" w:leader="none"/>
              </w:tabs>
              <w:spacing w:line="208" w:lineRule="auto" w:before="0"/>
              <w:ind w:right="341"/>
              <w:rPr>
                <w:sz w:val="20"/>
              </w:rPr>
            </w:pPr>
            <w:r>
              <w:rPr>
                <w:sz w:val="20"/>
              </w:rPr>
              <w:t>&lt;span style="font-size: medium;"&gt;</w:t>
              <w:tab/>
              <w:tab/>
              <w:t>&lt;span style="font-size: medium;"&gt;</w:t>
              <w:tab/>
              <w:tab/>
              <w:t>&lt;span style="font-size: medium;"&gt;</w:t>
              <w:tab/>
              <w:t>&lt;em&gt;§ 2º - A metodologia de cálculo da taxa legal e sua forma de aplicação serão definidas pelo Conselho Monetário Nacional e divulgadas pelo Banco Central do Brasil.&lt;/em&gt;</w:t>
              <w:tab/>
              <w:tab/>
              <w:t>&lt;/span&gt;</w:t>
              <w:tab/>
              <w:t>&lt;/span&gt;</w:t>
              <w:tab/>
              <w:t>&lt;/span&gt;</w:t>
              <w:tab/>
              <w:t>&lt;/span&gt;</w:t>
            </w:r>
          </w:p>
          <w:p>
            <w:pPr>
              <w:pStyle w:val="TableParagraph"/>
              <w:tabs>
                <w:tab w:pos="1550" w:val="left" w:leader="none"/>
                <w:tab w:pos="2549" w:val="left" w:leader="none"/>
                <w:tab w:pos="4264" w:val="left" w:leader="none"/>
                <w:tab w:pos="5243" w:val="left" w:leader="none"/>
                <w:tab w:pos="5431" w:val="left" w:leader="none"/>
                <w:tab w:pos="6020" w:val="left" w:leader="none"/>
                <w:tab w:pos="6488" w:val="left" w:leader="none"/>
                <w:tab w:pos="6553" w:val="left" w:leader="none"/>
              </w:tabs>
              <w:spacing w:line="208" w:lineRule="auto" w:before="0"/>
              <w:ind w:right="108"/>
              <w:rPr>
                <w:sz w:val="20"/>
              </w:rPr>
            </w:pPr>
            <w:r>
              <w:rPr>
                <w:sz w:val="20"/>
              </w:rPr>
              <w:t>&lt;/span&gt;&lt;/p&gt;&lt;p style="line-height: 2.16; margin-left: 113pt; text-indent: 57pt; text-align: justify; margin-top: 8pt; margin-bottom: 8pt;" dir="ltr"&gt; &lt;span style="color: #000000; background-color: transparent; font-weight: 400; font-style: normal; font-variant: normal; text-decoration: none; vertical-align: baseline; white-space: pre-wrap;"&gt;</w:t>
              <w:tab/>
              <w:tab/>
              <w:t>&lt;span style="font-size: small;"&gt;</w:t>
              <w:tab/>
              <w:t>&lt;span style="font-size: medium;"&gt;</w:t>
              <w:tab/>
              <w:t>&lt;span style="font-size: medium;"&gt;</w:t>
              <w:tab/>
              <w:t>&lt;span style="font-size: medium;"&gt;</w:t>
              <w:tab/>
              <w:t>&lt;em&gt;§ 3º - Caso a taxa legal apresente resultado negativo, este será considerado igual a 0 (zero) para efeito de </w:t>
            </w:r>
            <w:r>
              <w:rPr>
                <w:spacing w:val="-3"/>
                <w:sz w:val="20"/>
              </w:rPr>
              <w:t>cálculo </w:t>
            </w:r>
            <w:r>
              <w:rPr>
                <w:sz w:val="20"/>
              </w:rPr>
              <w:t>dos juros no período de referência.&lt;/em&gt;</w:t>
              <w:tab/>
              <w:t>&lt;/span&gt;</w:t>
              <w:tab/>
              <w:tab/>
              <w:t>&lt;/span&gt;</w:t>
              <w:tab/>
              <w:t>&lt;/span&gt;</w:t>
            </w:r>
          </w:p>
          <w:p>
            <w:pPr>
              <w:pStyle w:val="TableParagraph"/>
              <w:tabs>
                <w:tab w:pos="939" w:val="left" w:leader="none"/>
                <w:tab w:pos="3016" w:val="left" w:leader="none"/>
                <w:tab w:pos="4054" w:val="left" w:leader="none"/>
                <w:tab w:pos="4509" w:val="left" w:leader="none"/>
                <w:tab w:pos="5565" w:val="left" w:leader="none"/>
                <w:tab w:pos="6510" w:val="left" w:leader="none"/>
                <w:tab w:pos="7525" w:val="left" w:leader="none"/>
              </w:tabs>
              <w:spacing w:line="208" w:lineRule="auto" w:before="0"/>
              <w:ind w:right="76"/>
              <w:rPr>
                <w:sz w:val="20"/>
              </w:rPr>
            </w:pPr>
            <w:r>
              <w:rPr>
                <w:sz w:val="20"/>
              </w:rPr>
              <w:t>&lt;/span&gt; &lt;/span&gt;&lt;/p&gt;&lt;p style="line-height: 2.16; text-indent: 57pt; text-align: justify; margin-top: 8pt; margin-bottom: 8pt;" dir="ltr"&gt;&amp;#160;&lt;/p&gt;&lt;p style="line-height: 2.16; text- indent: 57pt; text-align: justify; margin-top: 8pt; margin-bottom: 8pt;" dir="ltr"&gt; &lt;span style="color: #000000; background-color: transparent; font-weight: 400; font-style: normal;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medium;"&gt;Sendo matéria de ordem pública e de natureza processual ( CPC, artigo 322, § 1º), deve ser observado o regime da lei anterior até o início da vigência da nova lei, passando a ser aplicado, a partir daí, o novo regime, em conformidade com o que estabelece o artigo 6º da Lei de Introdução às Normas do Direito Brasileiro, entendimento esse que também é agasalhado pelo C. Supremo Tribunal Federal, segundo princípio tempus regit actum (Tema 810, RE 870.947; Tema 1170, RE 1.317.982).&lt;/span&gt;</w:t>
              <w:tab/>
              <w:t>&lt;/span&gt;</w:t>
              <w:tab/>
              <w:t>&lt;/span&gt;</w:t>
              <w:tab/>
              <w:t>&lt;/span&gt;</w:t>
            </w:r>
          </w:p>
          <w:p>
            <w:pPr>
              <w:pStyle w:val="TableParagraph"/>
              <w:tabs>
                <w:tab w:pos="4562" w:val="left" w:leader="none"/>
              </w:tabs>
              <w:spacing w:line="208" w:lineRule="auto" w:before="0"/>
              <w:ind w:right="42"/>
              <w:rPr>
                <w:sz w:val="20"/>
              </w:rPr>
            </w:pPr>
            <w:r>
              <w:rPr>
                <w:sz w:val="20"/>
              </w:rPr>
              <w:t>&lt;/span&gt;&lt;/p&gt;&lt;p style="line-height: 2.16;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5564" w:val="left" w:leader="none"/>
                <w:tab w:pos="6621" w:val="left" w:leader="none"/>
                <w:tab w:pos="7093" w:val="left" w:leader="none"/>
              </w:tabs>
              <w:spacing w:line="208" w:lineRule="auto" w:before="0"/>
              <w:ind w:right="300"/>
              <w:rPr>
                <w:sz w:val="20"/>
              </w:rPr>
            </w:pPr>
            <w:r>
              <w:rPr>
                <w:sz w:val="20"/>
              </w:rPr>
              <w:t>&lt;span style="font-size: medium;"&gt;</w:t>
              <w:tab/>
              <w:t>&lt;span style="font-size: medium;"&gt;</w:t>
              <w:tab/>
              <w:tab/>
              <w:t>&lt;span style="font-size: medium;"&gt;Desse modo, tratando-se de relação extracontratual, sobre </w:t>
            </w:r>
            <w:r>
              <w:rPr>
                <w:spacing w:val="-18"/>
                <w:sz w:val="20"/>
              </w:rPr>
              <w:t>o </w:t>
            </w:r>
            <w:r>
              <w:rPr>
                <w:sz w:val="20"/>
              </w:rPr>
              <w:t>montante a ser restituído (dano material) incidirá:&lt;/span&gt;</w:t>
              <w:tab/>
              <w:t>&lt;/span&gt;</w:t>
              <w:tab/>
              <w:t>&lt;/span&gt;</w:t>
            </w:r>
          </w:p>
          <w:p>
            <w:pPr>
              <w:pStyle w:val="TableParagraph"/>
              <w:tabs>
                <w:tab w:pos="939" w:val="left" w:leader="none"/>
                <w:tab w:pos="3016" w:val="left" w:leader="none"/>
                <w:tab w:pos="4054" w:val="left" w:leader="none"/>
                <w:tab w:pos="6709" w:val="left" w:leader="none"/>
                <w:tab w:pos="7525" w:val="left" w:leader="none"/>
              </w:tabs>
              <w:spacing w:line="208" w:lineRule="auto" w:before="0"/>
              <w:ind w:right="69"/>
              <w:rPr>
                <w:sz w:val="20"/>
              </w:rPr>
            </w:pPr>
            <w:r>
              <w:rPr>
                <w:sz w:val="20"/>
              </w:rPr>
              <w:t>&lt;/span&gt; &lt;/span&gt;&lt;/p&gt;&lt;p style="line-height: 2.16; margin-left: 113.38582677165351pt; </w:t>
            </w:r>
            <w:r>
              <w:rPr>
                <w:spacing w:val="-4"/>
                <w:sz w:val="20"/>
              </w:rPr>
              <w:t>text- </w:t>
            </w:r>
            <w:r>
              <w:rPr>
                <w:sz w:val="20"/>
              </w:rPr>
              <w:t>indent: 57pt; text-align: justify; margin-top: 8pt; margin-bottom: 8pt;" dir="ltr"&gt; &lt;span style="color: #000000; background-color: transparent; font-weight: 400; font-style: normal; font-variant: normal; text-decoration: none; vertical-align: baseline; white-space: pre- wrap;"&gt;</w:t>
              <w:tab/>
              <w:t>&lt;span style="font-size: small;"&gt;</w:t>
              <w:tab/>
              <w:t>&lt;span style="font-size: medium;"&gt;</w:t>
              <w:tab/>
              <w:t>&lt;span style="font-size: medium;"&gt;</w:t>
              <w:tab/>
              <w:t>&lt;span style="font-size: medium;"&gt;</w:t>
              <w:tab/>
              <w:t>&lt;em&gt;a) correção monetária, e, por inexistir previsão legal específica, será aplicada a variação do IPCA/IBGE ou índice substituto ( Código Civil, artigo 389, parágrafo único) e;&lt;/em&gt;</w:t>
            </w:r>
          </w:p>
          <w:p>
            <w:pPr>
              <w:pStyle w:val="TableParagraph"/>
              <w:tabs>
                <w:tab w:pos="1207" w:val="left" w:leader="none"/>
                <w:tab w:pos="2263" w:val="left" w:leader="none"/>
                <w:tab w:pos="3208" w:val="left" w:leader="none"/>
                <w:tab w:pos="4562" w:val="left" w:leader="none"/>
              </w:tabs>
              <w:spacing w:line="208" w:lineRule="auto" w:before="0"/>
              <w:ind w:right="42"/>
              <w:rPr>
                <w:sz w:val="20"/>
              </w:rPr>
            </w:pPr>
            <w:r>
              <w:rPr>
                <w:sz w:val="20"/>
              </w:rPr>
              <w:t>&lt;/span&gt;</w:t>
              <w:tab/>
              <w:t>&lt;/span&gt;</w:t>
              <w:tab/>
              <w:t>&lt;/span&gt;</w:t>
              <w:tab/>
              <w:t>&lt;/span&gt; &lt;/span&gt;&lt;/p&gt;&lt;p style="line-height: 2.16; margin-left: 113.38582677165351pt;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127" w:val="left" w:leader="none"/>
                <w:tab w:pos="3511" w:val="left" w:leader="none"/>
                <w:tab w:pos="7093" w:val="left" w:leader="none"/>
              </w:tabs>
              <w:spacing w:line="208" w:lineRule="auto" w:before="0"/>
              <w:ind w:right="101"/>
              <w:rPr>
                <w:sz w:val="20"/>
              </w:rPr>
            </w:pPr>
            <w:r>
              <w:rPr>
                <w:sz w:val="20"/>
              </w:rPr>
              <w:t>&lt;span style="font-size: medium;"&gt;</w:t>
              <w:tab/>
              <w:tab/>
              <w:t>&lt;span style="font-size: medium;"&gt;</w:t>
              <w:tab/>
              <w:t>&lt;span style="font-size: medium;"&gt;</w:t>
              <w:tab/>
              <w:t>&lt;em&gt;b) juros moratórios de 1% (um por cento) ao </w:t>
            </w:r>
            <w:r>
              <w:rPr>
                <w:spacing w:val="-5"/>
                <w:sz w:val="20"/>
              </w:rPr>
              <w:t>mês, </w:t>
            </w:r>
            <w:r>
              <w:rPr>
                <w:sz w:val="20"/>
              </w:rPr>
              <w:t>desde cada desconto indevido (evento danoso/efetivo prejuízo), até a entrada em vigor </w:t>
            </w:r>
            <w:r>
              <w:rPr>
                <w:spacing w:val="-6"/>
                <w:sz w:val="20"/>
              </w:rPr>
              <w:t>da </w:t>
            </w:r>
            <w:r>
              <w:rPr>
                <w:sz w:val="20"/>
              </w:rPr>
              <w:t>Lei n.º 14.905/2024, quando, a partir de então, incidirá a Taxa Selic, observada a regra do</w:t>
            </w:r>
          </w:p>
          <w:p>
            <w:pPr>
              <w:pStyle w:val="TableParagraph"/>
              <w:tabs>
                <w:tab w:pos="3981" w:val="left" w:leader="none"/>
                <w:tab w:pos="5149" w:val="left" w:leader="none"/>
                <w:tab w:pos="6205" w:val="left" w:leader="none"/>
                <w:tab w:pos="7150" w:val="left" w:leader="none"/>
              </w:tabs>
              <w:spacing w:line="190" w:lineRule="exact" w:before="0"/>
              <w:rPr>
                <w:sz w:val="20"/>
              </w:rPr>
            </w:pPr>
            <w:r>
              <w:rPr>
                <w:sz w:val="20"/>
              </w:rPr>
              <w:t>§ 1º do art. 406 do Código Civil.&lt;/em&gt;</w:t>
              <w:tab/>
              <w:t>&lt;/span&gt;</w:t>
              <w:tab/>
              <w:t>&lt;/span&gt;</w:t>
              <w:tab/>
              <w:t>&lt;/span&gt;</w:t>
              <w:tab/>
              <w:t>&lt;/span&gt;</w:t>
            </w:r>
          </w:p>
          <w:p>
            <w:pPr>
              <w:pStyle w:val="TableParagraph"/>
              <w:tabs>
                <w:tab w:pos="1550" w:val="left" w:leader="none"/>
                <w:tab w:pos="1762" w:val="left" w:leader="none"/>
                <w:tab w:pos="2549" w:val="left" w:leader="none"/>
                <w:tab w:pos="2819" w:val="left" w:leader="none"/>
                <w:tab w:pos="3764" w:val="left" w:leader="none"/>
                <w:tab w:pos="6020" w:val="left" w:leader="none"/>
                <w:tab w:pos="6553" w:val="left" w:leader="none"/>
              </w:tabs>
              <w:spacing w:line="208" w:lineRule="auto" w:before="5"/>
              <w:ind w:right="69"/>
              <w:rPr>
                <w:sz w:val="20"/>
              </w:rPr>
            </w:pPr>
            <w:r>
              <w:rPr>
                <w:sz w:val="20"/>
              </w:rPr>
              <w:t>&lt;/span&gt;&lt;/p&gt;&lt;p style="line-height: 2.16; text-indent: 57pt; text-align: justify; margin-top: 8pt; margin-bottom: 8pt;" dir="ltr"&gt;&amp;#160;&lt;/p&gt;&lt;p style="line-height: 2.16; text-indent: 57pt; text- 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 style="font-size: medium;"&gt;</w:t>
              <w:tab/>
              <w:t>&lt;span style="font-size: medium;"&gt;Já no tocante à indenização pelo dano moral:&lt;/span&gt;</w:t>
              <w:tab/>
              <w:tab/>
              <w:t>&lt;/span&gt;</w:t>
              <w:tab/>
              <w:tab/>
              <w:t>&lt;/span&gt;</w:t>
              <w:tab/>
              <w:t>&lt;/span&gt; &lt;/span&gt;&lt;/p&gt;&lt;p style="line-height: </w:t>
            </w:r>
            <w:r>
              <w:rPr>
                <w:spacing w:val="-4"/>
                <w:sz w:val="20"/>
              </w:rPr>
              <w:t>2.16; </w:t>
            </w:r>
            <w:r>
              <w:rPr>
                <w:sz w:val="20"/>
              </w:rPr>
              <w:t>margin-left: 113pt; text-indent: 57pt; text-align: justify; margin-top: 8pt; margin-bottom: 8pt;"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 w:pos="5055" w:val="left" w:leader="none"/>
              </w:tabs>
              <w:spacing w:line="208" w:lineRule="auto" w:before="26"/>
              <w:ind w:right="20"/>
              <w:rPr>
                <w:sz w:val="20"/>
              </w:rPr>
            </w:pPr>
            <w:r>
              <w:rPr>
                <w:sz w:val="20"/>
              </w:rPr>
              <w:t>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3622" w:val="left" w:leader="none"/>
                <w:tab w:pos="3897" w:val="left" w:leader="none"/>
                <w:tab w:pos="5065" w:val="left" w:leader="none"/>
                <w:tab w:pos="6121" w:val="left" w:leader="none"/>
                <w:tab w:pos="7066" w:val="left" w:leader="none"/>
                <w:tab w:pos="7315" w:val="left" w:leader="none"/>
              </w:tabs>
              <w:spacing w:line="208" w:lineRule="auto" w:before="0"/>
              <w:ind w:right="147"/>
              <w:rPr>
                <w:sz w:val="20"/>
              </w:rPr>
            </w:pPr>
            <w:r>
              <w:rPr>
                <w:sz w:val="20"/>
              </w:rPr>
              <w:t>&lt;span style="font-size: medium;"&gt;</w:t>
              <w:tab/>
              <w:t>&lt;span style="font-size: medium;"&gt;</w:t>
              <w:tab/>
              <w:tab/>
            </w:r>
            <w:r>
              <w:rPr>
                <w:spacing w:val="-3"/>
                <w:sz w:val="20"/>
              </w:rPr>
              <w:t>&lt;em&gt;a) </w:t>
            </w:r>
            <w:r>
              <w:rPr>
                <w:sz w:val="20"/>
              </w:rPr>
              <w:t>a correção monetária deve incidir desde o arbitramento e, por inexistir previsão legal específica, será aplicada a variação do IPCA/IBGE ou índice substituto ( Código Civil, artigo 389, parágrafo único), e;&lt;/em&gt;</w:t>
              <w:tab/>
              <w:tab/>
              <w:t>&lt;/span&gt;</w:t>
              <w:tab/>
              <w:t>&lt;/span&gt;</w:t>
              <w:tab/>
              <w:t>&lt;/span&gt;</w:t>
              <w:tab/>
              <w:t>&lt;/span&gt;</w:t>
            </w:r>
          </w:p>
          <w:p>
            <w:pPr>
              <w:pStyle w:val="TableParagraph"/>
              <w:tabs>
                <w:tab w:pos="2549" w:val="left" w:leader="none"/>
                <w:tab w:pos="6020" w:val="left" w:leader="none"/>
                <w:tab w:pos="6553" w:val="left" w:leader="none"/>
              </w:tabs>
              <w:spacing w:line="208" w:lineRule="auto" w:before="0"/>
              <w:ind w:right="115"/>
              <w:rPr>
                <w:sz w:val="20"/>
              </w:rPr>
            </w:pPr>
            <w:r>
              <w:rPr>
                <w:sz w:val="20"/>
              </w:rPr>
              <w:t>&lt;/span&gt;&lt;/p&gt;&lt;p style="line-height: 2.16; margin-left: 113pt; text-indent: 57pt; text-align: justify; margin-top: 8pt; margin-bottom: 8pt;" dir="ltr"&gt; &lt;span style="color: #000000; background-color: transparent; font-weight: 400; font-style: normal; font-variant: normal; text-decoration: none; vertical-align: baseline; white-space: pre-wrap;"&gt;</w:t>
              <w:tab/>
              <w:t>&lt;span style="font-size: small;"&gt;</w:t>
              <w:tab/>
              <w:t>&lt;span style="font-size: medium;"&gt;</w:t>
              <w:tab/>
              <w:t>&lt;span</w:t>
            </w:r>
            <w:r>
              <w:rPr>
                <w:spacing w:val="-13"/>
                <w:sz w:val="20"/>
              </w:rPr>
              <w:t> </w:t>
            </w:r>
            <w:r>
              <w:rPr>
                <w:sz w:val="20"/>
              </w:rPr>
              <w:t>style="font-size:</w:t>
            </w:r>
          </w:p>
          <w:p>
            <w:pPr>
              <w:pStyle w:val="TableParagraph"/>
              <w:tabs>
                <w:tab w:pos="1550" w:val="left" w:leader="none"/>
                <w:tab w:pos="5243" w:val="left" w:leader="none"/>
              </w:tabs>
              <w:spacing w:line="208" w:lineRule="auto" w:before="0"/>
              <w:ind w:right="52"/>
              <w:jc w:val="both"/>
              <w:rPr>
                <w:sz w:val="20"/>
              </w:rPr>
            </w:pPr>
            <w:r>
              <w:rPr>
                <w:sz w:val="20"/>
              </w:rPr>
              <w:t>medium;"&gt;</w:t>
              <w:tab/>
              <w:t>&lt;span style="font-size: medium;"&gt;</w:t>
              <w:tab/>
              <w:t>&lt;em&gt;b) os juros de mora de </w:t>
            </w:r>
            <w:r>
              <w:rPr>
                <w:spacing w:val="-9"/>
                <w:sz w:val="20"/>
              </w:rPr>
              <w:t>1% </w:t>
            </w:r>
            <w:r>
              <w:rPr>
                <w:sz w:val="20"/>
              </w:rPr>
              <w:t>(um por cento) ao mês devem incidir desde o primeiro desconto indevido (evento danoso), até a entrada em vigor da Lei n.º 14.905/2024, quando, então, incidirá a Taxa Selic (art.</w:t>
            </w:r>
          </w:p>
          <w:p>
            <w:pPr>
              <w:pStyle w:val="TableParagraph"/>
              <w:tabs>
                <w:tab w:pos="3092" w:val="left" w:leader="none"/>
              </w:tabs>
              <w:spacing w:line="190" w:lineRule="exact" w:before="0"/>
              <w:jc w:val="both"/>
              <w:rPr>
                <w:sz w:val="20"/>
              </w:rPr>
            </w:pPr>
            <w:r>
              <w:rPr>
                <w:sz w:val="20"/>
              </w:rPr>
              <w:t>406, § 1º, do CC/02) .&lt;/em&gt;</w:t>
              <w:tab/>
              <w:t>&lt;/span&gt; &lt;/span&gt; &lt;/span&gt; &lt;/span&gt;</w:t>
            </w:r>
          </w:p>
          <w:p>
            <w:pPr>
              <w:pStyle w:val="TableParagraph"/>
              <w:tabs>
                <w:tab w:pos="4562" w:val="left" w:leader="none"/>
              </w:tabs>
              <w:spacing w:line="208" w:lineRule="auto" w:before="9"/>
              <w:ind w:right="42"/>
              <w:rPr>
                <w:sz w:val="20"/>
              </w:rPr>
            </w:pPr>
            <w:r>
              <w:rPr>
                <w:sz w:val="20"/>
              </w:rPr>
              <w:t>&lt;/span&gt;&lt;/p&gt;&lt;p style="line-height: 2.16; text-indent: 57pt; text-align: justify; margin-top: 8pt; margin-bottom: 8pt;"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511" w:val="left" w:leader="none"/>
                <w:tab w:pos="4906" w:val="left" w:leader="none"/>
                <w:tab w:pos="5962" w:val="left" w:leader="none"/>
                <w:tab w:pos="6907" w:val="left" w:leader="none"/>
                <w:tab w:pos="7093" w:val="left" w:leader="none"/>
              </w:tabs>
              <w:spacing w:line="208" w:lineRule="auto" w:before="0"/>
              <w:ind w:right="508"/>
              <w:rPr>
                <w:sz w:val="20"/>
              </w:rPr>
            </w:pPr>
            <w:r>
              <w:rPr>
                <w:sz w:val="20"/>
              </w:rPr>
              <w:t>&lt;span style="font-size: medium;"&gt;</w:t>
              <w:tab/>
              <w:t>&lt;span style="font-size: medium;"&gt;</w:t>
              <w:tab/>
              <w:tab/>
            </w:r>
            <w:r>
              <w:rPr>
                <w:spacing w:val="-4"/>
                <w:sz w:val="20"/>
              </w:rPr>
              <w:t>&lt;span </w:t>
            </w:r>
            <w:r>
              <w:rPr>
                <w:sz w:val="20"/>
              </w:rPr>
              <w:t>style="font-size: medium;"&gt;Neste sentido:&lt;/span&gt;</w:t>
              <w:tab/>
              <w:t>&lt;/span&gt;</w:t>
              <w:tab/>
              <w:t>&lt;/span&gt;</w:t>
              <w:tab/>
              <w:t>&lt;/span&gt;</w:t>
            </w:r>
          </w:p>
          <w:p>
            <w:pPr>
              <w:pStyle w:val="TableParagraph"/>
              <w:spacing w:line="208" w:lineRule="auto" w:before="0"/>
              <w:ind w:right="474"/>
              <w:rPr>
                <w:sz w:val="20"/>
              </w:rPr>
            </w:pPr>
            <w:r>
              <w:rPr>
                <w:sz w:val="20"/>
              </w:rPr>
              <w:t>&lt;/span&gt;&lt;/p&gt;&lt;p style="line-height: 2.16; margin-left: 113pt; text-indent: 57pt; text-align: justify; margin-top: 8pt; margin-bottom: 8pt;" dir="ltr"&gt;  &lt;span style="font-size: small;"&gt;</w:t>
            </w:r>
          </w:p>
          <w:p>
            <w:pPr>
              <w:pStyle w:val="TableParagraph"/>
              <w:tabs>
                <w:tab w:pos="2905" w:val="left" w:leader="none"/>
                <w:tab w:pos="3400" w:val="left" w:leader="none"/>
                <w:tab w:pos="6871" w:val="left" w:leader="none"/>
              </w:tabs>
              <w:spacing w:line="208" w:lineRule="auto" w:before="0"/>
              <w:ind w:right="42"/>
              <w:rPr>
                <w:sz w:val="20"/>
              </w:rPr>
            </w:pPr>
            <w:r>
              <w:rPr>
                <w:sz w:val="20"/>
              </w:rPr>
              <w:t>&lt;span style="font-size: medium;"&gt;</w:t>
              <w:tab/>
              <w:t>&lt;span style="font-size: medium;"&gt;</w:t>
              <w:tab/>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pre-wrap;"&gt;DIREITO PROCESSUAL CIVIL. EMBARGOS DE DECLARAÇÃO EM APELAÇÃO CÍVEL. AÇÃO DE INDENIZAÇÃO POR DANOS MATERIAIS E MORAIS. ALEGAÇÃO DE OMISSÃO QUANTO À FIXAÇÃO DOS JUROS DE MORA E DA CORREÇÃO MONETÁRIA NA CONDENAÇÃO POR DANO MORAL. ATUALIZAÇÃO LEGAL QUE PREVÊ CORREÇÃO MONETÁRIA PELO IPCA/IBGE E JUROS DE MORA PELA TAXA SELIC. ACOLHIMENTO. RECURSO</w:t>
            </w:r>
          </w:p>
          <w:p>
            <w:pPr>
              <w:pStyle w:val="TableParagraph"/>
              <w:tabs>
                <w:tab w:pos="2919" w:val="left" w:leader="none"/>
                <w:tab w:pos="5476" w:val="left" w:leader="none"/>
              </w:tabs>
              <w:spacing w:line="208" w:lineRule="auto" w:before="0"/>
              <w:ind w:right="19"/>
              <w:rPr>
                <w:sz w:val="20"/>
              </w:rPr>
            </w:pPr>
            <w:r>
              <w:rPr>
                <w:sz w:val="20"/>
              </w:rPr>
              <w:t>PROVIDO COM EFEITOS INFRINGENTES. I. Caso em exame: 1. Trata-se de Embargos de Declaração opostos em face de acórdão proferido pelo Colegiado da Terceira Câmara de Direito Privado, quando do julgamento de Apelação Cível que reformou parcialmente a sentença de improcedência da ação de indenização por danos materiais e morais prolatada pelo Juízo da 1ª Vara Cível da Comarca de FortalezaCE. II. Questão em discussão: 2. No caso dos autos, a parte embargante sustenta ser necessária a reforma </w:t>
            </w:r>
            <w:r>
              <w:rPr>
                <w:spacing w:val="-9"/>
                <w:sz w:val="20"/>
              </w:rPr>
              <w:t>do </w:t>
            </w:r>
            <w:r>
              <w:rPr>
                <w:sz w:val="20"/>
              </w:rPr>
              <w:t>acórdão por vício de omissão quanto à aplicação da Lei 14.905/2024, devendo os juros moratórios ser aplicados a partir do trânsito em julgado e de acordo com a taxa SELIC. III. Razões de decidir:&lt;/span&gt;</w:t>
              <w:tab/>
              <w:t>&lt;span style="color: #000000; background-color: transparent; font-weight: 700; font-style: normal; font-variant: normal; text-decoration: none; vertical-align: baseline; white-space: pre-wrap;"&gt;3. Os novos critérios para atualização monetária e juros moratórios de dívidas civis passaram a vigorar a partir de 31 de agosto de 2024, conforme o artigo 5º da Lei 14.905/24. Para sua aplicação, é fundamental considerar a norma vigente na data da constituição da mora, momento em que surgem os juros e a correção, em observância ao princípio tempus regit actum. 4. No caso em tela, em relação à condenação por danos morais ocorrida em 02/10/2024, a correção monetária deverá ser feita pelo IPCA/IBGE (art. 389 do CC/2002) e os juros de mora pela Taxa Selic, subtraída do IPCA/IBGE (art. 406 do CC/2002).&lt;/span&gt;</w:t>
              <w:tab/>
              <w:t>&lt;span style="color: #000000; background-color: transparent; font-weight: 400; font-style: normal; font-variant: normal; text-decoration: none; vertical-align: baseline; white-space: pre-wrap;"&gt;IV. Dispositivo e tese: Recurso conhecido e provido. Com efeitos infringentes. Dispositivos relevantes citados: CPC, art. 406 art. 1.022; STJ, REsp nº 1.795.982, Súmulas 99, 112 e 362; Lei nº 14.905/2024. (Embargos de Declaração Cível - 0008012-37.2019.8.06.0117, Rel.</w:t>
            </w:r>
          </w:p>
          <w:p>
            <w:pPr>
              <w:pStyle w:val="TableParagraph"/>
              <w:spacing w:line="208" w:lineRule="auto" w:before="0"/>
              <w:ind w:right="77"/>
              <w:rPr>
                <w:sz w:val="20"/>
              </w:rPr>
            </w:pPr>
            <w:r>
              <w:rPr>
                <w:sz w:val="20"/>
              </w:rPr>
              <w:t>Desembargador FRANCISCO LUCÍDIO DE QUEIROZ JÚNIOR, 3ª Câmara Direito Privado, data do julgamento: 14/05/2025, data da publicação: 14/05/2025)&lt;/span&gt;&lt;/span&gt;</w:t>
            </w:r>
          </w:p>
          <w:p>
            <w:pPr>
              <w:pStyle w:val="TableParagraph"/>
              <w:tabs>
                <w:tab w:pos="985" w:val="left" w:leader="none"/>
                <w:tab w:pos="1439" w:val="left" w:leader="none"/>
                <w:tab w:pos="1794" w:val="left" w:leader="none"/>
                <w:tab w:pos="5266" w:val="left" w:leader="none"/>
                <w:tab w:pos="6169" w:val="left" w:leader="none"/>
              </w:tabs>
              <w:spacing w:line="208" w:lineRule="auto" w:before="0"/>
              <w:ind w:right="136"/>
              <w:rPr>
                <w:sz w:val="20"/>
              </w:rPr>
            </w:pPr>
            <w:r>
              <w:rPr>
                <w:sz w:val="20"/>
              </w:rPr>
              <w:t>&lt;/span&gt;</w:t>
              <w:tab/>
              <w:t>&lt;/span&gt; &lt;/span&gt;&lt;/p&gt;&lt;p style="line-height: 2.16; margin-left: 113pt; </w:t>
            </w:r>
            <w:r>
              <w:rPr>
                <w:spacing w:val="-2"/>
                <w:sz w:val="20"/>
              </w:rPr>
              <w:t>text-indent: </w:t>
            </w:r>
            <w:r>
              <w:rPr>
                <w:sz w:val="20"/>
              </w:rPr>
              <w:t>57pt; text-align: justify; margin-top: 8pt; margin-bottom: 8pt;" dir="ltr"&gt;&amp;#160;&lt;/p&gt;&lt;p style="line-height: 2.16; margin-left: 113pt; text-indent: 57pt; text-align: justify; margin-top: 8pt; margin-bottom: 8pt;" dir="ltr"&gt;  &lt;span style="font-size: small;"&gt;</w:t>
              <w:tab/>
              <w:t>&lt;span style="font- size: medium;"&gt;</w:t>
              <w:tab/>
              <w:t>&lt;span style="font-size: medium;"&gt;</w:t>
              <w:tab/>
              <w:t>&lt;span style="font-size: medium;"&gt;</w:t>
              <w:tab/>
              <w:t>&lt;span style="color: #000000; background-color: transparent; font-weight: 400; font-style: normal; font-variant: normal; text-decoration: none; vertical-align: baseline; white-space: pre-wrap;"&gt;EMBARGOS DE DECLARAÇÃO EM APELAÇÃO CÍVEL. CONDENAÇÃO POR DANOS MATERIAIS. OMISSÃO QUANTO AOS CONSECTÁRIOS LEGAIS. ACOLHIMENTO COM EFEITOS INTEGRATIVOS. FIXAÇÃO DO TERMO INICIAL DE JUROS E CORREÇÃO MONETÁRIA. APLICAÇÃO DO IPCA E DA TAXA SELIC CONFORME A LEI Nº 14.905/2024. RECURSO CONHECIDO E PROVIDO. 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026" w:val="left" w:leader="none"/>
                <w:tab w:pos="6754" w:val="left" w:leader="none"/>
              </w:tabs>
              <w:spacing w:line="208" w:lineRule="auto" w:before="26"/>
              <w:ind w:right="42"/>
              <w:rPr>
                <w:sz w:val="20"/>
              </w:rPr>
            </w:pPr>
            <w:r>
              <w:rPr>
                <w:sz w:val="20"/>
              </w:rPr>
              <w:t>CASO EM EXAME 1. Trata-se de embargos de declaração manejados por JOYCE NAYARA SOUSA DE OLIVEIRA objurgando acórdão proferido por esta 4ª Câmara de Direito Privado às fls. 203-231 nos autos nº 0011022- 33.2017.8.06.0126, que deu parcial provimento ao recurso de apelação interposto. II. QUESTÃO EM DISCUSSÃO 2. Cinge-se a controvérsia sobre a existência de omissão no acórdão quanto à definição dos índices e dos marcos temporais aplicáveis à incidência de juros de mora e correção monetária </w:t>
            </w:r>
            <w:r>
              <w:rPr>
                <w:spacing w:val="-4"/>
                <w:sz w:val="20"/>
              </w:rPr>
              <w:t>sobre </w:t>
            </w:r>
            <w:r>
              <w:rPr>
                <w:sz w:val="20"/>
              </w:rPr>
              <w:t>a condenação por danos materiais. III. RAZÕES DE DECIDIR&lt;/span&gt;</w:t>
              <w:tab/>
              <w:t>&lt;span style="color: #000000; background-color: transparent; font-weight: 700; font-style: normal; font-variant: normal; text-decoration: none; vertical-align: baseline; white-space: pre- wrap;"&gt;3. O acórdão reconheceu o dever de indenizar, mas omitiu-se quanto ao termo inicial da correção monetária e dos juros de mora, configurando vício passível de correção por embargos de declaração. 4. Nos termos das Súmulas 43 e 54 do STJ, a correção monetária e os juros de mora sobre danos materiais decorrentes de ato ilícito fluem desde o evento danoso. 5. A correção monetária deverá incidir com base no IPCA desde a data do sinistro, conforme o art. 389, parágrafo único, do CC, com redação dada pela Lei nº 14.905/2024. 6. Os juros moratórios deverão ser calculados à razão de 1% ao mês até 28.08.2024, aplicando-se, a partir de então, a taxa SELIC deduzido o IPCA do período, conforme art. 406, § 3º, do CC.&lt;/span&gt;</w:t>
              <w:tab/>
              <w:t>&lt;span style="color: #000000; background- color: transparent; font-weight: 400; font-style: normal; font-variant: normal; text-decoration: none; vertical-align: baseline; white-space: pre-wrap;"&gt;IV. DISPOSITIVO E TESE Recurso conhecido e provido. TESE DE JULGAMENTO: A ausência de fixação expressa dos consectários legais constitui omissão sanável por embargos de declaração. Em condenações por danos materiais decorrentes de ato ilícito, os juros de mora fluem desde o evento danoso e a correção monetária deve incidir desde o efetivo prejuízo, nos termos das Súmulas 54 e 43 do STJ, aplicando-se o IPCA e, a partir da vigência da Lei nº 14.905/2024, a sistemática prevista no art. 406, § 3º, do Código Civil. DISPOSITIVOS RELEVANTES CITADOS: CPC, art. 1.022; CC, arts. 389 e 406; Lei nº 14.905/2024.</w:t>
            </w:r>
          </w:p>
          <w:p>
            <w:pPr>
              <w:pStyle w:val="TableParagraph"/>
              <w:spacing w:line="188" w:lineRule="exact" w:before="0"/>
              <w:rPr>
                <w:sz w:val="20"/>
              </w:rPr>
            </w:pPr>
            <w:r>
              <w:rPr>
                <w:sz w:val="20"/>
              </w:rPr>
              <w:t>JURISPRUDÊNCIA RELEVANTE CITADA: STJ, Súmulas 43 e 54; TJCE, EDcl na ApC</w:t>
            </w:r>
          </w:p>
          <w:p>
            <w:pPr>
              <w:pStyle w:val="TableParagraph"/>
              <w:spacing w:line="208" w:lineRule="auto" w:before="10"/>
              <w:ind w:right="18"/>
              <w:rPr>
                <w:sz w:val="20"/>
              </w:rPr>
            </w:pPr>
            <w:r>
              <w:rPr>
                <w:sz w:val="20"/>
              </w:rPr>
              <w:t>0200874-08.2023.8.06.0113, Rel. Des. Francisco Jaime Medeiros Neto, j. 29.10.2024; TJCE, EDcl na ApC 0201872- 34.2023.8.06.0029, Rel. Des. Francisco Lucídio de Queiroz Júnior, j. 21.08.2024. (Embargos de Declaração Cível - 0234330-28.2022.8.06.0001, Rel. Desembargador(a) JOSE EVANDRO NOGUEIRA LIMA FILHO, 4ª Câmara Direito Privado, data do julgamento: 20/05/2025, data da publicação: 20/05/2025)&amp;#160;&lt;/span&gt;&lt;/span&gt;</w:t>
            </w:r>
          </w:p>
          <w:p>
            <w:pPr>
              <w:pStyle w:val="TableParagraph"/>
              <w:tabs>
                <w:tab w:pos="985" w:val="left" w:leader="none"/>
              </w:tabs>
              <w:spacing w:line="208" w:lineRule="auto" w:before="0"/>
              <w:ind w:right="382"/>
              <w:rPr>
                <w:sz w:val="20"/>
              </w:rPr>
            </w:pPr>
            <w:r>
              <w:rPr>
                <w:sz w:val="20"/>
              </w:rPr>
              <w:t>&lt;/span&gt;</w:t>
              <w:tab/>
              <w:t>&lt;/span&gt; &lt;/span&gt;&lt;/p&gt;&lt;p style="line-height: 2.16; text-indent: 57pt; text-align: justify; margin-top: 8pt; margin-bottom: 8pt;" dir="ltr"&gt;&amp;#160;&lt;/p&gt;&lt;p style="line-height: 2.16; text-indent: 57pt; text-align: justify; margin-top: 8pt; margin-bottom: 8pt;"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w:t>
            </w:r>
          </w:p>
          <w:p>
            <w:pPr>
              <w:pStyle w:val="TableParagraph"/>
              <w:tabs>
                <w:tab w:pos="3475" w:val="left" w:leader="none"/>
                <w:tab w:pos="3622" w:val="left" w:leader="none"/>
                <w:tab w:pos="4531" w:val="left" w:leader="none"/>
                <w:tab w:pos="4562" w:val="left" w:leader="none"/>
                <w:tab w:pos="5476" w:val="left" w:leader="none"/>
              </w:tabs>
              <w:spacing w:line="208" w:lineRule="auto" w:before="0"/>
              <w:ind w:right="42"/>
              <w:rPr>
                <w:sz w:val="20"/>
              </w:rPr>
            </w:pPr>
            <w:r>
              <w:rPr>
                <w:sz w:val="20"/>
              </w:rPr>
              <w:t>&lt;span style="font-size: medium;"&gt;</w:t>
              <w:tab/>
              <w:tab/>
              <w:t>&lt;span style="font-size: medium;"&gt;Por derradeiro, há que se ressaltar a possibilidade do requerido, em sede de cumprimento de sentença, demonstrar o pagamento/restituição, ainda que parcial, de eventuais valores, pleiteando a respectiva compensação.&lt;/span&gt;</w:t>
              <w:tab/>
              <w:t>&lt;/span&gt;</w:t>
              <w:tab/>
              <w:t>&lt;/span&gt;</w:t>
              <w:tab/>
              <w:t>&lt;/span&gt; &lt;/span&gt;&lt;/p&gt;&lt;p style="line-height: 1.7999999999999998;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ab/>
              <w:t>&lt;span style="font-size: small;"&gt;</w:t>
            </w:r>
          </w:p>
          <w:p>
            <w:pPr>
              <w:pStyle w:val="TableParagraph"/>
              <w:tabs>
                <w:tab w:pos="1863" w:val="left" w:leader="none"/>
                <w:tab w:pos="2919" w:val="left" w:leader="none"/>
                <w:tab w:pos="3511" w:val="left" w:leader="none"/>
                <w:tab w:pos="3864" w:val="left" w:leader="none"/>
                <w:tab w:pos="7093" w:val="left" w:leader="none"/>
              </w:tabs>
              <w:spacing w:line="208" w:lineRule="auto" w:before="0"/>
              <w:ind w:right="235"/>
              <w:rPr>
                <w:sz w:val="20"/>
              </w:rPr>
            </w:pPr>
            <w:r>
              <w:rPr>
                <w:sz w:val="20"/>
              </w:rPr>
              <w:t>&lt;span style="font-size: medium;"&gt;</w:t>
              <w:tab/>
              <w:t>&lt;span style="font-size: medium;"&gt;</w:t>
              <w:tab/>
              <w:t>&lt;span style="font-size: medium;"&gt;Dessa forma, verificado a inexistência de fundamentos </w:t>
            </w:r>
            <w:r>
              <w:rPr>
                <w:spacing w:val="-3"/>
                <w:sz w:val="20"/>
              </w:rPr>
              <w:t>fático- </w:t>
            </w:r>
            <w:r>
              <w:rPr>
                <w:sz w:val="20"/>
              </w:rPr>
              <w:t>jurídicos aptos a lastrear a reforma da decisão monocrática vergastada, mantendo integralmente a decisão agravada, cujo teor se encontra em consonância com o ordenamento jurídico e a jurisprudência desta Egrégia Corte e dos demais tribunais pátrios.&lt;/span&gt;</w:t>
              <w:tab/>
              <w:t>&lt;/span&gt;</w:t>
              <w:tab/>
              <w:t>&lt;/span&gt;</w:t>
              <w:tab/>
              <w:t>&lt;/span&gt; &lt;/span&gt;&lt;/p&gt;&lt;p style="line-height: 2.16; text-indent: 57pt; text-align: justify; margin-top: 8pt; margin-bottom: 8pt;" dir="ltr"&gt;</w:t>
            </w:r>
          </w:p>
          <w:p>
            <w:pPr>
              <w:pStyle w:val="TableParagraph"/>
              <w:tabs>
                <w:tab w:pos="1294" w:val="left" w:leader="none"/>
                <w:tab w:pos="4410"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small;"&gt;</w:t>
              <w:tab/>
              <w:t>&lt;span style="font-size: medium;"&gt;</w:t>
            </w:r>
          </w:p>
          <w:p>
            <w:pPr>
              <w:pStyle w:val="TableParagraph"/>
              <w:tabs>
                <w:tab w:pos="1439" w:val="left" w:leader="none"/>
                <w:tab w:pos="1794" w:val="left" w:leader="none"/>
                <w:tab w:pos="3495" w:val="left" w:leader="none"/>
                <w:tab w:pos="3622" w:val="left" w:leader="none"/>
                <w:tab w:pos="4551" w:val="left" w:leader="none"/>
                <w:tab w:pos="5266" w:val="left" w:leader="none"/>
                <w:tab w:pos="5496" w:val="left" w:leader="none"/>
                <w:tab w:pos="6169" w:val="left" w:leader="none"/>
              </w:tabs>
              <w:spacing w:line="208" w:lineRule="auto" w:before="0"/>
              <w:ind w:right="164"/>
              <w:rPr>
                <w:sz w:val="20"/>
              </w:rPr>
            </w:pPr>
            <w:r>
              <w:rPr>
                <w:sz w:val="20"/>
              </w:rPr>
              <w:t>&lt;span style="font-size: medium;"&gt;</w:t>
              <w:tab/>
              <w:tab/>
              <w:t>&lt;span style="font-size: medium;"&gt;DISPOSITIVO:&lt;/span&gt;</w:t>
              <w:tab/>
              <w:t>&lt;/span&gt;</w:t>
              <w:tab/>
              <w:t>&lt;/span&gt;</w:t>
              <w:tab/>
              <w:t>&lt;/span&gt; &lt;/span&gt;&lt;/p&gt;&lt;p style="line-height: 1.7999999999999998; text-indent: 57pt; text-align: justify; margin-top: 6pt; margin-bottom: 6pt;" dir="ltr"&gt;  &lt;span style="font-size: small;"&gt;</w:t>
              <w:tab/>
              <w:t>&lt;span style="font- size: medium;"&gt;</w:t>
              <w:tab/>
              <w:t>&lt;span style="font-size: medium;"&gt;</w:t>
              <w:tab/>
              <w:t>&lt;span style="font-size: medium;"&gt;</w:t>
              <w:tab/>
              <w:t>&lt;span style="color: #000000; background-color: transparent; font-weight: 400; font-style: normal; font-variant: normal; text-decoration: none; vertical-align: baseline; white-space: pre-wrap;"&gt;Diante do que acima foi exposto e fundamentado,&lt;/span&gt;</w:t>
            </w:r>
          </w:p>
          <w:p>
            <w:pPr>
              <w:pStyle w:val="TableParagraph"/>
              <w:tabs>
                <w:tab w:pos="5521" w:val="left" w:leader="none"/>
                <w:tab w:pos="6466"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pre-wrap;"&gt;conheço da Agravo Interno Cível para NEGAR-LHE provimento, mantendo integralmente a decisão agravada.&amp;#160;&lt;/span&gt;&lt;/span&gt;</w:t>
              <w:tab/>
              <w:t>&lt;/span&gt;</w:t>
              <w:tab/>
              <w:t>&lt;/span&gt;</w:t>
            </w:r>
          </w:p>
          <w:p>
            <w:pPr>
              <w:pStyle w:val="TableParagraph"/>
              <w:spacing w:line="205" w:lineRule="exact" w:before="0"/>
              <w:rPr>
                <w:sz w:val="20"/>
              </w:rPr>
            </w:pPr>
            <w:r>
              <w:rPr>
                <w:sz w:val="20"/>
              </w:rPr>
              <w:t>&lt;/span&gt;&lt;/p&gt;&lt;p style="line-height: 100%; orphans: 0; widows: 0; margin-bottom: 0.21cm;"</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0267313-12.2024.8.06.0001</w:t>
            </w:r>
          </w:p>
        </w:tc>
      </w:tr>
      <w:tr>
        <w:trPr>
          <w:trHeight w:val="6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464" w:val="left" w:leader="none"/>
              </w:tabs>
              <w:spacing w:line="215" w:lineRule="exact"/>
              <w:rPr>
                <w:sz w:val="20"/>
              </w:rPr>
            </w:pPr>
            <w:r>
              <w:rPr>
                <w:sz w:val="20"/>
              </w:rPr>
              <w:t>align="justify"&gt;  &lt;span style="font-size: small;"&gt;</w:t>
              <w:tab/>
              <w:t>&lt;span style="font-size: medium;"&gt;</w:t>
            </w:r>
          </w:p>
          <w:p>
            <w:pPr>
              <w:pStyle w:val="TableParagraph"/>
              <w:tabs>
                <w:tab w:pos="3511" w:val="left" w:leader="none"/>
                <w:tab w:pos="7093" w:val="left" w:leader="none"/>
              </w:tabs>
              <w:spacing w:line="200" w:lineRule="exact" w:before="0"/>
              <w:rPr>
                <w:sz w:val="20"/>
              </w:rPr>
            </w:pPr>
            <w:r>
              <w:rPr>
                <w:sz w:val="20"/>
              </w:rPr>
              <w:t>&lt;span style="font-size: medium;"&gt;</w:t>
              <w:tab/>
              <w:t>&lt;span style="font-size: medium;"&gt;</w:t>
              <w:tab/>
              <w:t>&lt;br /&gt;</w:t>
            </w:r>
          </w:p>
          <w:p>
            <w:pPr>
              <w:pStyle w:val="TableParagraph"/>
              <w:tabs>
                <w:tab w:pos="939" w:val="left" w:leader="none"/>
                <w:tab w:pos="1096" w:val="left" w:leader="none"/>
                <w:tab w:pos="2041" w:val="left" w:leader="none"/>
                <w:tab w:pos="3016" w:val="left" w:leader="none"/>
                <w:tab w:pos="4054" w:val="left" w:leader="none"/>
                <w:tab w:pos="7525" w:val="left" w:leader="none"/>
              </w:tabs>
              <w:spacing w:line="208" w:lineRule="auto" w:before="9"/>
              <w:ind w:right="76"/>
              <w:rPr>
                <w:sz w:val="20"/>
              </w:rPr>
            </w:pPr>
            <w:r>
              <w:rPr>
                <w:sz w:val="20"/>
              </w:rPr>
              <w:t>&lt;/span&gt;</w:t>
              <w:tab/>
              <w:tab/>
              <w:t>&lt;/span&gt;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 wrap;"&gt;</w:t>
              <w:tab/>
              <w:t>&lt;span style="font-size: small;"&gt;</w:t>
              <w:tab/>
              <w:t>&lt;span style="font-size: medium;"&gt;</w:t>
              <w:tab/>
            </w:r>
            <w:r>
              <w:rPr>
                <w:spacing w:val="-4"/>
                <w:sz w:val="20"/>
              </w:rPr>
              <w:t>&lt;span </w:t>
            </w:r>
            <w:r>
              <w:rPr>
                <w:sz w:val="20"/>
              </w:rPr>
              <w:t>style="font-size: medium;"&gt;</w:t>
              <w:tab/>
              <w:t>&lt;span style="font-size: medium;"&gt;É como voto.&lt;/span&gt;</w:t>
            </w:r>
          </w:p>
          <w:p>
            <w:pPr>
              <w:pStyle w:val="TableParagraph"/>
              <w:tabs>
                <w:tab w:pos="1096" w:val="left" w:leader="none"/>
                <w:tab w:pos="1439" w:val="left" w:leader="none"/>
                <w:tab w:pos="2041" w:val="left" w:leader="none"/>
                <w:tab w:pos="2438" w:val="left" w:leader="none"/>
                <w:tab w:pos="5021" w:val="left" w:leader="none"/>
                <w:tab w:pos="5798" w:val="left" w:leader="none"/>
              </w:tabs>
              <w:spacing w:line="208" w:lineRule="auto" w:before="0"/>
              <w:ind w:right="235"/>
              <w:rPr>
                <w:sz w:val="20"/>
              </w:rPr>
            </w:pPr>
            <w:r>
              <w:rPr>
                <w:sz w:val="20"/>
              </w:rPr>
              <w:t>&lt;/span&gt;</w:t>
              <w:tab/>
              <w:t>&lt;/span&gt;</w:t>
              <w:tab/>
              <w:t>&lt;/span&gt; &lt;/span&gt;&lt;/p&gt;&lt;p style="line-height: 1.7999999999999998; text-indent: 57pt; text-align: justify; margin-top: 6pt; margin-bottom: 6pt;" dir="ltr"&gt; &lt;span style="font-size: small;"&gt;</w:t>
              <w:tab/>
              <w:t>&lt;span style="font-size: medium;"&gt;</w:t>
              <w:tab/>
              <w:t>&lt;span style="font-size: medium;"&gt;</w:t>
              <w:tab/>
              <w:tab/>
              <w:t>&lt;span style="font-size: medium;"&gt;</w:t>
              <w:tab/>
              <w:t>&lt;span style="color: #000000; background-color: transparent; font-weight: 400; font-style: normal; font-variant: normal; text-decoration: none; vertical-align: baseline; white-space: pre-wrap;"&gt;&amp;#160;&lt;/span&gt;</w:t>
            </w:r>
          </w:p>
          <w:p>
            <w:pPr>
              <w:pStyle w:val="TableParagraph"/>
              <w:spacing w:line="190" w:lineRule="exact" w:before="0"/>
              <w:rPr>
                <w:sz w:val="20"/>
              </w:rPr>
            </w:pPr>
            <w:r>
              <w:rPr>
                <w:sz w:val="20"/>
              </w:rPr>
              <w:t>&lt;span style="text-indent: 8%;"&gt;Fortaleza/CE, data registrada no sistema.&lt;/span&gt;</w:t>
            </w:r>
          </w:p>
          <w:p>
            <w:pPr>
              <w:pStyle w:val="TableParagraph"/>
              <w:tabs>
                <w:tab w:pos="1096" w:val="left" w:leader="none"/>
                <w:tab w:pos="2041" w:val="left" w:leader="none"/>
              </w:tabs>
              <w:spacing w:line="200" w:lineRule="exact" w:before="0"/>
              <w:rPr>
                <w:sz w:val="20"/>
              </w:rPr>
            </w:pPr>
            <w:r>
              <w:rPr>
                <w:sz w:val="20"/>
              </w:rPr>
              <w:t>&lt;/span&gt;</w:t>
              <w:tab/>
              <w:t>&lt;/span&gt;</w:t>
              <w:tab/>
              <w:t>&lt;/span&gt; &lt;/span&gt;&lt;/p&gt;&lt;p style="text-indent: 8%; text-align: justify;"&gt;</w:t>
            </w:r>
          </w:p>
          <w:p>
            <w:pPr>
              <w:pStyle w:val="TableParagraph"/>
              <w:tabs>
                <w:tab w:pos="1661" w:val="left" w:leader="none"/>
                <w:tab w:pos="3044" w:val="left" w:leader="none"/>
                <w:tab w:pos="5243" w:val="left" w:leader="none"/>
                <w:tab w:pos="5466" w:val="left" w:leader="none"/>
                <w:tab w:pos="6404" w:val="left" w:leader="none"/>
                <w:tab w:pos="6655" w:val="left" w:leader="none"/>
              </w:tabs>
              <w:spacing w:line="208" w:lineRule="auto" w:before="9"/>
              <w:ind w:right="143"/>
              <w:rPr>
                <w:sz w:val="20"/>
              </w:rPr>
            </w:pPr>
            <w:r>
              <w:rPr>
                <w:sz w:val="20"/>
              </w:rPr>
              <w:t>&lt;span style="font-size: small;"&gt;</w:t>
              <w:tab/>
              <w:t>&lt;span style="font-size: medium;"&gt;</w:t>
              <w:tab/>
              <w:t>&lt;span </w:t>
            </w:r>
            <w:r>
              <w:rPr>
                <w:spacing w:val="-2"/>
                <w:sz w:val="20"/>
              </w:rPr>
              <w:t>style="font- </w:t>
            </w:r>
            <w:r>
              <w:rPr>
                <w:sz w:val="20"/>
              </w:rPr>
              <w:t>size: small;"&gt;</w:t>
              <w:tab/>
              <w:t>&lt;span style="font-size: medium;"&gt;</w:t>
              <w:tab/>
              <w:t>&lt;span style="font-size: medium;"&gt;</w:t>
              <w:tab/>
              <w:t>&lt;span style="font-size: medium;"&gt;</w:t>
              <w:tab/>
              <w:tab/>
              <w:t>&lt;br /&gt;</w:t>
              <w:tab/>
              <w:tab/>
              <w:t>&lt;/span&gt;</w:t>
            </w:r>
          </w:p>
          <w:p>
            <w:pPr>
              <w:pStyle w:val="TableParagraph"/>
              <w:tabs>
                <w:tab w:pos="1207" w:val="left" w:leader="none"/>
                <w:tab w:pos="2263" w:val="left" w:leader="none"/>
                <w:tab w:pos="3208" w:val="left" w:leader="none"/>
                <w:tab w:pos="4732" w:val="left" w:leader="none"/>
              </w:tabs>
              <w:spacing w:line="208" w:lineRule="auto" w:before="0"/>
              <w:ind w:right="270"/>
              <w:rPr>
                <w:sz w:val="20"/>
              </w:rPr>
            </w:pPr>
            <w:r>
              <w:rPr>
                <w:sz w:val="20"/>
              </w:rPr>
              <w:t>&lt;/span&gt;</w:t>
              <w:tab/>
              <w:t>&lt;/span&gt;</w:t>
              <w:tab/>
              <w:t>&lt;/span&gt;</w:t>
              <w:tab/>
              <w:t>&lt;/span&gt; &lt;/span&gt;&lt;/p&gt;&lt;p style="text-indent: 8%; </w:t>
            </w:r>
            <w:r>
              <w:rPr>
                <w:spacing w:val="-4"/>
                <w:sz w:val="20"/>
              </w:rPr>
              <w:t>text- </w:t>
            </w:r>
            <w:r>
              <w:rPr>
                <w:sz w:val="20"/>
              </w:rPr>
              <w:t>align: center;"&gt;  &lt;span style="font-size: medium;"&gt;</w:t>
              <w:tab/>
              <w:t>&lt;strong style="font-size: small;"&gt;</w:t>
            </w:r>
          </w:p>
          <w:p>
            <w:pPr>
              <w:pStyle w:val="TableParagraph"/>
              <w:tabs>
                <w:tab w:pos="3127" w:val="left" w:leader="none"/>
                <w:tab w:pos="3266" w:val="left" w:leader="none"/>
                <w:tab w:pos="6848" w:val="left" w:leader="none"/>
                <w:tab w:pos="6932" w:val="left" w:leader="none"/>
              </w:tabs>
              <w:spacing w:line="208" w:lineRule="auto" w:before="0"/>
              <w:ind w:right="698"/>
              <w:rPr>
                <w:sz w:val="20"/>
              </w:rPr>
            </w:pPr>
            <w:r>
              <w:rPr>
                <w:sz w:val="20"/>
              </w:rPr>
              <w:t>&lt;span style="font-size: small;"&gt;</w:t>
              <w:tab/>
              <w:tab/>
              <w:t>&lt;span style="font-size: medium;"&gt;</w:t>
              <w:tab/>
              <w:t>&lt;span style="font-size: medium;"&gt;</w:t>
              <w:tab/>
              <w:t>&lt;span style="font-size: medium;"&gt;</w:t>
              <w:tab/>
              <w:tab/>
              <w:t>&lt;br </w:t>
            </w:r>
            <w:r>
              <w:rPr>
                <w:spacing w:val="-9"/>
                <w:sz w:val="20"/>
              </w:rPr>
              <w:t>/&gt;</w:t>
            </w:r>
          </w:p>
          <w:p>
            <w:pPr>
              <w:pStyle w:val="TableParagraph"/>
              <w:tabs>
                <w:tab w:pos="2296" w:val="left" w:leader="none"/>
                <w:tab w:pos="3574" w:val="left" w:leader="none"/>
                <w:tab w:pos="4742" w:val="left" w:leader="none"/>
                <w:tab w:pos="5798" w:val="left" w:leader="none"/>
                <w:tab w:pos="6743" w:val="left" w:leader="none"/>
              </w:tabs>
              <w:spacing w:line="208" w:lineRule="auto" w:before="0"/>
              <w:ind w:right="564"/>
              <w:rPr>
                <w:sz w:val="20"/>
              </w:rPr>
            </w:pPr>
            <w:r>
              <w:rPr>
                <w:sz w:val="20"/>
              </w:rPr>
              <w:t>&lt;strong style="font-size: medium;"&gt;FRANCISCO LUCÍDIO DE QUEIROZ JÚNIOR&lt;/strong&gt;</w:t>
              <w:tab/>
              <w:t>&lt;/span&gt;</w:t>
              <w:tab/>
              <w:t>&lt;/span&gt;</w:t>
              <w:tab/>
              <w:t>&lt;/span&gt;</w:t>
              <w:tab/>
              <w:t>&lt;/span&gt;</w:t>
              <w:tab/>
            </w:r>
            <w:r>
              <w:rPr>
                <w:spacing w:val="-1"/>
                <w:sz w:val="20"/>
              </w:rPr>
              <w:t>&lt;/strong&gt;</w:t>
            </w:r>
          </w:p>
          <w:p>
            <w:pPr>
              <w:pStyle w:val="TableParagraph"/>
              <w:tabs>
                <w:tab w:pos="1305" w:val="left" w:leader="none"/>
                <w:tab w:pos="2549" w:val="left" w:leader="none"/>
                <w:tab w:pos="4999" w:val="left" w:leader="none"/>
                <w:tab w:pos="6020" w:val="left" w:leader="none"/>
                <w:tab w:pos="6883" w:val="left" w:leader="none"/>
              </w:tabs>
              <w:spacing w:line="208" w:lineRule="auto" w:before="0"/>
              <w:ind w:right="115"/>
              <w:rPr>
                <w:sz w:val="20"/>
              </w:rPr>
            </w:pPr>
            <w:r>
              <w:rPr>
                <w:sz w:val="20"/>
              </w:rPr>
              <w:t>&lt;/span&gt;&lt;/p&gt;&lt;p style="text-align: center;"&gt;  &lt;span style="font-size: small;"&gt;</w:t>
              <w:tab/>
              <w:t>&lt;strong style="font-size: small;"&gt;</w:t>
              <w:tab/>
              <w:t>&lt;span style="font-size: medium;"&gt;</w:t>
              <w:tab/>
              <w:t>&lt;span style="font-size: small;"&gt;</w:t>
              <w:tab/>
              <w:t>&lt;span style="font-size: medium;"&gt;</w:t>
              <w:tab/>
              <w:t>&lt;span style="font-size: medium;"&gt;</w:t>
            </w:r>
          </w:p>
          <w:p>
            <w:pPr>
              <w:pStyle w:val="TableParagraph"/>
              <w:tabs>
                <w:tab w:pos="6590" w:val="left" w:leader="none"/>
              </w:tabs>
              <w:spacing w:line="190" w:lineRule="exact" w:before="0"/>
              <w:rPr>
                <w:sz w:val="20"/>
              </w:rPr>
            </w:pPr>
            <w:r>
              <w:rPr>
                <w:sz w:val="20"/>
              </w:rPr>
              <w:t>&lt;span style="font-size: medium;"&gt;Desembargador Relator&lt;/span&gt;</w:t>
              <w:tab/>
              <w:t>&lt;/span&gt;</w:t>
            </w:r>
          </w:p>
          <w:p>
            <w:pPr>
              <w:pStyle w:val="TableParagraph"/>
              <w:tabs>
                <w:tab w:pos="1207" w:val="left" w:leader="none"/>
                <w:tab w:pos="2263" w:val="left" w:leader="none"/>
                <w:tab w:pos="3208" w:val="left" w:leader="none"/>
              </w:tabs>
              <w:spacing w:line="200" w:lineRule="exact" w:before="0"/>
              <w:rPr>
                <w:sz w:val="20"/>
              </w:rPr>
            </w:pPr>
            <w:r>
              <w:rPr>
                <w:sz w:val="20"/>
              </w:rPr>
              <w:t>&lt;/span&gt;</w:t>
              <w:tab/>
              <w:t>&lt;/span&gt;</w:t>
              <w:tab/>
              <w:t>&lt;/span&gt;</w:t>
              <w:tab/>
              <w:t>&lt;/strong&gt; &lt;/span&gt;&lt;/p&gt;&lt;p&gt;&amp;#160;&lt;/p&gt;&lt;br /&gt;&lt;br</w:t>
            </w:r>
          </w:p>
          <w:p>
            <w:pPr>
              <w:pStyle w:val="TableParagraph"/>
              <w:tabs>
                <w:tab w:pos="1216" w:val="left" w:leader="none"/>
              </w:tabs>
              <w:spacing w:line="208" w:lineRule="auto" w:before="9"/>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0279098-39.2022.8.06.0001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BLIMA BARROS DE ABREU</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ELIZABELLE DE ARAUJO DIAS - (CE45658-A)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282"/>
              <w:rPr>
                <w:sz w:val="20"/>
              </w:rPr>
            </w:pPr>
            <w:r>
              <w:rPr>
                <w:sz w:val="20"/>
              </w:rPr>
              <w:t>LUIZ AUGUSTO ABRANTES PEQUENO JUNIOR - (CE23178-A) 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0050199-58.2020.8.06.0074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99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Nomeação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NAZARE DE BARROS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EDNA SILVEIRA - (CE22193-A)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ANTONIO MARCOS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Cartão de Crédito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MERCADOPAGO.COM REPRESENTACOES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EDUARDO CHALFIN - (CE33640-A)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JULIEZIO CARLOS BATISTA DE LIMA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ALEIXON MOREIRA DE FREITAS - (CE28119-A)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&lt;strong&gt;PROCESSO&lt;/strong&gt;:&amp;#160;0200395-50.2022.8.06.0145 -&amp;#160;APELAÇÃO</w:t>
            </w:r>
          </w:p>
          <w:p>
            <w:pPr>
              <w:pStyle w:val="TableParagraph"/>
              <w:tabs>
                <w:tab w:pos="6557" w:val="left" w:leader="none"/>
              </w:tabs>
              <w:spacing w:line="208" w:lineRule="auto" w:before="8"/>
              <w:ind w:right="426"/>
              <w:rPr>
                <w:sz w:val="20"/>
              </w:rPr>
            </w:pPr>
            <w:r>
              <w:rPr>
                <w:sz w:val="20"/>
              </w:rPr>
              <w:t>CÍVEL (198)&lt;/span&gt;  &lt;/span&gt;&lt;/p&gt;&lt;p&gt;  &lt;span style="font-size: small;"&gt;</w:t>
              <w:tab/>
              <w:t>&lt;span style="font-family: &amp;quot;times new roman&amp;quot;, times;"&gt;APELANTE: MERCADOPAGO.COM REPRESENTACOES LTDA e&amp;#160;&lt;/span&gt; &lt;/span&gt;</w:t>
            </w:r>
            <w:r>
              <w:rPr>
                <w:spacing w:val="2"/>
                <w:sz w:val="20"/>
              </w:rPr>
              <w:t> </w:t>
            </w:r>
            <w:r>
              <w:rPr>
                <w:spacing w:val="-4"/>
                <w:sz w:val="20"/>
              </w:rPr>
              <w:t>&lt;span</w:t>
            </w:r>
          </w:p>
          <w:p>
            <w:pPr>
              <w:pStyle w:val="TableParagraph"/>
              <w:spacing w:line="190" w:lineRule="exact" w:before="0"/>
              <w:rPr>
                <w:sz w:val="20"/>
              </w:rPr>
            </w:pPr>
            <w:r>
              <w:rPr>
                <w:sz w:val="20"/>
              </w:rPr>
              <w:t>style="font-family: &amp;quot;times new roman&amp;quot;, times; font-size: small;"&gt;&amp;#160;&lt;/span&gt;</w:t>
            </w:r>
          </w:p>
          <w:p>
            <w:pPr>
              <w:pStyle w:val="TableParagraph"/>
              <w:tabs>
                <w:tab w:pos="3884" w:val="left" w:leader="none"/>
                <w:tab w:pos="4629" w:val="left" w:leader="none"/>
                <w:tab w:pos="5379" w:val="left" w:leader="none"/>
                <w:tab w:pos="7190" w:val="left" w:leader="none"/>
              </w:tabs>
              <w:spacing w:line="208" w:lineRule="auto" w:before="9"/>
              <w:ind w:right="40"/>
              <w:rPr>
                <w:sz w:val="20"/>
              </w:rPr>
            </w:pPr>
            <w:r>
              <w:rPr>
                <w:sz w:val="20"/>
              </w:rPr>
              <w:t>&lt;span style="font-family: &amp;quot;times new roman&amp;quot;, times; font-size: small;"&gt;JULIEZIO CARLOS BATISTA DE LIMA&lt;/span&gt;&lt;/p&gt;&lt;p&gt;  &lt;span style="font-size: small;"&gt;</w:t>
              <w:tab/>
              <w:t>&lt;span style="font-family: &amp;quot;times new roman&amp;quot;, times;"&gt;APELADO: JULIEZIO CARLOS BATISTA DE LIMA e&amp;#160;&lt;/span&gt; &lt;/span&gt; &lt;span style="font-family: &amp;quot;times new roman&amp;quot;, times; font-size: small;"&gt;MERCADOPAGO.COM REPRESENTACOES LTDA&lt;/span&gt;&lt;/p&gt;&lt;p&gt;  &lt;span style="font-size: medium;"&gt;</w:t>
              <w:tab/>
              <w:t>&lt;span style="font-family: &amp;quot;times new roman&amp;quot;, times;"&gt;</w:t>
              <w:tab/>
              <w:t>&lt;br /&gt;</w:t>
              <w:tab/>
              <w:t>&lt;/span&gt; &lt;/span&gt;&lt;/p&gt;&lt;p style="line- height: 1.8; margin-top: 12pt; margin-bottom: 12pt; padding-left: 150px; text-align: justify;" dir="ltr"&gt; &lt;span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31"/>
              <w:rPr>
                <w:sz w:val="20"/>
              </w:rPr>
            </w:pPr>
            <w:r>
              <w:rPr>
                <w:sz w:val="20"/>
              </w:rPr>
              <w:t>&lt;strong&gt;Direito Civil e do Consumidor. Apelações Cíveis. Ação declaratória de inexistência de débito cumulada com reparação de danos morais e materiais. Responsabilidade objetiva. Dever de indenizar. Majorada a condenação por danos morais. Precedentes TJCE. Sentença parcialmente reformada. Recurso da empresa conhecido e não provido. Recurso do autor conhecido e provido.&lt;/strong&gt; &lt;/span&gt;&lt;/p&gt;&lt;p style="line-height: 1.8; margin-top: 12pt; margin-bottom: 12pt; padding-left: 150px; text-align: justify;" dir="ltr"&gt;</w:t>
            </w:r>
          </w:p>
          <w:p>
            <w:pPr>
              <w:pStyle w:val="TableParagraph"/>
              <w:tabs>
                <w:tab w:pos="6553" w:val="left" w:leader="none"/>
              </w:tabs>
              <w:spacing w:line="208" w:lineRule="auto" w:before="0"/>
              <w:ind w:right="144"/>
              <w:rPr>
                <w:sz w:val="20"/>
              </w:rPr>
            </w:pPr>
            <w:r>
              <w:rPr>
                <w:sz w:val="20"/>
              </w:rPr>
              <w:t>&lt;span style="font-size: 12pt; font-family: 'Times New Roman',serif; color: #000000; background-color: transparent; font-weight: 400; font-style: normal; font-variant: normal; text-decoration: none; vertical-align: baseline; white-space: pre-wrap;"&gt;</w:t>
              <w:tab/>
              <w:t>&lt;strong&gt;I. Caso em exame&lt;/strong&gt; &lt;/span&gt;&lt;/p&gt;&lt;p style="line-height: 1.8; margin-top: 12pt; margin- bottom: 12pt; padding-left: 150px; text-align: justify;" dir="ltr"&gt;&lt;span style="font-size: 12pt; font-family: 'Times New Roman',serif; color: #000000; background-color: transparent; </w:t>
            </w:r>
            <w:r>
              <w:rPr>
                <w:spacing w:val="-4"/>
                <w:sz w:val="20"/>
              </w:rPr>
              <w:t>font- </w:t>
            </w:r>
            <w:r>
              <w:rPr>
                <w:sz w:val="20"/>
              </w:rPr>
              <w:t>weight: 400; font-style: normal; font-variant: normal; text-decoration: none; vertical-align: baseline; white-space: pre-wrap;"&gt;1. Cuida-se de&lt;/span&gt; &lt;span style="font-size: 12pt; font-family: 'Times New Roman',serif; color: #1a202c; background-color: transparent; font- weight: 400; font-style: normal; font-variant: normal; text-decoration: none; vertical-align: baseline; white-space: pre-wrap;"&gt;Apelações Cíveis interpostas, uma pelo autor e outra pela ré, onde se insurgem contra sentença que julgou parcialmente procedentes os pedidos contidos em Ação Declaratória de Inexistência de Débito cumulada com Reparação de Danos Morais e Materiais. A sentença condenou a ré à restituição do valor</w:t>
            </w:r>
          </w:p>
          <w:p>
            <w:pPr>
              <w:pStyle w:val="TableParagraph"/>
              <w:spacing w:line="208" w:lineRule="auto" w:before="0"/>
              <w:ind w:right="40"/>
              <w:rPr>
                <w:sz w:val="20"/>
              </w:rPr>
            </w:pPr>
            <w:r>
              <w:rPr>
                <w:sz w:val="20"/>
              </w:rPr>
              <w:t>de R$ 9.461,00 e ao pagamento de indenização por danos morais de R$ 1.000,00. O </w:t>
            </w:r>
            <w:r>
              <w:rPr>
                <w:spacing w:val="-4"/>
                <w:sz w:val="20"/>
              </w:rPr>
              <w:t>autor </w:t>
            </w:r>
            <w:r>
              <w:rPr>
                <w:sz w:val="20"/>
              </w:rPr>
              <w:t>pleiteou a majoração da indenização e a ré contestou a responsabilidade objetiva e solicitou a improcedência dos pedidos ou a redução do valor da condenação.&lt;/span&gt;&lt;/p&gt;&lt;p style="line-height: 1.8; margin-top: 12pt; margin-bottom: 12pt; padding-left: 150px; text-align: justify;" dir="ltr"&gt; &lt;span style="font-size: 12pt; font-family: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s>
              <w:spacing w:line="208" w:lineRule="auto" w:before="26"/>
              <w:ind w:right="20"/>
              <w:rPr>
                <w:sz w:val="20"/>
              </w:rPr>
            </w:pPr>
            <w:r>
              <w:rPr>
                <w:sz w:val="20"/>
              </w:rPr>
              <w:t>'Times New Roman',serif; color: #000000; background-color: transparent; font-weight: 400; font-style: normal; font-variant: normal; text-decoration: none; vertical-align: baseline; </w:t>
            </w:r>
            <w:r>
              <w:rPr>
                <w:spacing w:val="-3"/>
                <w:sz w:val="20"/>
              </w:rPr>
              <w:t>white- </w:t>
            </w:r>
            <w:r>
              <w:rPr>
                <w:sz w:val="20"/>
              </w:rPr>
              <w:t>space: pre-wrap;"&gt;</w:t>
              <w:tab/>
              <w:t>&lt;strong&gt;II. Questão em discussão&lt;/strong&gt; &lt;/span&gt;&lt;/p&gt;&lt;p style="line-height: 1.8; margin-top: 12pt; margin-bottom: 12pt; padding-left: 150px; text- align: justify;" dir="ltr"&gt; &lt;span style="font-size: 12pt; font-family: 'Times New Roman',serif; color: #000000; background-color: transparent; font-weight: 400; font-style: normal; font- variant: normal; text-decoration: none; vertical-align: baseline; white-space: pre-wrap;"&gt;2.</w:t>
            </w:r>
          </w:p>
          <w:p>
            <w:pPr>
              <w:pStyle w:val="TableParagraph"/>
              <w:spacing w:line="208" w:lineRule="auto" w:before="0"/>
              <w:ind w:right="58"/>
              <w:rPr>
                <w:sz w:val="20"/>
              </w:rPr>
            </w:pPr>
            <w:r>
              <w:rPr>
                <w:sz w:val="20"/>
              </w:rPr>
              <w:t>C&lt;/span&gt; &lt;span style="font-size: 12pt; font-family: 'Times New Roman',serif; color: #1a202c; background-color: transparent; font-weight: 400; font-style: normal; font-variant: normal; text-decoration: none; vertical-align: baseline; white-space: pre-wrap;"&gt;onsiste em:</w:t>
            </w:r>
          </w:p>
          <w:p>
            <w:pPr>
              <w:pStyle w:val="TableParagraph"/>
              <w:spacing w:line="208" w:lineRule="auto" w:before="0"/>
              <w:ind w:right="147"/>
              <w:rPr>
                <w:sz w:val="20"/>
              </w:rPr>
            </w:pPr>
            <w:r>
              <w:rPr>
                <w:sz w:val="20"/>
              </w:rPr>
              <w:t>(I) determinar a responsabilidade da instituição financeira MercadoPago.com pelos prejuízos causados ao consumidor em razão de transações fraudulentas; (II) analisar a adequação do valor fixado a título de danos morais.&lt;/span&gt;&lt;/p&gt;&lt;p style="line-height: 1.8; margin-top: 12pt; margin-bottom: 12pt; padding-left: 150px; text-align: justify;" dir="ltr"&gt;</w:t>
            </w:r>
          </w:p>
          <w:p>
            <w:pPr>
              <w:pStyle w:val="TableParagraph"/>
              <w:tabs>
                <w:tab w:pos="6553" w:val="left" w:leader="none"/>
              </w:tabs>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w:t>
              <w:tab/>
              <w:t>&lt;strong&gt;III. Razões de decidir&lt;/strong&gt; &lt;/span&gt;&lt;/p&gt;&lt;p style="line-height: 1.8; margin-top: 12pt; margin-bottom: 12pt; padding-left: 150px; text-align: justify;" dir="ltr"&gt; &lt;span style="font- size: 12pt; font-family: 'Times New Roman',serif; color: #1a202c; background-color: transparent; font-weight: 400; font-style: normal; font-variant: normal; text-decoration: none; vertical-align: baseline; white-space: pre-wrap;"&gt;3. A relação jurídica é de consumo, impondo responsabilidade objetiva à instituição financeira pelos danos causados por defeitos na prestação dos serviços, conforme arts. 2º e 3º da Lei nº 8.078/90 (CDC) e Súmula 479 do STJ.&lt;/span&gt;&lt;/p&gt;&lt;p style="line-height: 1.8; margin-top: 12pt; margin- bottom: 12pt; padding-left: 150px; text-align: justify;" dir="ltr"&gt; &lt;span style="font-size: 12pt; font-family: 'Times New Roman',serif; color: #1a202c; background-color: transparent; font- weight: 400; font-style: normal; font-variant: normal; text-decoration: none; vertical-align: baseline; white-space: pre-wrap;"&gt;4. Fraudes bancárias configuram fortuito interno, cabendo ao fornecedor de serviços provar a inexistência de defeito ou culpa exclusiva da vítima.&lt;/span&gt;&lt;/p&gt;&lt;p style="line-height: 1.8; margin-top: 12pt; margin-bottom: 12pt; padding-left: 150px; text-align: justify;" dir="ltr"&gt;&lt;span style="font-size: 12pt; font-family: 'Times New Roman',serif; color: #1a202c; background-color: transparent; font-weight: 400; font-style: normal; font-variant: normal; text-decoration: none; vertical-align: baseline; </w:t>
            </w:r>
            <w:r>
              <w:rPr>
                <w:spacing w:val="-3"/>
                <w:sz w:val="20"/>
              </w:rPr>
              <w:t>white- </w:t>
            </w:r>
            <w:r>
              <w:rPr>
                <w:sz w:val="20"/>
              </w:rPr>
              <w:t>space: pre-wrap;"&gt;5.&lt;/span&gt; &lt;span style="background-color: transparent; font-family: &amp;quot;Times New Roman&amp;quot;, serif; font-size: 12pt; white-space-collapse: preserve; text- indent: 70.8661pt;"&gt;O fornecedor não se desincumbiu do ônus de provar a inexistência do defeito ou a culpa exclusiva do consumidor (Art. 14, § 3º, CDC).&lt;/span&gt;&lt;/p&gt;&lt;p style="line- height: 1.8; margin-top: 12pt; margin-bottom: 12pt; padding-left: 150px; text-align: justify;" dir="ltr"&gt; &lt;span style="font-size: 12pt; font-family: 'Times New Roman',serif; color: #1a202c; background-color: transparent; font-weight: 400; font-style: normal; font-variant: normal; text-decoration: none; vertical-align: baseline; white-space: pre-wrap;"&gt;6. Os juros de mora sobre o dano moral devem incidir a partir da citação, em caso de responsabilidade contratual (art. 405 do Código Civil).&lt;/span&gt;&lt;/p&gt;&lt;p style="line-height: 1.8; margin-top: 12pt; margin-bottom: 12pt; padding-left: 150px; text-align: justify;" dir="ltr"&gt;</w:t>
            </w:r>
          </w:p>
          <w:p>
            <w:pPr>
              <w:pStyle w:val="TableParagraph"/>
              <w:spacing w:line="208" w:lineRule="auto" w:before="0"/>
              <w:ind w:right="138"/>
              <w:rPr>
                <w:sz w:val="20"/>
              </w:rPr>
            </w:pPr>
            <w:r>
              <w:rPr>
                <w:sz w:val="20"/>
              </w:rPr>
              <w:t>&lt;span style="font-size: 12pt; font-family: 'Times New Roman',serif; color: #1a202c; background-color: transparent; font-weight: 400; font-style: normal; font-variant: normal; text-decoration: none; vertical-align: baseline; white-space: pre-wrap;"&gt;7. O dano moral deve ser majorado em observância ao caráter compensatório e pedagógico da indenização e com respaldo em precedentes desta Corte de Justiça.&lt;/span&gt;&lt;/p&gt;&lt;p style="line-height: 1.8; margin-top: 12pt; margin-bottom: 12pt; padding-left: 150px; text- align: justify;" dir="ltr"&gt; &lt;span style="font-size: 12pt; font-family: 'Times New Roman',serif; color: #000000; background-color: transparent; font-weight: 400; font-style: normal; font- variant: normal; text-decoration: none; vertical-align: baseline; white-space: pre-wrap;"&gt;</w:t>
            </w:r>
          </w:p>
          <w:p>
            <w:pPr>
              <w:pStyle w:val="TableParagraph"/>
              <w:tabs>
                <w:tab w:pos="5119" w:val="left" w:leader="none"/>
              </w:tabs>
              <w:spacing w:line="208" w:lineRule="auto" w:before="0"/>
              <w:ind w:right="53"/>
              <w:rPr>
                <w:sz w:val="20"/>
              </w:rPr>
            </w:pPr>
            <w:r>
              <w:rPr>
                <w:sz w:val="20"/>
              </w:rPr>
              <w:t>&lt;strong&gt;IV. Dispositivo.&lt;/strong&gt; &lt;/span&gt;&lt;/p&gt;&lt;p style="line-height: 1.8; margin-top: 12pt; margin-bottom: 12pt; padding-left: 150px; text-align: justify;" dir="ltr"&gt; &lt;strong&gt; &lt;span style="font-size: 12pt; font-family: 'Times New Roman',serif; color: #000000; background- color: transparent; font-weight: 400; font-style: normal; font-variant: normal; text-decoration: none; vertical-align: baseline; white-space: pre-wrap;"&gt;&amp;#160;&lt;/span&gt; &lt;span style="background-color: transparent; color: #1a202c; font-family: &amp;quot;Times New Roman&amp;quot;, serif; font-size: 12pt; white-space-collapse: preserve;"&gt;8. Recurso da ré conhecido e não provido.&lt;/span&gt;&amp;#160;&lt;/strong&gt;&lt;/p&gt;&lt;p style="line-height: 1.8; margin- top: 12pt; margin-bottom: 12pt; padding-left: 150px; text-align: justify;" dir="ltr"&gt; &lt;span style="font-size: 12pt; font-family: 'Times New Roman',serif; color: #1a202c; background- color: transparent; font-weight: 400; font-style: normal; font-variant: normal; text-decoration: none; vertical-align: baseline; white-space: pre-wrap;"&gt;</w:t>
              <w:tab/>
              <w:t>&lt;strong&gt;9. Recurso do autor conhecido e provido, com majoração do valor da indenização por danos morais para R$ 3.000,00 (três mil reais).&lt;/strong&gt; &lt;/span&gt;&lt;/p&gt;&lt;p style="line-height: 1.8; margin-top: </w:t>
            </w:r>
            <w:r>
              <w:rPr>
                <w:spacing w:val="-3"/>
                <w:sz w:val="20"/>
              </w:rPr>
              <w:t>12pt; </w:t>
            </w:r>
            <w:r>
              <w:rPr>
                <w:sz w:val="20"/>
              </w:rPr>
              <w:t>margin-bottom: 12pt; padding-left: 150px; text-align: justify;" dir="ltr"&gt; &lt;span style="font- size: medium; font-family: &amp;quot;times new roman&amp;quot;,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1"/>
              <w:rPr>
                <w:sz w:val="20"/>
              </w:rPr>
            </w:pPr>
            <w:r>
              <w:rPr>
                <w:sz w:val="20"/>
              </w:rPr>
              <w:t>times;"&gt;ACÓRDÃO:&amp;#160;&lt;/span&gt; &lt;span style="background-color: transparent; font- family: &amp;quot;Times New Roman&amp;quot;, serif; font-size: 12pt; white-space-collapse: preserve; text-align: justify;"&gt;Vistos, relatados e discutidos estes autos, acorda a Quinta Câmara de Direito Privado, por unanimidade, em CONHECER do recurso da empresa promovida para NEGAR-LHE PROVIMENTO e CONHECER o apelo do autor para DAR- LHE PROVIMENTO, nos termos do voto do Desembargador Relator.&lt;/span&gt;&lt;/p&gt;&lt;p style="line-height: 1.8; margin-top: 12pt; margin-bottom: 12pt; padding-left: 150px; text- align: justify;" dir="ltr"&gt; &lt;span style="background-color: transparent; font-family: &amp;quot;Times New Roman&amp;quot;, serif; font-size: 12pt; white-space-collapse: preserve; text- align: justify;"&gt;&amp;#160;&lt;/span&gt; &lt;span style="font-family: &amp;quot;times new roman&amp;quot;, times; font-size: medium;"&gt;Fortaleza, data registrada no sistema.&lt;/span&gt;&lt;/p&gt;&lt;p style="line-height: 100%; orphans: 0; widows: 0; margin-bottom: 0.21cm;"</w:t>
            </w:r>
          </w:p>
          <w:p>
            <w:pPr>
              <w:pStyle w:val="TableParagraph"/>
              <w:tabs>
                <w:tab w:pos="1840" w:val="left" w:leader="none"/>
                <w:tab w:pos="6314" w:val="left" w:leader="none"/>
                <w:tab w:pos="7437" w:val="left" w:leader="none"/>
              </w:tabs>
              <w:spacing w:line="208" w:lineRule="auto" w:before="0"/>
              <w:ind w:right="164"/>
              <w:rPr>
                <w:sz w:val="20"/>
              </w:rPr>
            </w:pPr>
            <w:r>
              <w:rPr>
                <w:sz w:val="20"/>
              </w:rPr>
              <w:t>align="center"&gt;&amp;#160;&lt;/p&gt;&lt;p style="line-height: 100%; orphans: 0; widows: 0; margin- bottom: 0.21cm;" align="center"&gt;  &lt;span style="font-size: medium;"&gt;</w:t>
              <w:tab/>
              <w:t>&lt;strong&gt;</w:t>
              <w:tab/>
            </w:r>
            <w:r>
              <w:rPr>
                <w:spacing w:val="-4"/>
                <w:sz w:val="20"/>
              </w:rPr>
              <w:t>&lt;span </w:t>
            </w:r>
            <w:r>
              <w:rPr>
                <w:sz w:val="20"/>
              </w:rPr>
              <w:t>style="font-family: &amp;quot;times new roman&amp;quot;, times;"&gt;MARIA REGINA OLIVEIRA CÂMARA&lt;/span&gt;</w:t>
              <w:tab/>
              <w:t>&lt;/strong&gt; &lt;/span&gt;&lt;/p&gt;&lt;p style="line-height: 115%; orphans: 0; widows: 0; margin-bottom: 0.21cm;" align="center"&gt; &lt;span style="font-size: medium;"&gt;</w:t>
            </w:r>
          </w:p>
          <w:p>
            <w:pPr>
              <w:pStyle w:val="TableParagraph"/>
              <w:spacing w:line="208" w:lineRule="auto" w:before="0"/>
              <w:ind w:right="85"/>
              <w:rPr>
                <w:sz w:val="20"/>
              </w:rPr>
            </w:pPr>
            <w:r>
              <w:rPr>
                <w:sz w:val="20"/>
              </w:rPr>
              <w:t>&lt;span style="font-family: &amp;quot;times new roman&amp;quot;, times;"&gt;Desembargadora Presidente do Órgão Julgador&lt;/span&gt; &lt;/span&gt;&lt;/p&gt;&lt;p style="line-height: 100%; orphans: 0; widows: 0; margin-bottom: 0.21cm;" align="center"&gt; &lt;span style="font-size: medium;"&gt;</w:t>
            </w:r>
          </w:p>
          <w:p>
            <w:pPr>
              <w:pStyle w:val="TableParagraph"/>
              <w:tabs>
                <w:tab w:pos="6123" w:val="left" w:leader="none"/>
                <w:tab w:pos="6979" w:val="left" w:leader="none"/>
              </w:tabs>
              <w:spacing w:line="190" w:lineRule="exact" w:before="0"/>
              <w:rPr>
                <w:sz w:val="20"/>
              </w:rPr>
            </w:pPr>
            <w:r>
              <w:rPr>
                <w:sz w:val="20"/>
              </w:rPr>
              <w:t>&lt;span style="font-family: &amp;quot;times new roman&amp;quot;, times;"&gt;</w:t>
              <w:tab/>
              <w:t>&lt;br /&gt;</w:t>
              <w:tab/>
              <w:t>&lt;br /&gt;</w:t>
            </w:r>
          </w:p>
          <w:p>
            <w:pPr>
              <w:pStyle w:val="TableParagraph"/>
              <w:tabs>
                <w:tab w:pos="2696" w:val="left" w:leader="none"/>
                <w:tab w:pos="5592" w:val="left" w:leader="none"/>
                <w:tab w:pos="6714" w:val="left" w:leader="none"/>
              </w:tabs>
              <w:spacing w:line="208" w:lineRule="auto" w:before="8"/>
              <w:ind w:right="59"/>
              <w:rPr>
                <w:sz w:val="20"/>
              </w:rPr>
            </w:pPr>
            <w:r>
              <w:rPr>
                <w:sz w:val="20"/>
              </w:rPr>
              <w:t>&lt;/span&gt; &lt;/span&gt;&lt;/p&gt;&lt;p style="line-height: 100%; orphans: 0; widows: 0; margin-bottom: 0.21cm;" align="center"&gt;  &lt;span style="font-size: medium;"&gt;</w:t>
              <w:tab/>
              <w:t>&lt;strong&gt;</w:t>
              <w:tab/>
              <w:t>&lt;span style="font-family: &amp;quot;times new roman&amp;quot;, times;"&gt;FRANCISCO LUCÍDIO DE QUEIROZ JUNIOR&lt;/span&gt;</w:t>
              <w:tab/>
              <w:t>&lt;/strong&gt; &lt;/span&gt;&lt;/p&gt;&lt;p style="line-height: 100%; </w:t>
            </w:r>
            <w:r>
              <w:rPr>
                <w:spacing w:val="-3"/>
                <w:sz w:val="20"/>
              </w:rPr>
              <w:t>orphans: </w:t>
            </w:r>
            <w:r>
              <w:rPr>
                <w:sz w:val="20"/>
              </w:rPr>
              <w:t>0; widows: 0; margin-bottom: 0.21cm;" align="center"&gt; &lt;span style="font-size: medium;"&gt;</w:t>
            </w:r>
          </w:p>
          <w:p>
            <w:pPr>
              <w:pStyle w:val="TableParagraph"/>
              <w:tabs>
                <w:tab w:pos="1316" w:val="left" w:leader="none"/>
                <w:tab w:pos="2239" w:val="left" w:leader="none"/>
                <w:tab w:pos="2905" w:val="left" w:leader="none"/>
                <w:tab w:pos="5476" w:val="left" w:leader="none"/>
                <w:tab w:pos="6599" w:val="left" w:leader="none"/>
                <w:tab w:pos="7345" w:val="left" w:leader="none"/>
              </w:tabs>
              <w:spacing w:line="208" w:lineRule="auto" w:before="0"/>
              <w:ind w:right="45"/>
              <w:rPr>
                <w:sz w:val="20"/>
              </w:rPr>
            </w:pPr>
            <w:r>
              <w:rPr>
                <w:sz w:val="20"/>
              </w:rPr>
              <w:t>&lt;span style="font-family: &amp;quot;times new roman&amp;quot;, times;"&gt;Desembargador Relator&lt;/span&gt; &lt;/span&gt;&lt;/p&gt;&lt;p align="center"&gt; &lt;span style="font-family: &amp;quot;times </w:t>
            </w:r>
            <w:r>
              <w:rPr>
                <w:spacing w:val="-6"/>
                <w:sz w:val="20"/>
              </w:rPr>
              <w:t>new </w:t>
            </w:r>
            <w:r>
              <w:rPr>
                <w:sz w:val="20"/>
              </w:rPr>
              <w:t>roman&amp;quot;, times;"&gt;</w:t>
              <w:tab/>
              <w:t>&lt;br /&gt; &lt;/span&gt;&lt;/p&gt;&lt;p style="text-align: center;"&gt;&amp;#160;&lt;/p&gt;&lt;p style="text-align: center;"&gt;  &lt;span style="font-size: small;"&gt;</w:t>
              <w:tab/>
              <w:t>&lt;strong&gt;</w:t>
              <w:tab/>
              <w:t>&lt;span style="font-size: medium;"&gt;</w:t>
              <w:tab/>
              <w:t>&lt;span style="font-family: &amp;quot;times new roman&amp;quot;, times;"&gt;</w:t>
              <w:tab/>
              <w:t>&lt;span style="text-decoration: underline;"&gt;RELATÓRIO&lt;/span&gt;</w:t>
              <w:tab/>
              <w:t>&lt;/span&gt;</w:t>
            </w:r>
          </w:p>
          <w:p>
            <w:pPr>
              <w:pStyle w:val="TableParagraph"/>
              <w:tabs>
                <w:tab w:pos="985" w:val="left" w:leader="none"/>
              </w:tabs>
              <w:spacing w:line="208" w:lineRule="auto" w:before="0"/>
              <w:ind w:right="20"/>
              <w:rPr>
                <w:sz w:val="20"/>
              </w:rPr>
            </w:pPr>
            <w:r>
              <w:rPr>
                <w:sz w:val="20"/>
              </w:rPr>
              <w:t>&lt;/span&gt;</w:t>
              <w:tab/>
              <w:t>&lt;/strong&gt; &lt;/span&gt;&lt;/p&gt;&lt;p style="line-height: 1.7999999999999998; text-indent: 70.86614173228347pt; text-align: justify; margin-top: 6pt; margin-bottom: 6pt;" dir="ltr"&gt;&amp;#160;&lt;/p&gt;&lt;p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pre-wrap;"&gt;Cuida-se</w:t>
            </w:r>
            <w:r>
              <w:rPr>
                <w:spacing w:val="-18"/>
                <w:sz w:val="20"/>
              </w:rPr>
              <w:t> </w:t>
            </w:r>
            <w:r>
              <w:rPr>
                <w:sz w:val="20"/>
              </w:rPr>
              <w:t>de&lt;/span&gt;</w:t>
            </w:r>
          </w:p>
          <w:p>
            <w:pPr>
              <w:pStyle w:val="TableParagraph"/>
              <w:spacing w:line="208" w:lineRule="auto" w:before="0"/>
              <w:ind w:right="28"/>
              <w:rPr>
                <w:sz w:val="20"/>
              </w:rPr>
            </w:pPr>
            <w:r>
              <w:rPr>
                <w:sz w:val="20"/>
              </w:rPr>
              <w:t>&lt;span style="font-size: 12pt; font-family: 'Times New Roman',serif; color: #000000; background-color: transparent; font-weight: 400; font-style: normal; font-variant: normal; text-decoration: none; vertical-align: baseline; white-space: pre-wrap;"&gt; &lt;strong&gt;Recursos de Apelação Cível&lt;/strong&gt;&lt;/span&gt; &lt;span style="font-size: 12pt; font-family: 'Times New Roman',serif; color: #000000; background-color: transparent; font-weight: 400; font-style: normal; font-variant: normal; text-decoration: none; vertical-align: baseline; white-space: pre-wrap;"&gt;apresentados por&lt;/span&gt;&lt;span style="font-size: 12pt; font-family: 'Times New Roman',serif; color: #000000; background-color: transparent; font-weight: 400; font-style: normal; font-variant: normal; text-decoration: none; vertical-align: baseline; white-space: pre-wrap;"&gt; &lt;strong&gt;Juliézio Carlos Batista de Lima&lt;/strong&gt;&lt;/span&gt; &lt;span style="font- size: 12pt; font-family: 'Times New Roman',serif; color: #000000; background-color: transparent; font-weight: 400; font-style: normal; font-variant: normal; text-decoration: none; vertical-align: baseline; white-space: pre-wrap;"&gt;e&lt;/span&gt; &lt;span style="font-size: 12pt; font-family: 'Times New Roman',serif; color: #000000; background-color: transparent; font- weight: 400; font-style: normal; font-variant: normal; text-decoration: none; vertical-align: baseline; white-space: pre-wrap;"&gt; &lt;strong&gt;Mercado Pago Instituição de Pagamento Ltda.&lt;/strong&gt;&lt;/span&gt;&lt;span style="font-size: 12pt; font-family: 'Times New Roman',serif; color: #000000; background-color: transparent; font-weight: 400; font-style: normal; font- variant: normal; text-decoration: none; vertical-align: baseline; white-space: pre-wrap;"&gt;, com o fim de reformar sentença prolatada pelo douto&lt;/span&gt; &lt;span style="font-size: 12pt; font-family: 'Times New Roman',serif; color: #000000; background-color: transparent; font- weight: 400; font-style: normal; font-variant: normal; text-decoration: none; vertical-align: baseline; white-space: pre-wrap;"&gt; &lt;strong&gt;Juiz de Direito da Vara Única da Comarca de Pereiro&lt;/strong&gt;&lt;/span&gt;&lt;span style="font-size: 12pt; font-family: 'Times New Roman',serif; color: #000000; background-color: transparent; font-weight: 400; font-style: normal; font- variant: normal; text-decoration: none; vertical-align: baseline; white-space: pre-wrap;"&gt;, quando do julgamento da&lt;/span&gt;&lt;span style="font-size: 12pt; font-family: 'Times New Roman',serif; color: #000000; background-color: transparent; font-weight: 400; font-style: normal; font-variant: normal; text-decoration: none; vertical-align: baseline; white-space: pre-wrap;"&gt; &lt;strong&gt;Ação Declaratória de Inexistência de Débito c/c Reparação de Danos Morais e Materiais&lt;/strong&gt;&lt;/span&gt;&lt;span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0"/>
              <w:rPr>
                <w:sz w:val="20"/>
              </w:rPr>
            </w:pPr>
            <w:r>
              <w:rPr>
                <w:sz w:val="20"/>
              </w:rPr>
              <w:t>Roman',serif; color: #000000; background-color: transparent; font-weight: 400; font-style: normal; font-variant: normal; text-decoration: none; vertical-align: baseline; white-space: pre-wrap;"&gt;.&lt;/span&gt;&lt;/p&gt;&lt;p style="line-height: 1.7999999999999998; text-indent: 70.86614173228347pt; text-align: justify; margin-top: 12pt; margin-bottom: 12pt;"</w:t>
            </w:r>
            <w:r>
              <w:rPr>
                <w:spacing w:val="-17"/>
                <w:sz w:val="20"/>
              </w:rPr>
              <w:t> </w:t>
            </w:r>
            <w:r>
              <w:rPr>
                <w:sz w:val="20"/>
              </w:rPr>
              <w:t>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pre-wrap;"&gt;Segue o dispositivo da decisão impugnada (ID 28766584):&lt;/span&gt;&lt;/p&gt;&lt;p style="line-height: 1.8; text-indent: 70.8661pt; text-align: justify; margin-top: 12pt; margin-bottom: 12pt; padding-left: 120px;" dir="ltr"&gt;&lt;span style="font-size: 12pt; font-family: 'Times New Roman',serif; color: </w:t>
            </w:r>
            <w:r>
              <w:rPr>
                <w:spacing w:val="-3"/>
                <w:sz w:val="20"/>
              </w:rPr>
              <w:t>#000000; </w:t>
            </w:r>
            <w:r>
              <w:rPr>
                <w:sz w:val="20"/>
              </w:rPr>
              <w:t>background-color: transparent; font-weight: 700; font-style: italic; font-variant: normal; text- decoration: none; vertical-align: baseline; white-space: pre-wrap;"&gt;"DISPOSITIVO&lt;/span&gt;</w:t>
            </w:r>
          </w:p>
          <w:p>
            <w:pPr>
              <w:pStyle w:val="TableParagraph"/>
              <w:spacing w:line="208" w:lineRule="auto" w:before="0"/>
              <w:ind w:right="142"/>
              <w:rPr>
                <w:sz w:val="20"/>
              </w:rPr>
            </w:pPr>
            <w:r>
              <w:rPr>
                <w:sz w:val="20"/>
              </w:rPr>
              <w:t>&lt;span style="font-size: 12pt; font-family: 'Times New Roman',serif; color: #000000; background-color: transparent; font-weight: 400; font-style: italic; font-variant: normal; text- decoration: none; vertical-align: baseline; white-space: pre-wrap;"&gt;Posto isso,&lt;/span&gt;</w:t>
            </w:r>
          </w:p>
          <w:p>
            <w:pPr>
              <w:pStyle w:val="TableParagraph"/>
              <w:spacing w:line="208" w:lineRule="auto" w:before="0"/>
              <w:ind w:right="20"/>
              <w:rPr>
                <w:sz w:val="20"/>
              </w:rPr>
            </w:pPr>
            <w:r>
              <w:rPr>
                <w:sz w:val="20"/>
              </w:rPr>
              <w:t>&lt;span style="font-size: 12pt; font-family: 'Times New Roman',serif; color: #000000; background-color: transparent; font-weight: 700; font-style: italic; font-variant: normal; text- decoration: none; vertical-align: baseline; white-space: pre-wrap;"&gt;JULGO PARCIALMENTE PROCEDENTES&lt;/span&gt;&lt;span style="font-size: 12pt; font-family: 'Times New Roman',serif; color: #000000; background-color: transparent; font-weight: 400; font- style: italic; font-variant: normal; text-decoration: none; vertical-align: baseline; white-space: pre-wrap;"&gt;, os pedidos formulados pelo autor, o que o faço com resolução do mérito, nos termos do art. 487 do CPC, para:&lt;/span&gt; &lt;span style="font-size: 12pt; font-family: 'Times New Roman',serif; color: #000000; background-color: transparent; font-weight: 700; font- style: italic; font-variant: normal; text-decoration: none; vertical-align: baseline; white-space: pre-wrap;"&gt;i) condenar&lt;/span&gt; &lt;span style="font-size: 12pt; font-family: 'Times New Roman',serif; color: #000000; background-color: transparent; font-weight: 400; font-style: italic; font-variant: normal; text-decoration: none; vertical-align: baseline; white-space: pre- wrap;"&gt;a promovida à restituição do valor de R$ 9.461,00 (nove mil, quatrocentos e sessenta e um reais), na forma simples, com correção pelo INPC e juros remuneratórios de 1% ao mês desde a ocorrência do ato ilícito;&lt;/span&gt; &lt;span style="font-size: 12pt; font- family: 'Times New Roman',serif; color: #000000; background-color: transparent; font- weight: 700; font-style: italic; font-variant: normal; text-decoration: none; vertical-align: baseline; white-space: pre-wrap;"&gt;ii) condenar&lt;/span&gt; &lt;span style="font-size: 12pt; font- family: 'Times New Roman',serif; color: #000000; background-color: transparent; font- weight: 400; font-style: italic; font-variant: normal; text-decoration: none; vertical-align: baseline; white-space: pre-wrap;"&gt;a promovida ao pagamento de indenização por danos morais no valor de R$ 1.000,00 (mil reais), em favor do autor, corrigido monetariamente pelo INPC, a partir desta data, e acrescido de juros de um por cento ao mês, desde a citação. Em razão da sucumbência, condeno a promovida ao pagamento das custas processuais. Quanto aos honorários advocatícios, arbitro-os em 10% sobre o valor total da condenação."&lt;/span&gt;&lt;/p&gt;&lt;p style="line-height: 1.7999999999999998; text-indent: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 &lt;strong&gt;O autor, em suas razões de ID 28766588&lt;/strong&gt;&lt;/span&gt;&lt;span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assevera que: diante da inconsistência da sentença proferida, a qual reconhece falha na segurança dos correntistas, bem como reconhece grande quantidade de transações financeiras fraudulentas ocasionou transtornos que ultrapassaram, em muito, o mero aborrecimento, mormente pelas quantias envolvidas e pela diversidade de aplicações ocorridas, mas fixa a reparação em apenas R$ 1.000,00. Diante disso requer que seja majorado o&lt;/span&gt; &lt;span style="font-size: 12pt; font-family: 'Times New Roman',serif; color: #000000; background-color: transparent; font-weight: 400; font-style: italic; font-variant: normal; text-decoration: none; vertical-align: baseline; white-space: pre- wrap;"&gt;quantum&lt;/span&gt; &lt;span style="font-size: 12pt; font-family: 'Times New Roman',serif; color: #000000; background-color: transparent; font-weight: 400; font-style: normal; font-variant: normal; text-decoration: none; vertical-align: baseline; white-space: pre-wrap;"&gt;indenizatório em valor proporcional as peculiaridades do caso, e que seja condenado o recorrido ao pagamento das custas processuais, bem como em honorários advocatícios majorados para o percentual de 20% (vinte por cento) do valor da condenação, nos termos do art. 85, § 2º do Código de Processo Civil.&lt;/span&gt;&lt;/p&gt;&lt;p style="line-height: 1.7999999999999998; text-indent: 70.86614173228347pt; text-align: justify; margin-top: 12pt; margin-bottom: 12pt;" dir="ltr"&gt;&lt;span style="font-size: 12pt; font- family: 'Times New Roman',serif; color: #000000; background-color: transparent; font- weight: 400; font-style: normal; font-variant: normal; text-decoration: none; vertical-align: baseline; white-space: pre-wrap;"&gt; &lt;strong&gt;Ao seu tempo, a empresa sustenta&lt;/strong&gt;&lt;/span&gt; &lt;span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Roman',serif; color: #000000; background-color: transparent; font-weight: 400; font-style: normal; font-variant: normal; text-decoration: none; vertical-align: baseline; white-space: pre-wrap;"&gt;serem descabidas as alegações de que vige a responsabilidade objetiva ao caso, seja porque a relação em questão não se trata de relação especial de consumo, seja porque a atividade desempenhada pela recorrente não se enquadra no âmbito de aplicação da responsabilidade objetiva. Enfatiza que o dano reclamado pela parte apelada se deu em razão da culpa exclusiva da vítima que descuidou de seus dados e não pode ser atribuída ao Mercado Livre ou ao Mercado Pago qualquer responsabilidade pelos fatos narrados nos autos. Requer a reforma da sentença para que sejam julgados improcedentes os pedidos da inicial, ou, subsidiariamente, que seja reduzido o valor da condenação (ID 28766598).&lt;/span&gt;&lt;/p&gt;&lt;p style="line-height: 1.7999999999999998; text- 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 &lt;strong&gt;O promovente apresentou contraminuta ao apelo da empresa ao ID 28766604&lt;/strong&gt;&lt;/span&gt;&lt;span style="font-size: 12pt; font-family: 'Times New Roman',serif; color: #000000; background-color: transparent; font-weight: 400; font-style: normal; font-variant: normal; text-decoration: none; vertical-align: baseline; white-space: pre-wrap;"&gt;. Roga para que seja mantida a sentença de primeiro grau quanto ao mérito que julgou procedente a ação para reconhecer a fraude, e condenar o banco em dano moral e material, reformando-a tão somente para majorar o&lt;/span&gt; &lt;span style="font-size: 12pt; font-family: 'Times New Roman',serif; color: #000000; background-color: transparent; font-weight: 400; font-style: italic; font-variant: normal; text-decoration: none; vertical-align: baseline; white-space: pre-wrap;"&gt;quantum&lt;/span&gt; &lt;span style="font-size: 12pt; font- family: 'Times New Roman',serif; color: #000000; background-color: transparent; font- weight: 400; font-style: normal; font-variant: normal; text-decoration: none; vertical-align: baseline; white-space: pre-wrap;"&gt;indenizatório, em razão da gravidade do fato, bem como a devolução dobrada do indébito nos termos legais.&lt;/span&gt;&lt;/p&gt;&lt;p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pre-wrap;"&gt;Devidamente intimada via Diário da Justiça Eletrônica, a ré não se se manifestou sobre o apelo do autor (certidão de id 132827330 - Pje 1ºgrau).&lt;/span&gt;&lt;/p&gt;&lt;p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pre-wrap;"&gt;Por se tratar de questão de direito eminentemente patrimonial, deixei de enviar os autos à Digna Procuradoria Geral de Justiça.&lt;/span&gt;</w:t>
            </w:r>
          </w:p>
          <w:p>
            <w:pPr>
              <w:pStyle w:val="TableParagraph"/>
              <w:tabs>
                <w:tab w:pos="1327" w:val="left" w:leader="none"/>
                <w:tab w:pos="5631" w:val="left" w:leader="none"/>
                <w:tab w:pos="6556" w:val="left" w:leader="none"/>
              </w:tabs>
              <w:spacing w:line="208" w:lineRule="auto" w:before="0"/>
              <w:ind w:right="120"/>
              <w:rPr>
                <w:sz w:val="20"/>
              </w:rPr>
            </w:pPr>
            <w:r>
              <w:rPr>
                <w:sz w:val="20"/>
              </w:rPr>
              <w:t>&lt;span style="font-size: small; text-align: center;"&gt;&amp;#160;&lt;/span&gt;&lt;/p&gt;&lt;p style="line-height: 1.7999999999999998; text-indent: 70.86614173228347pt; text-align: justify; margin-top: 12pt; margin-bottom: 12pt;" dir="ltr"&gt; &lt;span style="font-size: 12pt; font-family: 'Times </w:t>
            </w:r>
            <w:r>
              <w:rPr>
                <w:spacing w:val="-6"/>
                <w:sz w:val="20"/>
              </w:rPr>
              <w:t>New </w:t>
            </w:r>
            <w:r>
              <w:rPr>
                <w:sz w:val="20"/>
              </w:rPr>
              <w:t>Roman',serif; color: #000000; background-color: transparent; font-weight: 400; font-style: normal; font-variant: normal; text-decoration: none; vertical-align: baseline; white-space: pre-wrap;"&gt;É o relatório.&lt;/span&gt;&lt;/p&gt;&lt;p style="line-height: 1.7999999999999998; text- indent: 70.86614173228347pt; text-align: justify; margin-top: 12pt; margin-bottom: 12pt;" dir="ltr"&gt;  &lt;strong style="font-size: small; text-align: center;"&gt;</w:t>
              <w:tab/>
              <w:t>&lt;span style="font-size: medium;"&gt;</w:t>
              <w:tab/>
              <w:t>&lt;span style="font-family: &amp;quot;times new roman&amp;quot;, times;"&gt;&amp;#160; &amp;#160; &amp;#160; &amp;#160; &amp;#160; &amp;#160; &amp;#160; &amp;#160; &amp;#160; &amp;#160; &amp;#160; &amp;#160; &amp;#160; &amp;#160; &amp;#160; &amp;#160; &amp;#160; &amp;#160; &amp;#160; &amp;#160; &amp;#160; &amp;#160; &amp;#160; &amp;#160; &amp;#160; &amp;#160; &amp;#160; &amp;#160; &amp;#160; &amp;#160; &amp;#160;&lt;/span&gt;</w:t>
              <w:tab/>
              <w:t>&lt;span</w:t>
            </w:r>
          </w:p>
          <w:p>
            <w:pPr>
              <w:pStyle w:val="TableParagraph"/>
              <w:tabs>
                <w:tab w:pos="3705" w:val="left" w:leader="none"/>
              </w:tabs>
              <w:spacing w:line="208" w:lineRule="auto" w:before="0"/>
              <w:ind w:right="42"/>
              <w:rPr>
                <w:sz w:val="20"/>
              </w:rPr>
            </w:pPr>
            <w:r>
              <w:rPr>
                <w:sz w:val="20"/>
              </w:rPr>
              <w:t>style="font-size: large;"&gt;VOTO&lt;/span&gt;</w:t>
              <w:tab/>
              <w:t>&lt;/span&gt; &lt;/strong&gt;&lt;/p&gt;&lt;p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pre-wrap;"&gt;Os recursos são tempestivos e presentes os demais pressupostos intrínsecos e extrínsecos de admissibilidade. Portanto, conheço de ambos os apelos.&lt;/span&gt;&lt;/p&gt;&lt;p style="line-height: 1.7999999999999998; text-indent: 70.86614173228347pt; text-align: justify; margin-top: 12pt; margin-bottom: 12pt;" dir="ltr"&gt;&lt;span style="font-size: 12pt; font- family: 'Times New Roman',serif; color: #000000; background-color: transparent; font- weight: 400; font-style: normal; font-variant: normal; text-decoration: none; vertical-align: baseline; white-space: pre-wrap;"&gt;No primeiro grau, o Sr. Juliézio Carlos Batista de Lima narra na inicial que tem uma conta&lt;/span&gt; &lt;span style="font-size: 12pt; font-family: 'Times New Roman',serif; color: #000000; background-color: transparent; font-weight: 400; font- style: italic; font-variant: normal; text-decoration: none; vertical-align: baseline; </w:t>
            </w:r>
            <w:r>
              <w:rPr>
                <w:spacing w:val="-2"/>
                <w:sz w:val="20"/>
              </w:rPr>
              <w:t>white-space: </w:t>
            </w:r>
            <w:r>
              <w:rPr>
                <w:sz w:val="20"/>
              </w:rPr>
              <w:t>pre-wrap;"&gt;online&lt;/span&gt; &lt;span style="font-size: 12pt; font-family: 'Times New Roman',serif; color: #000000; background-color: transparent; font-weight: 400; font-style: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normal; font-variant: normal; text-decoration: none; vertical-align: baseline; white-space: pre-wrap;"&gt;no banco Mercado Pago, no qual realiza transações e utiliza o trabalho de cartão de crédito. Ocorre que no dia 26 de junho de 2022, após as 22:00 da noite da noite, o autor recebeu uma mensagem automática em seu aplicativo, de tentativa de uso do cartão de crédito, no qual dizia que “alguém" havia tentado fazer um Pix desta conta, não tendo autorizado essa operação. Ato contínuo, o autor recebeu um&lt;/span&gt; &lt;span style="font-size: 12pt; font-family: 'Times New Roman',serif; color: #000000; background- color: transparent; font-weight: 400; font-style: normal; font-variant: normal; text-decoration: none; vertical-align: baseline; white-space: pre-wrap;"&gt; &lt;em&gt;sms&lt;/em&gt;&lt;/span&gt; &lt;span style="font-size: 12pt; font-family: 'Times New Roman',serif; color: #000000; background- color: transparent; font-weight: 400; font-style: normal; font-variant: normal; text-decoration: none; vertical-align: baseline; white-space: pre-wrap;"&gt;e um&lt;/span&gt;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 &lt;em&gt;e-mail&lt;/em&gt;&lt;/span&gt;&lt;span style="font-size: 12pt; font-family: 'Times New Roman',serif; color: #000000; background- color: transparent; font-weight: 400; font-style: normal; font-variant: normal; text-decoration: none; vertical-align: baseline; white-space: pre-wrap;"&gt;, comunicando o acesso na conta, momento em que o mesmo ligou para a central de atendimento, noticiando o ocorrido, que não teria sido o mesmo a acessar a conta e solicitando a tomada de providência. Desse modo, ainda a noite, mais precisamente às 12:08 da noite, o banco retornou com um&lt;/span&gt; &lt;span style="font-size: 12pt; font-family: 'Times New Roman',serif; color: #000000; background-color: transparent; font-weight: 400; font-style: normal; font-variant: normal; text-decoration: none; vertical-align: baseline; white-space: pre-wrap;"&gt; &lt;em&gt;e- mail&lt;/em&gt;&lt;/span&gt; &lt;span style="font-size: 12pt; font-family: 'Times New Roman',serif; color: #000000; background-color: transparent; font-weight: 400; font-style: normal; font- variant: normal; text-decoration: none; vertical-align: baseline; white-space: pre- wrap;"&gt;informando que no máximo em 48 horas o autor voltaria a ter acesso a conta.</w:t>
            </w:r>
          </w:p>
          <w:p>
            <w:pPr>
              <w:pStyle w:val="TableParagraph"/>
              <w:spacing w:line="208" w:lineRule="auto" w:before="0"/>
              <w:ind w:right="42"/>
              <w:rPr>
                <w:sz w:val="20"/>
              </w:rPr>
            </w:pPr>
            <w:r>
              <w:rPr>
                <w:sz w:val="20"/>
              </w:rPr>
              <w:t>Passado o prazo das 48 horas, desbloqueou a conta, reativou o acesso do autor pelo aplicativo, com nova senha, sob a afirmação de que o mesmo já poderia utilizar com tranquilidade. Contudo, após a liberação da conta, constou o autor que várias transações teriam sido realizadas por terceiros, quais sejam: Uma compra no valor de R$ 1.700,00 (um mil e setecentos reais), no MP. VENDAS, e um pagamento em Aline Tavares, no </w:t>
            </w:r>
            <w:r>
              <w:rPr>
                <w:spacing w:val="-4"/>
                <w:sz w:val="20"/>
              </w:rPr>
              <w:t>valor </w:t>
            </w:r>
            <w:r>
              <w:rPr>
                <w:sz w:val="20"/>
              </w:rPr>
              <w:t>de R$ 5.000,00 (cinco mil reais), e pagamento de duas faturas no valor de R$ 1.323,00 (um mil, trezentos e vinte e três reis), e R$ 1.438,00 (um mil, quatrocentos e trinta e oito reais), totalizando um prejuízo de R$ 9.461,00 (nove mil, quatrocentos e sessenta e um reais). Por estar sendo cobrado de uma dívida que não contraiu, além dos valores que lhe foram subtraídos, o requerente pede ao Judiciário que condene a empresa requerida a indenizá-lo pelos danos morais e materiais que alega ter suportado.&lt;/span&gt;&lt;/p&gt;&lt;p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pre-wrap;"&gt;Contestação da promovida consta ao id 28766564.</w:t>
            </w:r>
          </w:p>
          <w:p>
            <w:pPr>
              <w:pStyle w:val="TableParagraph"/>
              <w:spacing w:line="208" w:lineRule="auto" w:before="0"/>
              <w:rPr>
                <w:sz w:val="20"/>
              </w:rPr>
            </w:pPr>
            <w:r>
              <w:rPr>
                <w:sz w:val="20"/>
              </w:rPr>
              <w:t>Afirma na oportunidade que não há qualquer prova nos autos de que tenha havido falha ou defeito na prestação dos serviços pela parte ré, ônus comprobatório que incumbia à parte autora, sendo certo que as alegações exaradas na petição inicial são verdadeiras presunções que não devem subsistir, e; o dever de guarda das senhas e códigos, bem como da integridade de segurança dos dispositivos que acessam às contas, é inteiramente do usuário, conforme expressamente previsto dos Termos e condições gerais de uso do Mercado Livre. Requer a improcedência dos pleitos autorais.&lt;/span&gt;&lt;/p&gt;&lt;p style="line- height: 1.7999999999999998; text-indent: 70.86614173228347pt; text-align: justify; margin- top: 12pt; margin-bottom: 12pt;" dir="ltr"&gt; &lt;span style="font-size: 12pt; font-family: 'Times New Roman',serif; color: #000000; background-color: transparent; font-weight: 400; font- style: normal; font-variant: normal; text-decoration: none; vertical-align: baseline; white- space: pre-wrap;"&gt;Réplica à contestação ao id 28766572. Ratifica o autor que foi diligente, acionou o requerido a tempo, para que o mesmo pudesse impedir o prejuízo, mas, o requerido nada fez, não cumpriu o seu dever mínimo de zelar pelos dados e fornecer segurança aos seus usuários. Requer que seja acolhido o pleito autoral na íntegra.&lt;/span&gt;&lt;/p&gt;&lt;p style="line-height: 1.7999999999999998; text-indent: 70.86614173228347pt; text-align: justify; margin-top: 12pt; margin-bottom: 12pt;" dir="ltr"&gt;</w:t>
            </w:r>
          </w:p>
          <w:p>
            <w:pPr>
              <w:pStyle w:val="TableParagraph"/>
              <w:tabs>
                <w:tab w:pos="3329" w:val="left" w:leader="none"/>
              </w:tabs>
              <w:spacing w:line="208" w:lineRule="auto" w:before="0"/>
              <w:ind w:right="214"/>
              <w:rPr>
                <w:sz w:val="20"/>
              </w:rPr>
            </w:pPr>
            <w:r>
              <w:rPr>
                <w:sz w:val="20"/>
              </w:rPr>
              <w:t>&lt;span style="font-size: 12pt; font-family: 'Times New Roman',serif; color: #000000; background-color: transparent; font-weight: 400; font-style: normal; font-variant: normal; text-decoration: none; vertical-align: baseline; white-space: pre-wrap;"&gt;Sem produção de provas, sobreveio a sentença de parcial procedência ora impugnada.&lt;/span&gt;&lt;/p&gt;&lt;p style="line-height: 1.7999999999999998; text-indent: 70.86614173228347pt; text-align: justify; margin-top: 12pt; margin-bottom: 0pt;" dir="ltr"&gt; &lt;span style="font-size: 12pt; </w:t>
            </w:r>
            <w:r>
              <w:rPr>
                <w:spacing w:val="-4"/>
                <w:sz w:val="20"/>
              </w:rPr>
              <w:t>font- </w:t>
            </w:r>
            <w:r>
              <w:rPr>
                <w:sz w:val="20"/>
              </w:rPr>
              <w:t>family: 'Times New Roman',serif; color: #000000; background-color: transparent; font- weight: 400; font-style: normal; font-variant: normal; text-decoration: none; vertical-align: baseline; white-space: pre-wrap;"&gt;</w:t>
              <w:tab/>
              <w:t>&lt;strong&gt;1. Do apelo do MERCADO PAGO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9"/>
              <w:rPr>
                <w:sz w:val="20"/>
              </w:rPr>
            </w:pPr>
            <w:r>
              <w:rPr>
                <w:sz w:val="20"/>
              </w:rPr>
              <w:t>(Responsabilidade Civil e dever de indenizar).&lt;/strong&gt; &lt;/span&gt;&lt;/p&gt;&lt;p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 controvérsia principal reside na determinação da responsabilidade da instituição financeira Mercado Pago pelos prejuízos causados ao consumidor em razão das transações fraudulentas.&lt;/span&gt;&lt;/p&gt;&lt;p style="line-height: 1.7999999999999998; text- 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pre-wrap;"&gt;É inegável que a relação jurídica estabelecida entre as partes é de consumo, nos termos dos arts. 2º e 3º </w:t>
            </w:r>
            <w:r>
              <w:rPr>
                <w:spacing w:val="-9"/>
                <w:sz w:val="20"/>
              </w:rPr>
              <w:t>da </w:t>
            </w:r>
            <w:r>
              <w:rPr>
                <w:sz w:val="20"/>
              </w:rPr>
              <w:t>Lei nº 8.078/90 (CDC). À luz da legislação consumerista, o fornecedor de serviços responde objetivamente pelos danos causados por defeitos relativos à prestação dos serviços (Art. 14,&lt;/span&gt; &lt;span style="font-size: 12pt; font-family: 'Times New Roman',serif; color: #000000; background-color: transparent; font-weight: 400; font-style: italic; font-variant: normal; text-decoration: none; vertical-align: baseline; white-space: pre- wrap;"&gt;caput&lt;/span&gt;&lt;span style="font-size: 12pt; font-family: 'Times New Roman',serif; color: #000000; background-color: transparent; font-weight: 400; font-style: normal; font- variant: normal; text-decoration: none; vertical-align: baseline; white-space: pre-wrap;"&gt;, CDC).&lt;/span&gt;&lt;/p&gt;&lt;p style="line-height: 1.7999999999999998; text-indent: 70.86614173228347pt; text-align: justify; margin-top: 12pt; margin-bottom: 0pt;" dir="ltr"&gt;</w:t>
            </w:r>
          </w:p>
          <w:p>
            <w:pPr>
              <w:pStyle w:val="TableParagraph"/>
              <w:spacing w:line="208" w:lineRule="auto" w:before="0"/>
              <w:ind w:right="32"/>
              <w:rPr>
                <w:sz w:val="20"/>
              </w:rPr>
            </w:pPr>
            <w:r>
              <w:rPr>
                <w:sz w:val="20"/>
              </w:rPr>
              <w:t>&lt;span style="font-size: 12pt; font-family: 'Times New Roman',serif; color: #000000; background-color: transparent; font-weight: 400; font-style: normal; font-variant: normal; text-decoration: none; vertical-align: baseline; white-space: pre-wrap;"&gt;A apelante </w:t>
            </w:r>
            <w:r>
              <w:rPr>
                <w:spacing w:val="-3"/>
                <w:sz w:val="20"/>
              </w:rPr>
              <w:t>Mercado </w:t>
            </w:r>
            <w:r>
              <w:rPr>
                <w:sz w:val="20"/>
              </w:rPr>
              <w:t>Pago alega que a fraude decorreu de culpa exclusiva da vítima ou de terceiro, configurando fortuito externo, o que afastaria o nexo de causalidade (Art. 14, § 3º, II, CDC).&lt;/span&gt;&lt;/p&gt;&lt;p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pre-wrap;"&gt;Contudo, a jurisprudência consolidada do STJ define que fraudes e delitos praticados por terceiros no âmbito das operações bancárias, como é o caso de acessos e transações não autorizadas, configuram fortuito interno. O&lt;/span&gt; &lt;span style="font-size: 12pt; font-family: 'Times New Roman',serif; color: #000000; background-color: transparent; font-weight: 400; font-style: italic; font-variant: normal; text-decoration: none; vertical-align: baseline; white- space: pre-wrap;"&gt;fortuito interno&lt;/span&gt; &lt;span style="font-size: 12pt; font-family: 'Times New Roman',serif; color: #000000; background-color: transparent; font-weight: 400; font- style: normal; font-variant: normal; text-decoration: none; vertical-align: baseline; white- space: pre-wrap;"&gt;é aquele fato que se liga à própria atividade do agente (serviço bancário/pagamento eletrônico), inserindo-se nos riscos do empreendimento&lt;/span&gt;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pre-wrap;"&gt;(&lt;/span&gt;&lt;span style="font-size: 12pt; font-family: 'Times New Roman',serif; color: #000000; background- color: transparent; font-weight: 400; font-style: italic; font-variant: normal; text-decoration: none; vertical-align: baseline; white-space: pre-wrap;"&gt;risco da atividade&lt;/span&gt;&lt;span style="font-size: 12pt; font-family: 'Times New Roman',serif; color: #000000; background- color: transparent; font-weight: 400; font-style: normal; font-variant: normal; text-decoration: none; vertical-align: baseline; white-space: pre-wrap;"&gt;)&lt;/span&gt; &lt;span style="font-size: 12pt; font-family: 'Times New Roman',serif; color: #000000; background-color: transparent; font-weight: 400; font-style: normal; font-variant: normal; text-decoration: none; vertical- align: baseline; white-space: pre-wrap;"&gt;e, portanto, não tem o condão de excluir a responsabilidade objetiva.&lt;/span&gt;&lt;/p&gt;&lt;p style="line-height: 1.7999999999999998; text- 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pre-wrap;"&gt;Neste sentido, é imperativa a aplicação da Súmula 479 do STJ:&lt;/span&gt; &lt;span style="font-size: 12pt; font- family: 'Times New Roman',serif; color: #000000; background-color: transparent; font- weight: 400; font-style: normal; font-variant: normal; text-decoration: none; vertical-align: baseline; white-space: pre-wrap;"&gt; &lt;em&gt;“As instituições financeiras respondem objetivamente pelos danos gerados por fortuito interno relativo a fraudes e delitos praticados por terceiros no âmbito de operações bancárias”&lt;/em&gt;&lt;/span&gt;&lt;span style="font-size: 12pt; font-family: 'Times New Roman',serif; color: #000000; background- color: transparent; font-weight: 400; font-style: normal; font-variant: normal; text-decoration: none; vertical-align: baseline; white-space: pre-wrap;"&gt;.&lt;/span&gt;&lt;/p&gt;&lt;p style="line-height: 1.7999999999999998; text-indent: 70.86614173228347pt; text-align: justify; margin-top: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12pt; margin-bottom: 0pt;" dir="ltr"&gt; &lt;span style="font-size: 12pt; font-family: 'Times New Roman',serif; color: #000000; background-color: transparent; font-weight: 400; font-style: normal; font-variant: normal; text-decoration: none; vertical-align: baseline; white-space: pre-wrap;"&gt;Ademais, a prova dos autos revela que o promovente, após notar a tentativa </w:t>
            </w:r>
            <w:r>
              <w:rPr>
                <w:spacing w:val="-9"/>
                <w:sz w:val="20"/>
              </w:rPr>
              <w:t>de </w:t>
            </w:r>
            <w:r>
              <w:rPr>
                <w:sz w:val="20"/>
              </w:rPr>
              <w:t>uso do cartão, comunicou a central de atendimento, solicitando providências, mas as operações fraudulentas ocorreram mesmo após esta notificação e a promessa de solução em 48 horas. O fornecedor não se desincumbiu do ônus de provar a inexistência do </w:t>
            </w:r>
            <w:r>
              <w:rPr>
                <w:spacing w:val="-3"/>
                <w:sz w:val="20"/>
              </w:rPr>
              <w:t>defeito </w:t>
            </w:r>
            <w:r>
              <w:rPr>
                <w:sz w:val="20"/>
              </w:rPr>
              <w:t>ou a culpa exclusiva do consumidor (Art. 14, § 3º, CDC).&lt;/span&gt;&lt;/p&gt;&lt;p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pre-wrap;"&gt;Portanto, resta configurada a falha na prestação do serviço, impondo-se o dever de reparar os danos, conforme acertadamente reconhecido na sentença.&lt;/span&gt;&lt;/p&gt;&lt;p style="line-height: 1.7999999999999998; text-indent: 70.86614173228347pt; text-align: justify; margin-top: 12pt; margin-bottom: 0pt;" dir="ltr"&gt;</w:t>
            </w:r>
          </w:p>
          <w:p>
            <w:pPr>
              <w:pStyle w:val="TableParagraph"/>
              <w:spacing w:line="208" w:lineRule="auto" w:before="0"/>
              <w:ind w:right="108"/>
              <w:rPr>
                <w:sz w:val="20"/>
              </w:rPr>
            </w:pPr>
            <w:r>
              <w:rPr>
                <w:sz w:val="20"/>
              </w:rPr>
              <w:t>&lt;span style="font-size: 12pt; font-family: 'Times New Roman',serif; color: #000000; background-color: transparent; font-weight: 400; font-style: normal; font-variant: normal; text-decoration: none; vertical-align: baseline; white-space: pre-wrap;"&gt;A Mercado Pago alega ainda que os juros de mora sobre o dano moral deveriam incidir a partir do arbitramento (sentença), e não da citação.&lt;/span&gt;&lt;/p&gt;&lt;p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pre-wrap;"&gt;Acontece que o&lt;/span&gt; &lt;span style="background-color: transparent; font- family: &amp;quot;Times New Roman&amp;quot;, serif; font-size: 12pt; white-space-collapse: preserve; text-indent: 70.8661pt;"&gt;entendimento pacífico no Tribunal da Cidadania é de que, em casos de responsabilidade contratual (como é a falha na prestação de serviço bancário, enquadrada como contratual por vício/fato do serviço), os juros de mora </w:t>
            </w:r>
            <w:r>
              <w:rPr>
                <w:spacing w:val="-3"/>
                <w:sz w:val="20"/>
              </w:rPr>
              <w:t>incidem </w:t>
            </w:r>
            <w:r>
              <w:rPr>
                <w:sz w:val="20"/>
              </w:rPr>
              <w:t>a partir da citação (Art. 405 do Código Civil). A incidência a partir do arbitramento </w:t>
            </w:r>
            <w:r>
              <w:rPr>
                <w:spacing w:val="-3"/>
                <w:sz w:val="20"/>
              </w:rPr>
              <w:t>(Súmula </w:t>
            </w:r>
            <w:r>
              <w:rPr>
                <w:sz w:val="20"/>
              </w:rPr>
              <w:t>362 do STJ) aplica-se apenas aos casos de responsabilidade extracontratual.&lt;/span&gt;&lt;/p&gt;&lt;p style="line-height: 1.7999999999999998; text-indent: 70.86614173228347pt; text-align: justify; margin-top: 12pt; margin-bottom: 0pt;" dir="ltr"&gt;</w:t>
            </w:r>
          </w:p>
          <w:p>
            <w:pPr>
              <w:pStyle w:val="TableParagraph"/>
              <w:spacing w:line="208" w:lineRule="auto" w:before="0"/>
              <w:ind w:right="85"/>
              <w:rPr>
                <w:sz w:val="20"/>
              </w:rPr>
            </w:pPr>
            <w:r>
              <w:rPr>
                <w:sz w:val="20"/>
              </w:rPr>
              <w:t>&lt;span style="background-color: transparent; font-family: &amp;quot;Times New </w:t>
            </w:r>
            <w:r>
              <w:rPr>
                <w:spacing w:val="-2"/>
                <w:sz w:val="20"/>
              </w:rPr>
              <w:t>Roman&amp;quot;, </w:t>
            </w:r>
            <w:r>
              <w:rPr>
                <w:sz w:val="20"/>
              </w:rPr>
              <w:t>serif; font-size: 12pt; white-space-collapse: preserve; text-indent: 70.8661pt;"&gt;Pelo exposto, nego provimento ao recurso da Mercadopago.com Representacoes Ltda.&lt;/span&gt;&lt;/p&gt;&lt;p style="line-height: 1.7999999999999998; text-indent: 70.86614173228347pt; text-align: justify; margin-top: 12pt; margin-bottom: 0pt;" dir="ltr"&gt;</w:t>
            </w:r>
          </w:p>
          <w:p>
            <w:pPr>
              <w:pStyle w:val="TableParagraph"/>
              <w:tabs>
                <w:tab w:pos="6553" w:val="left" w:leader="none"/>
              </w:tabs>
              <w:spacing w:line="208" w:lineRule="auto" w:before="0"/>
              <w:ind w:right="332"/>
              <w:rPr>
                <w:sz w:val="20"/>
              </w:rPr>
            </w:pPr>
            <w:r>
              <w:rPr>
                <w:sz w:val="20"/>
              </w:rPr>
              <w:t>&lt;span style="font-size: 12pt; font-family: 'Times New Roman',serif; color: #000000; background-color: transparent; font-weight: 400; font-style: normal; font-variant: normal; text-decoration: none; vertical-align: baseline; white-space: pre-wrap;"&gt;</w:t>
              <w:tab/>
              <w:t>&lt;strong&gt;2. </w:t>
            </w:r>
            <w:r>
              <w:rPr>
                <w:spacing w:val="-9"/>
                <w:sz w:val="20"/>
              </w:rPr>
              <w:t>Do </w:t>
            </w:r>
            <w:r>
              <w:rPr>
                <w:sz w:val="20"/>
              </w:rPr>
              <w:t>apelo de JULIEZIO CARLOS BATISTA DE LIMA (Majoração do Dano Moral)&lt;/strong&gt;</w:t>
            </w:r>
          </w:p>
          <w:p>
            <w:pPr>
              <w:pStyle w:val="TableParagraph"/>
              <w:spacing w:line="208" w:lineRule="auto" w:before="0"/>
              <w:ind w:right="244"/>
              <w:rPr>
                <w:sz w:val="20"/>
              </w:rPr>
            </w:pPr>
            <w:r>
              <w:rPr>
                <w:sz w:val="20"/>
              </w:rPr>
              <w:t>&lt;/span&gt;&lt;/p&gt;&lt;p style="line-height: 1.7999999999999998; text-indent: 70.86614173228347pt; text-align: justify; margin-top: 12pt; margin-bottom: 0pt;" dir="ltr"&gt;</w:t>
            </w:r>
          </w:p>
          <w:p>
            <w:pPr>
              <w:pStyle w:val="TableParagraph"/>
              <w:spacing w:line="208" w:lineRule="auto" w:before="0"/>
              <w:ind w:right="37"/>
              <w:rPr>
                <w:sz w:val="20"/>
              </w:rPr>
            </w:pPr>
            <w:r>
              <w:rPr>
                <w:sz w:val="20"/>
              </w:rPr>
              <w:t>&lt;span style="font-size: 12pt; font-family: 'Times New Roman',serif; color: #000000; background-color: transparent; font-weight: 400; font-style: normal; font-variant: normal; text-decoration: none; vertical-align: baseline; white-space: pre-wrap;"&gt;O promovente busca a majoração do valor fixado a título de danos morais (R$ 1.000,00), por considerá-lo irrisório e desproporcional à ofensa.&lt;/span&gt;&lt;/p&gt;&lt;p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pre-wrap;"&gt;O dano moral é evidente e inegável, não se tratando de mero aborrecimento cotidiano. O ilícito restou configurado pela violação do dever de segurança e da expectativa de confiabilidade do consumidor.&lt;/span&gt; &lt;span style="background-color: transparent; font-family: &amp;quot;Times New Roman&amp;quot;, serif; font-size: 12pt; white- space-collapse: preserve; text-indent: 70.8661pt;"&gt;É inequívoco que a significativa quantidade de transações financeiras fraudulentas ocasionou transtornos que ultrapassaram, em muito, o mero aborrecimento, principalmente devido às quantias envolvidas (R$ 9.461,00) e à diversidade de aplicações ocorridas. O fato de o consumidor ter seu nome envolvido em operação fraudulenta e sofrer prejuízo financeiro e abalo emocional caracteriza a lesão.&lt;/span&gt;&lt;/p&gt;&lt;p style="line-height: 1.7999999999999998; text-indent: 70.86614173228347pt; text-align: justify; margin-top: 12pt;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pre-wrap;"&gt;A indenização por danos morais não visa apenas a compensação da vítima, mas deve também cumprir uma função punitiva e pedagógica. Este caráter é fundamental nas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6"/>
              <w:rPr>
                <w:sz w:val="20"/>
              </w:rPr>
            </w:pPr>
            <w:r>
              <w:rPr>
                <w:sz w:val="20"/>
              </w:rPr>
              <w:t>relações de consumo, servindo para desestimular a repetição de condutas semelhantes por parte da apelada.&lt;/span&gt;&lt;/p&gt;&lt;p style="line-height: 1.7999999999999998; text-indent: 70.86614173228347pt; text-align: justify; margin-top: 12pt; margin-bottom: 0pt;" dir="ltr"&gt;</w:t>
            </w:r>
          </w:p>
          <w:p>
            <w:pPr>
              <w:pStyle w:val="TableParagraph"/>
              <w:spacing w:line="208" w:lineRule="auto" w:before="0"/>
              <w:ind w:right="32"/>
              <w:rPr>
                <w:sz w:val="20"/>
              </w:rPr>
            </w:pPr>
            <w:r>
              <w:rPr>
                <w:sz w:val="20"/>
              </w:rPr>
              <w:t>&lt;span style="font-size: 12pt; font-family: 'Times New Roman',serif; color: #000000; background-color: transparent; font-weight: 400; font-style: normal; font-variant: normal; text-decoration: none; vertical-align: baseline; white-space: pre-wrap;"&gt;Sopesando-se todas as considerações acima feitas, atento às peculiaridades do caso em questão e ao caráter pedagógico da presente indenização, tem-se que a quantia fixada em primeira instância, qual seja, R$ 1.000,00 (mil reais) a título de indenização por danos morais merece ser majorada para R$ 3.000,00 (três mil reais), em observância aos princípios da proporcionalidade e razoabilidade, considerando-se a gravidade da ofensa e repercussão no patrimônio da vítima.&lt;/span&gt;&lt;/p&gt;&lt;p style="line-height: 1.7999999999999998; text- 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 propósito, vejamos os seguintes indicativos: &amp;#160;&lt;/span&gt;&lt;/p&gt;&lt;p style="line-height: 1.7999999999999998; margin-left: 113.38582677165354pt; text-align: justify; margin-top: 12pt; margin-bottom: 0pt;" dir="ltr"&gt;&lt;span style="font-size: 12pt; font-family: 'Times New Roman',serif; color: #000000; background-color: transparent; font-weight: 400; font-style: normal; font-variant: normal; text-decoration: none; vertical-align: baseline; white-space: pre-wrap;"&gt;DIREITO CIVIL E DO CONSUMIDOR. APELAÇÃO CÍVEL. GOLPE DA FALSA CENTRAL DE ATENDIMENTO. EMPRÉSTIMO FRAUDULENTO E MOVIMENTAÇÃO FINANCEIRA ATÍPICA. FALHA NA PRESTAÇÃO DO SERVIÇO. RESPONSABILIDADE OBJETIVA DAS INSTITUIÇÕES FINANCEIRAS. DANO MORAL CONFIGURADO. REPETIÇÃO DO INDÉBITO EM DOBRO. RECURSOS DE BANCO BRADESCO S/A E MERCADOPAGO.COM REPRESENTAÇÕES LTDA DESPROVIDOS. RECURSO DE ANA BESERRA OLIVEIRA PROVIDO. I. CASO EM EXAME 1. Apelações Cíveis</w:t>
            </w:r>
          </w:p>
          <w:p>
            <w:pPr>
              <w:pStyle w:val="TableParagraph"/>
              <w:spacing w:line="208" w:lineRule="auto" w:before="0"/>
              <w:ind w:right="30"/>
              <w:rPr>
                <w:sz w:val="20"/>
              </w:rPr>
            </w:pPr>
            <w:r>
              <w:rPr>
                <w:sz w:val="20"/>
              </w:rPr>
              <w:t>interpostas por Ana Beserra Oliveira, Banco Bradesco Financiamentos S/A e Mercadopago.com Representações Ltda contra sentença que julgou parcialmente procedentes os pedidos em ação declaratória de inexistência de débito c/c indenização </w:t>
            </w:r>
            <w:r>
              <w:rPr>
                <w:spacing w:val="-6"/>
                <w:sz w:val="20"/>
              </w:rPr>
              <w:t>por </w:t>
            </w:r>
            <w:r>
              <w:rPr>
                <w:sz w:val="20"/>
              </w:rPr>
              <w:t>danos morais e materiais. A autora, idosa e aposentada, foi vítima do golpe da falsa central de atendimento, ocasião em que criminosos contrataram empréstimo fraudulento em seu nome no valor de R$ 89.314,59 e movimentaram os valores por meio de conta aberta indevidamente no Mercado Pago. II. QUESTÃO EM DISCUSSÃO 2. Há três questões em discussão: (i) estabelecer se as instituições financeiras respondem objetivamente por fraudes praticadas por terceiros em ambiente digital; (ii) definir se há responsabilidade por dano moral nas hipóteses de contratação e movimentações não reconhecidas pelo consumidor; e (iii) apurar se a repetição dos valores descontados indevidamente deve ocorrer de forma simples ou em dobro. III. RAZÕES DE DECIDIR 3.</w:t>
            </w:r>
          </w:p>
          <w:p>
            <w:pPr>
              <w:pStyle w:val="TableParagraph"/>
              <w:spacing w:line="208" w:lineRule="auto" w:before="0"/>
              <w:ind w:right="19"/>
              <w:rPr>
                <w:sz w:val="20"/>
              </w:rPr>
            </w:pPr>
            <w:r>
              <w:rPr>
                <w:sz w:val="20"/>
              </w:rPr>
              <w:t>As instituições financeiras respondem objetivamente pelos danos decorrentes de fraudes praticadas por terceiros, quando essas decorrem de fortuito interno, conforme art. 14 do CDC e Súmula 479 do STJ. 4. Verifica-se falha na prestação do serviço quando o banco e a instituição de pagamentos autorizam transações financeiras atípicas sem checagem prévia da identidade do consumidor ou da regularidade das operações. 5. A alegação de culpa exclusiva da vítima não afasta a responsabilidade objetiva, sobretudo diante da hipervulnerabilidade da autora, pessoa idosa e sem conhecimentos tecnológicos, exposta a golpe sofisticado. 6. É cabível a repetição do indébito em dobro, nos termos do art. 42, parágrafo único, do CDC, uma vez que as operações financeiras indevidas ocorreram após a data da modulação de efeitos fixada pelo STJ no EAREsp 676.608/RS (30/03/2021). 7. O dano moral decorre da violação à dignidade da consumidora, da utilização indevida de seus dados pessoais e da omissão das instituições financeiras </w:t>
            </w:r>
            <w:r>
              <w:rPr>
                <w:spacing w:val="-3"/>
                <w:sz w:val="20"/>
              </w:rPr>
              <w:t>frente </w:t>
            </w:r>
            <w:r>
              <w:rPr>
                <w:sz w:val="20"/>
              </w:rPr>
              <w:t>ao golpe, impondo-lhe insegurança e comprometimento de sua renda alimentar. IV. DISPOSITIVO E TESE 8. Recursos de Banco Bradesco S/A e Mercadopago.com Representações Ltda desprovidos. Recurso de Ana Beserra Oliveira provido. Tese de julgamento: ¿1. A instituição financeira responde objetivamente pelos danos decorrentes de fraudes praticadas por terceiros, quando caracterizado fortuito interno. 2. A autorização de transações atípicas, sem verificação da autenticidade, configura falha na prestação do serviço e impõe o dever de indenizar por danos materiais e morais. 3. A repetição do indébito, quando o consumidor é cobrado por serviço não contratado, é devida em dobro, desde que o pagamento tenha ocorrido após 30/03/2021, independentemente de má-fé do fornecedor. Dispositivos relevantes citados: CF/1988, art. 5º, X e XXXII; CDC, arts. 14, §1º e §3º, e 42, parágrafo único; CC, arts. 186, 389, 398, 406, §1º, e 927; CPC, art. 85, §§ 2º e 11º. Jurisprudência relevante citada: STJ, Corte Especial. EAREsp 676608/RS, Rel. Min.</w:t>
            </w:r>
          </w:p>
          <w:p>
            <w:pPr>
              <w:pStyle w:val="TableParagraph"/>
              <w:spacing w:line="208" w:lineRule="auto" w:before="0"/>
              <w:rPr>
                <w:sz w:val="20"/>
              </w:rPr>
            </w:pPr>
            <w:r>
              <w:rPr>
                <w:sz w:val="20"/>
              </w:rPr>
              <w:t>Og Fernandes, julgado em 21/10/2020; TJCE, Apelação Cível - 0200153- 88.2023.8.06.0167, Rel. Desembargador(a) Emanuel Leite Albuquerque, 1ª Câmara </w:t>
            </w:r>
            <w:r>
              <w:rPr>
                <w:spacing w:val="-3"/>
                <w:sz w:val="20"/>
              </w:rPr>
              <w:t>Direito </w:t>
            </w:r>
            <w:r>
              <w:rPr>
                <w:sz w:val="20"/>
              </w:rPr>
              <w:t>Privado, data do julgamento: 30/04/2025; TJCE, Apelação Cível - 0050326- 86.2020.8.06.0141, Rel. Desembargador(a) Maria Regina Oliveira Camara, 1ª Câmara Direito Privado, data do julgamento: 23/10/2024; TJCE, Apelação Cível - 0050214- 32.2021.8.06.0158, Rel. Desembargador(a) Jose Ricardo Vidal Patrocínio,&lt;/span&gt;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3"/>
              <w:rPr>
                <w:sz w:val="20"/>
              </w:rPr>
            </w:pPr>
            <w:r>
              <w:rPr>
                <w:sz w:val="20"/>
              </w:rPr>
              <w:t>style="font-size: 12pt; font-family: 'Times New Roman',serif; color: #000000; background- color: transparent; font-weight: 400; font-style: normal; font-variant: normal; text-decoration: none; vertical-align: baseline; white-space: pre-wrap;"&gt; &lt;strong&gt;1ª Câmara Direito Privado&lt;/strong&gt;&lt;/span&gt;&lt;span style="font-size: 12pt; font-family: 'Times New Roman',serif; color: #000000; background-color: transparent; font-weight: 400; font-style: normal; font-variant: normal; text-decoration: none; vertical-align: baseline; white-space: pre-wrap;"&gt;, data do julgamento: 28/02/2024. (Apelação Cível - 0201666- 91.2023.8.06.0070, Rel. Desembargador(a) EMANUEL LEITE ALBUQUERQUE, 1ª</w:t>
            </w:r>
          </w:p>
          <w:p>
            <w:pPr>
              <w:pStyle w:val="TableParagraph"/>
              <w:spacing w:line="208" w:lineRule="auto" w:before="0"/>
              <w:ind w:right="67"/>
              <w:rPr>
                <w:sz w:val="20"/>
              </w:rPr>
            </w:pPr>
            <w:r>
              <w:rPr>
                <w:sz w:val="20"/>
              </w:rPr>
              <w:t>Câmara Direito Privado, data do julgamento:&amp;#160; 06/06/2025, data da publicação:&amp;#160; 06/06/2025).&lt;/span&gt;&lt;/p&gt;&lt;p style="line-height: 1.7999999999999998; margin-left: 113.38582677165354pt; text-align: justify; margin-top: 12pt; margin-bottom: 0pt;" dir="ltr"&gt;&lt;span style="font-size: 12pt; font-family: 'Times New Roman',serif; color: #000000; background-color: transparent; font-weight: 400; font-style: normal; font-variant: normal; text-decoration: none; vertical-align: baseline; white-space: pre-wrap;"&gt;DIREITO CIVIL E DO CONSUMIDOR. APELAÇÕES. AÇÃO DECLARATÓRIA DE INEXISTÊNCIA DE TRANSAÇÕES BANCÁRIAS CUMULADA COM REPARAÇÃO DE DANOS MATERIAIS E MORAIS. GOLPE DO MOTOBOY. FALHA NA SEGURANÇA DO SERVIÇO. DANO MORAL CONFIGURADO E MAJORADO. SENTENÇA REFORMADA. I.</w:t>
            </w:r>
          </w:p>
          <w:p>
            <w:pPr>
              <w:pStyle w:val="TableParagraph"/>
              <w:spacing w:line="208" w:lineRule="auto" w:before="0"/>
              <w:ind w:right="13"/>
              <w:rPr>
                <w:sz w:val="20"/>
              </w:rPr>
            </w:pPr>
            <w:r>
              <w:rPr>
                <w:sz w:val="20"/>
              </w:rPr>
              <w:t>CASO EM EXAME 1. Trata-se de apelações cíveis interpostas pelo BANCO DO BRASIL S/A e por FRANCISCO CARLOS FERNANDES RIBEIRO, em face de sentença proferida pelo juízo da 5ª Vara Cível da comarca de Fortaleza, que julgou parcialmente procedente os pedidos formulados nos autos da Ação Declaratória de Inexistência de Transações Bancárias Cumulada com Reparação de Danos Materiais e Morais II. QUESTÃO EM DISCUSSÃO 2. O cerne da questão está em verificar se as transações efetuadas por </w:t>
            </w:r>
            <w:r>
              <w:rPr>
                <w:spacing w:val="-5"/>
                <w:sz w:val="20"/>
              </w:rPr>
              <w:t>meio </w:t>
            </w:r>
            <w:r>
              <w:rPr>
                <w:sz w:val="20"/>
              </w:rPr>
              <w:t>do cartão de crédito do recorrido são válidas ou não e se o banco recorrente possui responsabilidade pelo evento danoso. III. RAZÕES DE DECIDIR 3. Ao fornecedor de serviço compete a garantia de segurança contra os riscos do serviço. Banco responde objetivamente pelo fortuito interno praticado por terceiros. Reconhecida a falha na segurança, é devida indenização pelo dano moral. 4. Danos morais majorados de R$1.000,00 (mil reais) para R$ 5.000,00 (cinco mil reais). IV. DISPOSITIVO Apelações conhecidas. Recurso autoral parcialmente provido e recurso do promovido desprovido.</w:t>
            </w:r>
          </w:p>
          <w:p>
            <w:pPr>
              <w:pStyle w:val="TableParagraph"/>
              <w:tabs>
                <w:tab w:pos="1424" w:val="left" w:leader="none"/>
              </w:tabs>
              <w:spacing w:line="208" w:lineRule="auto" w:before="0"/>
              <w:ind w:right="232"/>
              <w:rPr>
                <w:sz w:val="20"/>
              </w:rPr>
            </w:pPr>
            <w:r>
              <w:rPr>
                <w:sz w:val="20"/>
                <w:u w:val="single"/>
              </w:rPr>
              <w:t> </w:t>
              <w:tab/>
            </w:r>
            <w:r>
              <w:rPr>
                <w:sz w:val="20"/>
              </w:rPr>
              <w:t>Dispositivos citados: Arts. 2º, 3º, 4º, art. 6º, VIII, 14, caput e § 3º do </w:t>
            </w:r>
            <w:r>
              <w:rPr>
                <w:spacing w:val="-3"/>
                <w:sz w:val="20"/>
              </w:rPr>
              <w:t>CDC; </w:t>
            </w:r>
            <w:r>
              <w:rPr>
                <w:sz w:val="20"/>
              </w:rPr>
              <w:t>543-C do CPC; Lei nº 11.672/2008 e Resolução/CNJ 08/2008; art. 186, do CC Precedentes citados: STJ. REsp nº 1.199.782/PR. 2ª Seção. Min. Rel. Luis Felipe Salomão. J. 24.08.2011; REsp 1.995.458/SP; Apelação Cível - 0130166- 51.2018.8.06.0001, Rel. Desembargador(a) FRANCISCO BEZERRA CAVALCANTE, 4ª</w:t>
            </w:r>
          </w:p>
          <w:p>
            <w:pPr>
              <w:pStyle w:val="TableParagraph"/>
              <w:spacing w:line="208" w:lineRule="auto" w:before="0"/>
              <w:ind w:right="96"/>
              <w:rPr>
                <w:sz w:val="20"/>
              </w:rPr>
            </w:pPr>
            <w:r>
              <w:rPr>
                <w:sz w:val="20"/>
              </w:rPr>
              <w:t>Câmara Direito Privado, data do julgamento: 09/08/2022, data da publicação: 09/08/2022 ; TJ-CE - Apelação Cível: 02001969520228060058 Cariré, Relator.: PAULO AIRTON ALBUQUERQUE FILHO, Data de Julgamento: 02/10/2024, 2ª Câmara Direito Privado, Data de Publicação: 02/10/2024; TJ-CE - AC: 01301665120188060001 Fortaleza, Relator: FRANCISCO BEZERRA CAVALCANTE, Data de Julgamento: 09/08/2022, 4ª Câmara Direito Privado, Data de Publicação: 09/08/2022; TJ-CE - Apelação Cível: 0228034- 87.2022.8 .06.0001 Fortaleza, Relator.: EMANUEL LEITE ALBUQUERQUE, Data de</w:t>
            </w:r>
          </w:p>
          <w:p>
            <w:pPr>
              <w:pStyle w:val="TableParagraph"/>
              <w:spacing w:line="208" w:lineRule="auto" w:before="0"/>
              <w:ind w:right="42"/>
              <w:rPr>
                <w:sz w:val="20"/>
              </w:rPr>
            </w:pPr>
            <w:r>
              <w:rPr>
                <w:sz w:val="20"/>
              </w:rPr>
              <w:t>Julgamento: 14/02/2024, 1ª Câmara Direito Privado, Data de Publicação: 16/02/2024 (Apelação Cível - 0253483-13.2023.8.06.0001, Rel. Desembargador(a) PAULO AIRTON ALBUQUERQUE FILHO,&lt;/span&gt; &lt;span style="font-size: 12pt; font-family: 'Times New Roman',serif; color: #000000; background-color: transparent; font-weight: 400; font-style: normal; font-variant: normal; text-decoration: none; vertical-align: baseline; white-space: pre-wrap;"&gt; &lt;strong&gt;2ª Câmara Direito Privado&lt;/strong&gt;&lt;/span&gt;&lt;span style="font-size: 12pt; font-family: 'Times New Roman',serif; color: #000000; background-color: transparent; font-weight: 400; font-style: normal; font-variant: normal; text-decoration: none; vertical- align: baseline; white-space: pre-wrap;"&gt;, data do julgamento: 30/04/2025, data da publicação: 05/05/2025).&lt;/span&gt;&lt;/p&gt;&lt;p style="line-height: 1.7999999999999998; margin- left: 113.38582677165354pt; text-align: justify; margin-top: 12pt; margin-bottom: 0pt;" dir="ltr"&gt;&lt;span style="font-size: 12pt; font-family: 'Times New Roman',serif; color: #000000; background-color: transparent; font-weight: 400; font-style: normal; font-variant: normal; text-decoration: none; vertical-align: baseline; white-space: pre-wrap;"&gt;APELAÇÃO CÍVEL. DIREITO CIVIL E CONSUMERISTA. AÇÃO DECLARATÓRIA DE INEXISTÊNCIA DE TRANSAÇÕES BANCÁRIAS/DÉBITOS E PAGAMENTOS EM CONTA CORRENTE CUMULAÇÃO COM REPARAÇÃO DE DANOS MATERIAIS E MORAIS. "GOLPE DO MOTOBOY". NEGLIGÊNCIA DA INSTITUIÇÃO FINANCEIRA AO NÃO CONSTATAR MOVIMENTAÇÕES ATÍPICAS QUE DESTOAM DO PERFIL DA CLIENTE. DANOS MORAIS E MATERIAIS CARACTERIZADOS. RECURSO CONHECIDO E IMPROVIDO.</w:t>
            </w:r>
          </w:p>
          <w:p>
            <w:pPr>
              <w:pStyle w:val="TableParagraph"/>
              <w:spacing w:line="208" w:lineRule="auto" w:before="0"/>
              <w:ind w:right="169"/>
              <w:rPr>
                <w:sz w:val="20"/>
              </w:rPr>
            </w:pPr>
            <w:r>
              <w:rPr>
                <w:sz w:val="20"/>
              </w:rPr>
              <w:t>SENTENÇA MANTIDA. 1. Cuida-se de recurso de apelação cível interposto pelo BANCO DO BRASIL S/A contra a sentença proferida às fls. 347/353 pelo Juízo da 10ª Vara Cível da Comarca de Fortaleza/CE, que, nos autos da Ação Obrigacional c/c Indenizatória, julgou procedentes os pedidos autorais, tendo como parte apelada GRACIETE DA CONCEIÇÃO PORTAL PEREIRA 2. O cerne da controvérsia consiste em analisar a validade das transações bancárias questionadas, bem como verificar se a instituição financeira deve ser responsabilizada pelo evento danoso. 3. Analisando os autos, é</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45"/>
              <w:rPr>
                <w:sz w:val="20"/>
              </w:rPr>
            </w:pPr>
            <w:r>
              <w:rPr>
                <w:sz w:val="20"/>
              </w:rPr>
              <w:t>possível constatar que a apelada foi vítima do chamado "golpe do motoboy", no qual um estelionatário, passando-se por funcionário de instituição financeira, convence o consumidor acerca da necessidade de entrega do cartão ao criminoso. 4. Apesar disso, a responsabilidade da instituição financeira, no caso, não pode ser elidida, haja vista que resta caracterizada a sua negligência ao não constatar uma movimentação atípica nas contas da cliente que destoram do perfil de consumo da autora. 5. Nesse contexto, estão presentes todas as condições necessárias para responsabilização da empresa demandada: a) o ato ilícito, consistente na autorização de transações fraudulentas em decorrência da negligência da instituição financeira; b) o dano material, concernente à perda de quantia considerável depositada na sua conta bancária; além do dano moral, referente ao abalo da autora ao constatar tal fato; c) o nexo de causalidade, pois, inexistindo o ato ilícito do demandado, não haveria o dano. 6. Mostra-se devida a condenação da instituição financeira ao pagamento de indenização por danos materiais e morais, estes no importe de R$ 5.000,00 (cinco mil reais), que julgo necessário para reparar os danos sofridos, mostrando-se proporcional à gravidade da ofensa e ao porte econômico do ofensor, considerando o alto montante subtraído da conta da parte autora.</w:t>
            </w:r>
          </w:p>
          <w:p>
            <w:pPr>
              <w:pStyle w:val="TableParagraph"/>
              <w:spacing w:line="208" w:lineRule="auto" w:before="0"/>
              <w:ind w:right="55"/>
              <w:rPr>
                <w:sz w:val="20"/>
              </w:rPr>
            </w:pPr>
            <w:r>
              <w:rPr>
                <w:sz w:val="20"/>
              </w:rPr>
              <w:t>7. Recurso conhecido e não provido. Sentença mantida. (Apelação Cível - 0249933- 10.2023.8.06.0001, Rel. Desembargador(a) FRANCISCO BEZERRA CAVALCANTE,&lt;/span&gt;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244"/>
              <w:rPr>
                <w:sz w:val="20"/>
              </w:rPr>
            </w:pPr>
            <w:r>
              <w:rPr>
                <w:sz w:val="20"/>
              </w:rPr>
              <w:t>&lt;strong&gt;4ª Câmara Direito Privado&lt;/strong&gt;&lt;/span&gt;&lt;span style="font-size: 12pt; font- family: 'Times New Roman',serif; color: #000000; background-color: transparent; font- weight: 400; font-style: normal; font-variant: normal; text-decoration: none; vertical-align: baseline; white-space: pre-wrap;"&gt;, data do julgamento: 03/12/2024, data da publicação: 03/12/2024).&lt;/span&gt;&lt;/p&gt;&lt;p style="line-height: 1.7999999999999998; margin-left: 113.38582677165354pt; text-align: justify; margin-top: 12pt; margin-bottom: 0pt;" dir="ltr"&gt;&amp;#160;&lt;/p&gt;&lt;p style="line-height: 1.7999999999999998; text-indent: 70.86614173228347pt; text-align: justify; margin-top: 12pt; margin-bottom: 0pt;" dir="ltr"&gt;</w:t>
            </w:r>
          </w:p>
          <w:p>
            <w:pPr>
              <w:pStyle w:val="TableParagraph"/>
              <w:spacing w:line="208" w:lineRule="auto" w:before="0"/>
              <w:ind w:right="560"/>
              <w:jc w:val="both"/>
              <w:rPr>
                <w:sz w:val="20"/>
              </w:rPr>
            </w:pPr>
            <w:r>
              <w:rPr>
                <w:sz w:val="20"/>
              </w:rPr>
              <w:t>&lt;span style="font-size: 12pt; font-family: &amp;quot;Times New Roman&amp;quot;, serif; color: #000000; background-color: transparent; font-style: normal; font-variant: normal; text- decoration: none; vertical-align: baseline; white-space: pre-wrap;"&gt;</w:t>
            </w:r>
          </w:p>
          <w:p>
            <w:pPr>
              <w:pStyle w:val="TableParagraph"/>
              <w:spacing w:line="208" w:lineRule="auto" w:before="0"/>
              <w:ind w:right="37"/>
              <w:rPr>
                <w:sz w:val="20"/>
              </w:rPr>
            </w:pPr>
            <w:r>
              <w:rPr>
                <w:sz w:val="20"/>
              </w:rPr>
              <w:t>&lt;strong&gt;DISPOSITIVO&lt;/strong&gt; &lt;/span&gt;&lt;/p&gt;&lt;p style="line-height: 1.7999999999999998; text-indent: 70.86614173228347pt; text-align: justify; margin-top: 12pt;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pre-wrap;"&gt;Diante do que acima foi exposto e fundamentado, CONHEÇO o Recurso de Apelação do Banco </w:t>
            </w:r>
            <w:r>
              <w:rPr>
                <w:spacing w:val="-4"/>
                <w:sz w:val="20"/>
              </w:rPr>
              <w:t>para </w:t>
            </w:r>
            <w:r>
              <w:rPr>
                <w:sz w:val="20"/>
              </w:rPr>
              <w:t>NEGAR-LHE PROVIMENTO e CONHEÇO o Recurso do Autor para DAR-LHE provimento no sentido de majorar a condenação em danos morais para o montante de R$ 3.000,00 (três mil reais).&lt;/span&gt;&lt;/p&gt;&lt;p style="line-height: 1.7999999999999998; text-indent: 70.86614173228347pt; text-align: justify; margin-top: 12pt; margin-bottom: 0pt;" dir="ltr"&gt;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w:t>
            </w:r>
            <w:r>
              <w:rPr>
                <w:spacing w:val="-3"/>
                <w:sz w:val="20"/>
              </w:rPr>
              <w:t>normal; </w:t>
            </w:r>
            <w:r>
              <w:rPr>
                <w:sz w:val="20"/>
              </w:rPr>
              <w:t>text-decoration: none; vertical-align: baseline; white-space: pre-wrap;"&gt;&amp;#160;&lt;/span&gt;</w:t>
            </w:r>
          </w:p>
          <w:p>
            <w:pPr>
              <w:pStyle w:val="TableParagraph"/>
              <w:spacing w:line="208" w:lineRule="auto" w:before="0"/>
              <w:ind w:right="85"/>
              <w:rPr>
                <w:sz w:val="20"/>
              </w:rPr>
            </w:pPr>
            <w:r>
              <w:rPr>
                <w:sz w:val="20"/>
              </w:rPr>
              <w:t>&lt;span style="background-color: transparent; font-family: &amp;quot;Times New Roman&amp;quot;, serif; font-size: 12pt; white-space-collapse: preserve; text-indent: 70.8661pt;"&gt;Majoro os honorários advocatícios sucumbenciais devidos pela promovida em favor do patrono do autor, fixando-os no percentual de 15% (quinze por cento) sobre o valor total da condenação atualizada.&lt;/span&gt;&lt;/p&gt;&lt;p style="line-height: 1.7999999999999998; text- indent: 70.86614173228347pt; text-align: justify; margin-top: 12pt; margin-bottom: 0pt;" dir="ltr"&gt; &lt;span style="background-color: transparent; font-family: &amp;quot;Times New Roman&amp;quot;, serif; font-size: 12pt; white-space-collapse: preserve; text-indent: 70.8661pt;"&gt; &lt;span style="font-size: 12pt; font-family: 'Times New Roman',serif; color: #000000; background-color: transparent; font-weight: 400; font-style: normal; font-variant: normal; text-decoration: none; vertical-align: baseline; white-space: pre-wrap;"&gt;De ofício, determino que fixação dos juros e da correção monetária, siga os ditames da Lei nº 14.905/2024 a partir de sua vigência, por se tratar de matéria de ordem pública, regida pelo princípio&lt;/span&gt; &lt;span style="font-size: 12pt; font-family: &amp;quot;Times New Roman&amp;quot;, serif; color: #000000; background-color: transparent; font-weight: 400; </w:t>
            </w:r>
            <w:r>
              <w:rPr>
                <w:spacing w:val="-4"/>
                <w:sz w:val="20"/>
              </w:rPr>
              <w:t>font- </w:t>
            </w:r>
            <w:r>
              <w:rPr>
                <w:sz w:val="20"/>
              </w:rPr>
              <w:t>variant: normal; text-decoration: none; vertical-align: baseline; white-space: pre-wrap;"&gt;</w:t>
            </w:r>
          </w:p>
          <w:p>
            <w:pPr>
              <w:pStyle w:val="TableParagraph"/>
              <w:spacing w:line="208" w:lineRule="auto" w:before="0"/>
              <w:rPr>
                <w:sz w:val="20"/>
              </w:rPr>
            </w:pPr>
            <w:r>
              <w:rPr>
                <w:sz w:val="20"/>
              </w:rPr>
              <w:t>&lt;em&gt;tempus regit actum&lt;/em&gt; &lt;/span&gt; &lt;span style="font-size: 12pt; font-family: 'Times New Roman',serif; color: #000000; background-color: transparent; font-weight: 400; font- style: normal; font-variant: normal; text-decoration: none; vertical-align: baseline; white- space: pre-wrap;"&gt;.&lt;/span&gt; &lt;span style="text-indent: 70.8661pt;"&gt;&amp;#160;&lt;/span&gt;&lt;/span&gt;&lt;/p&gt;&lt;p style="text-indent: 8%; text-align: justify;"&gt;</w:t>
            </w:r>
          </w:p>
          <w:p>
            <w:pPr>
              <w:pStyle w:val="TableParagraph"/>
              <w:tabs>
                <w:tab w:pos="2841" w:val="left" w:leader="none"/>
                <w:tab w:pos="3288" w:val="left" w:leader="none"/>
                <w:tab w:pos="4154" w:val="left" w:leader="none"/>
                <w:tab w:pos="6649" w:val="left" w:leader="none"/>
                <w:tab w:pos="7514" w:val="left" w:leader="none"/>
              </w:tabs>
              <w:spacing w:line="208" w:lineRule="auto" w:before="0"/>
              <w:ind w:right="87"/>
              <w:rPr>
                <w:sz w:val="20"/>
              </w:rPr>
            </w:pPr>
            <w:r>
              <w:rPr>
                <w:sz w:val="20"/>
              </w:rPr>
              <w:t>&lt;span style="font-size: medium;"&gt;</w:t>
              <w:tab/>
              <w:t>&lt;span style="font-size: medium;"&gt;</w:t>
              <w:tab/>
              <w:t>&lt;span style="font-family: &amp;quot;times new roman&amp;quot;, times;"&gt;&amp;#160; &amp;#160; &amp;#160; &amp;#160; &amp;#160; É como voto.&lt;/span&gt;</w:t>
              <w:tab/>
              <w:t>&lt;/span&gt; &lt;/span&gt;&lt;/p&gt;&lt;p style="text-indent: 8%; text-align: justify;"&gt;  &lt;span style="font-size: medium;"&gt;</w:t>
              <w:tab/>
              <w:t>&lt;span style="font-size: medium;"&gt;</w:t>
              <w:tab/>
            </w:r>
            <w:r>
              <w:rPr>
                <w:spacing w:val="-4"/>
                <w:sz w:val="20"/>
              </w:rPr>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0200395-50.2022.8.06.0145</w:t>
            </w:r>
          </w:p>
        </w:tc>
      </w:tr>
      <w:tr>
        <w:trPr>
          <w:trHeight w:val="3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05" w:val="left" w:leader="none"/>
                <w:tab w:pos="2061" w:val="left" w:leader="none"/>
                <w:tab w:pos="2794" w:val="left" w:leader="none"/>
                <w:tab w:pos="3006" w:val="left" w:leader="none"/>
                <w:tab w:pos="4732" w:val="left" w:leader="none"/>
                <w:tab w:pos="5365" w:val="left" w:leader="none"/>
                <w:tab w:pos="6876" w:val="left" w:leader="none"/>
              </w:tabs>
              <w:spacing w:line="208" w:lineRule="auto" w:before="26"/>
              <w:ind w:right="266"/>
              <w:rPr>
                <w:sz w:val="20"/>
              </w:rPr>
            </w:pPr>
            <w:r>
              <w:rPr>
                <w:sz w:val="20"/>
              </w:rPr>
              <w:t>style="font-family: &amp;quot;times new roman&amp;quot;, times;"&gt;&amp;#160; &amp;#160; &amp;#160; </w:t>
            </w:r>
            <w:r>
              <w:rPr>
                <w:spacing w:val="-3"/>
                <w:sz w:val="20"/>
              </w:rPr>
              <w:t>&amp;#160; </w:t>
            </w:r>
            <w:r>
              <w:rPr>
                <w:sz w:val="20"/>
              </w:rPr>
              <w:t>&amp;#160; Fortaleza/CE, data registrada no sistema.&lt;/span&gt;</w:t>
              <w:tab/>
              <w:t>&lt;/span&gt; &lt;/span&gt;&lt;/p&gt;&lt;p style="text-indent: 8%; text-align: justify;"&gt;  &lt;span style="font-size: small;"&gt;</w:t>
              <w:tab/>
              <w:t>&lt;span style="font-size: medium;"&gt;</w:t>
              <w:tab/>
              <w:t>&lt;span style="font-family: &amp;quot;times new roman&amp;quot;, times;"&gt;</w:t>
              <w:tab/>
              <w:t>&lt;br /&gt;</w:t>
              <w:tab/>
              <w:t>&lt;/span&gt;</w:t>
              <w:tab/>
              <w:tab/>
              <w:t>&lt;/span&gt; &lt;/span&gt;&lt;/p&gt;&lt;p style="text-indent: 8%; text- align: center;"&gt;  &lt;span style="font-size: medium;"&gt;</w:t>
              <w:tab/>
              <w:t>&lt;strong style="font-size: small;"&gt;</w:t>
            </w:r>
          </w:p>
          <w:p>
            <w:pPr>
              <w:pStyle w:val="TableParagraph"/>
              <w:tabs>
                <w:tab w:pos="3016" w:val="left" w:leader="none"/>
                <w:tab w:pos="4240" w:val="left" w:leader="none"/>
                <w:tab w:pos="5297" w:val="left" w:leader="none"/>
                <w:tab w:pos="6234" w:val="left" w:leader="none"/>
                <w:tab w:pos="7201" w:val="left" w:leader="none"/>
              </w:tabs>
              <w:spacing w:line="208" w:lineRule="auto" w:before="0"/>
              <w:ind w:right="400"/>
              <w:rPr>
                <w:sz w:val="20"/>
              </w:rPr>
            </w:pPr>
            <w:r>
              <w:rPr>
                <w:sz w:val="20"/>
              </w:rPr>
              <w:t>&lt;span style="font-family: &amp;quot;times new roman&amp;quot;, times;"&gt;</w:t>
              <w:tab/>
              <w:t>&lt;br /&gt;</w:t>
              <w:tab/>
            </w:r>
            <w:r>
              <w:rPr>
                <w:spacing w:val="-4"/>
                <w:sz w:val="20"/>
              </w:rPr>
              <w:t>&lt;span </w:t>
            </w:r>
            <w:r>
              <w:rPr>
                <w:sz w:val="20"/>
              </w:rPr>
              <w:t>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HRH JERICOACOARA EMPREENDIMENTO HOTELEIRO SPE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MARIANA DIAS DA SILVA SANTOS - (CE25742-A)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ELANO FARIAS VASCONCELOS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LUCAS NOBRE DE MELO - (CE51786-A)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&lt;strong&gt;PROCESSO&lt;/strong&gt;:&amp;#160;0208506-96.2024.8.06.0001 -&amp;#160;APELAÇÃO</w:t>
            </w:r>
          </w:p>
          <w:p>
            <w:pPr>
              <w:pStyle w:val="TableParagraph"/>
              <w:tabs>
                <w:tab w:pos="6557" w:val="left" w:leader="none"/>
              </w:tabs>
              <w:spacing w:line="208" w:lineRule="auto" w:before="8"/>
              <w:ind w:right="1044"/>
              <w:rPr>
                <w:sz w:val="20"/>
              </w:rPr>
            </w:pPr>
            <w:r>
              <w:rPr>
                <w:sz w:val="20"/>
              </w:rPr>
              <w:t>CÍVEL (198)&lt;/span&gt;  &lt;/span&gt;&lt;/p&gt;&lt;p&gt;  &lt;span style="font-size: small;"&gt;</w:t>
              <w:tab/>
            </w:r>
            <w:r>
              <w:rPr>
                <w:spacing w:val="-4"/>
                <w:sz w:val="20"/>
              </w:rPr>
              <w:t>&lt;span </w:t>
            </w:r>
            <w:r>
              <w:rPr>
                <w:sz w:val="20"/>
              </w:rPr>
              <w:t>style="font-family: &amp;quot;times new roman&amp;quot;, times;"&gt;APELANTE: HRH</w:t>
            </w:r>
          </w:p>
          <w:p>
            <w:pPr>
              <w:pStyle w:val="TableParagraph"/>
              <w:spacing w:line="190" w:lineRule="exact" w:before="0"/>
              <w:rPr>
                <w:sz w:val="20"/>
              </w:rPr>
            </w:pPr>
            <w:r>
              <w:rPr>
                <w:sz w:val="20"/>
              </w:rPr>
              <w:t>JERICOACOARA EMPREENDIMENTO HOTELEIRO SPE LTDA&lt;/span&gt; &lt;/span&gt;&lt;/p&gt;&lt;p&gt;</w:t>
            </w:r>
          </w:p>
          <w:p>
            <w:pPr>
              <w:pStyle w:val="TableParagraph"/>
              <w:tabs>
                <w:tab w:pos="3044" w:val="left" w:leader="none"/>
              </w:tabs>
              <w:spacing w:line="208" w:lineRule="auto" w:before="9"/>
              <w:ind w:right="135"/>
              <w:rPr>
                <w:sz w:val="20"/>
              </w:rPr>
            </w:pPr>
            <w:r>
              <w:rPr>
                <w:sz w:val="20"/>
              </w:rPr>
              <w:t>&lt;span style="font-size: small;"&gt;</w:t>
              <w:tab/>
              <w:t>&lt;span style="font-family: &amp;quot;times new </w:t>
            </w:r>
            <w:r>
              <w:rPr>
                <w:spacing w:val="-2"/>
                <w:sz w:val="20"/>
              </w:rPr>
              <w:t>roman&amp;quot;, </w:t>
            </w:r>
            <w:r>
              <w:rPr>
                <w:sz w:val="20"/>
              </w:rPr>
              <w:t>times;"&gt;APELADO: JOSE ELANO FARIAS VASCONCELOS&lt;/span&gt; &lt;/span&gt;&lt;/p&gt;&lt;p&gt;</w:t>
            </w:r>
          </w:p>
          <w:p>
            <w:pPr>
              <w:pStyle w:val="TableParagraph"/>
              <w:tabs>
                <w:tab w:pos="2350" w:val="left" w:leader="none"/>
                <w:tab w:pos="3095" w:val="left" w:leader="none"/>
                <w:tab w:pos="3288" w:val="left" w:leader="none"/>
                <w:tab w:pos="5119" w:val="left" w:leader="none"/>
              </w:tabs>
              <w:spacing w:line="208" w:lineRule="auto" w:before="0"/>
              <w:ind w:right="179"/>
              <w:rPr>
                <w:sz w:val="20"/>
              </w:rPr>
            </w:pPr>
            <w:r>
              <w:rPr>
                <w:sz w:val="20"/>
              </w:rPr>
              <w:t>&lt;span style="font-size: medium;"&gt;</w:t>
              <w:tab/>
              <w:tab/>
              <w:t>&lt;span style="font-family: &amp;quot;times new roman&amp;quot;, times;"&gt;</w:t>
              <w:tab/>
              <w:t>&lt;br /&gt;</w:t>
              <w:tab/>
              <w:t>&lt;/span&gt; &lt;/span&gt;&lt;/p&gt;&lt;p style="line-height: 1.8; text- align: justify; margin-top: 12pt; margin-bottom: 12pt; padding-left: 150px;" dir="ltr"&gt; </w:t>
            </w:r>
            <w:r>
              <w:rPr>
                <w:spacing w:val="-4"/>
                <w:sz w:val="20"/>
              </w:rPr>
              <w:t>&lt;span </w:t>
            </w:r>
            <w:r>
              <w:rPr>
                <w:sz w:val="20"/>
              </w:rPr>
              <w:t>style="font-size: 12pt; font-family: &amp;quot;Times New Roman&amp;quot;, serif; color: #000000; background-color: transparent; font-style: normal; font-variant: normal; text-decoration: none; vertical-align: baseline; white-space: pre-wrap;"&gt;</w:t>
              <w:tab/>
              <w:t>&lt;strong&gt;Direito Civil e do Consumidor. Apelação Cível. Rescisão Contratual c/c Devolução de Valores Pagos.</w:t>
            </w:r>
          </w:p>
          <w:p>
            <w:pPr>
              <w:pStyle w:val="TableParagraph"/>
              <w:tabs>
                <w:tab w:pos="3329" w:val="left" w:leader="none"/>
              </w:tabs>
              <w:spacing w:line="208" w:lineRule="auto" w:before="0"/>
              <w:ind w:right="81"/>
              <w:rPr>
                <w:sz w:val="20"/>
              </w:rPr>
            </w:pPr>
            <w:r>
              <w:rPr>
                <w:sz w:val="20"/>
              </w:rPr>
              <w:t>Retenção no percentual de 25% sobre os valores pagos. Cobrança de comissão de corretagem. Desvantagem exagerada. Sentença confirmada. Recurso conhecido e não provido.&lt;/strong&gt; &lt;/span&gt;&lt;/p&gt;&lt;p style="line-height: 1.8; text-align: justify; margin-top: 12pt; margin-bottom: 12pt; padding-left: 150px;" dir="ltr"&gt; &lt;span style="font-size: 12pt; font-family: &amp;quot;Times New Roman&amp;quot;, serif; color: #000000; background-color: transparent; font-style: normal; font-variant: normal; text-decoration: none; vertical-align: baseline; white-space: pre-wrap;"&gt;</w:t>
              <w:tab/>
              <w:t>&lt;strong&gt;I. Caso em Exame&lt;/strong&gt; </w:t>
            </w:r>
            <w:r>
              <w:rPr>
                <w:spacing w:val="-2"/>
                <w:sz w:val="20"/>
              </w:rPr>
              <w:t>&lt;/span&gt;&lt;/p&gt;&lt;p </w:t>
            </w:r>
            <w:r>
              <w:rPr>
                <w:sz w:val="20"/>
              </w:rPr>
              <w:t>style="line-height: 1.8; text-align: justify; margin-top: 12pt; margin-bottom: 12pt; padding- left: 150px;" dir="ltr"&gt; &lt;span style="font-size:12pt;font-family:'Times New Roman',serif;color:#000000;background-color:transparent;font-weight:400;font- style:normal;font-variant:normal;text-decoration:none;vertical-align:baseline;white- space:pre;white-space:pre-wrap;"&gt;1. Cuida-se de Apelação Cível interposta por HRH Jericoacoara Empreendimentos Hoteleiro SPE Ltda., se insurgindo contra sentença que julgou parcialmente procedente Ação de Rescisão Contratual c/c Devolução de Valores</w:t>
            </w:r>
          </w:p>
          <w:p>
            <w:pPr>
              <w:pStyle w:val="TableParagraph"/>
              <w:tabs>
                <w:tab w:pos="5119" w:val="left" w:leader="none"/>
              </w:tabs>
              <w:spacing w:line="208" w:lineRule="auto" w:before="0"/>
              <w:ind w:right="30"/>
              <w:rPr>
                <w:sz w:val="20"/>
              </w:rPr>
            </w:pPr>
            <w:r>
              <w:rPr>
                <w:sz w:val="20"/>
              </w:rPr>
              <w:t>Pagos e Tutela Provisória de Urgência, determinando a rescisão do contrato e a restituição de valores pagos com retenção de 25%.&lt;/span&gt;&lt;/p&gt;&lt;p style="line-height: 1.8; text-align: justify; margin-top: 12pt; margin-bottom: 12pt; padding-left: 150px;" dir="ltr"&gt; &lt;span style="font-size: 12pt; font-family: &amp;quot;Times New Roman&amp;quot;, serif; color: #000000; background-color: transparent; font-style: normal; font-variant: normal; text-decoration: none; vertical-align: baseline; white-space: pre-wrap;"&gt;</w:t>
              <w:tab/>
              <w:t>&lt;strong&gt;II. Questão em Discussão&lt;/strong&gt; &lt;/span&gt;&lt;/p&gt;&lt;p style="line-height: 1.8; text-align: justify; margin-top: 12pt; margin-bottom: 12pt; padding-left: 150px;" dir="ltr"&gt; &lt;span style="font-size:12pt;font- family:'Times New Roman',serif;color:#000000;background-color:transparent;font- weight:400;font-style:normal;font-variant:normal;text-decoration:none;vertical- align:baseline;white-space:pre;white-space:pre-wrap;"&gt;2. Consiste em examinar a razoabilidade do percentual de retenção determinada no primeiro grau.&lt;/span&gt;&lt;/p&gt;&lt;p style="line-height: 1.8; text-align: justify; margin-top: 12pt; margin-bottom: 12pt; padding- left: 150px;" dir="ltr"&gt; &lt;span style="font-size: 12pt; font-family: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
              <w:rPr>
                <w:sz w:val="20"/>
              </w:rPr>
            </w:pPr>
            <w:r>
              <w:rPr>
                <w:sz w:val="20"/>
              </w:rPr>
              <w:t>Roman&amp;quot;, serif; color: #000000; background-color: transparent; font-style: normal; font- variant: normal; text-decoration: none; vertical-align: baseline; white-space: pre-wrap;"&gt;</w:t>
            </w:r>
          </w:p>
          <w:p>
            <w:pPr>
              <w:pStyle w:val="TableParagraph"/>
              <w:tabs>
                <w:tab w:pos="1828" w:val="left" w:leader="none"/>
                <w:tab w:pos="2682" w:val="left" w:leader="none"/>
                <w:tab w:pos="3032" w:val="left" w:leader="none"/>
                <w:tab w:pos="3862" w:val="left" w:leader="none"/>
                <w:tab w:pos="5085" w:val="left" w:leader="none"/>
                <w:tab w:pos="7214" w:val="left" w:leader="none"/>
              </w:tabs>
              <w:spacing w:line="208" w:lineRule="auto" w:before="0"/>
              <w:ind w:right="37"/>
              <w:rPr>
                <w:sz w:val="20"/>
              </w:rPr>
            </w:pPr>
            <w:r>
              <w:rPr>
                <w:sz w:val="20"/>
              </w:rPr>
              <w:t>&lt;strong&gt;III. Razões de Decidir&lt;/strong&gt; &lt;/span&gt;&lt;/p&gt;&lt;p style="line-height: 1.8; text-align: justify; margin-top: 12pt; margin-bottom: 12pt; padding-left: 150px;" dir="ltr"&gt; &lt;span style="font-size:12pt;font-family:'Times New Roman',serif;color:#000000;background- color:transparent;font-weight:400;font-style:normal;font-variant:normal;text- decoration:none;vertical-align:baseline;white-space:pre;white-space:pre-wrap;"&gt;3. A relação entre as partes é de consumo, aplicando-se o Código de Defesa do Consumidor (CDC).&lt;/span&gt;&lt;/p&gt;&lt;p style="line-height: 1.8; text-align: justify; margin-top: 12pt; margin- bottom: 12pt; padding-left: 150px;" dir="ltr"&gt; &lt;span style="font-size:12pt;font-family:'Times New Roman',serif;color:#000000;background-color:transparent;font-weight:400;font- style:normal;font-variant:normal;text-decoration:none;vertical-align:baseline;white- space:pre;white-space:pre-wrap;"&gt;4. O percentual de retenção deve ser entre 10% e 25% dos valores pagos para cobrir despesas administrativas da incorporadora (súmula 543 do STJ).&lt;/span&gt;&lt;/p&gt;&lt;p style="line-height: 1.8; text-align: justify; margin-top: 12pt; margin- bottom: 12pt; padding-left: 150px;" dir="ltr"&gt; &lt;span style="font-size:12pt;font-family:'Times New Roman',serif;color:#000000;background-color:transparent;font-weight:400;font- style:normal;font-variant:normal;text-decoration:none;vertical-align:baseline;white- space:pre;white-space:pre-wrap;"&gt;5. No caso concreto, admitir retenção cumulativa de 25% mais 6% de corretagem implicaria desvantagem exagerada ao consumidor, situação vedada pelo art. 51, IV, do CDC.&lt;/span&gt;&lt;/p&gt;&lt;p style="line-height: 1.8; text-align: justify; margin-top: 12pt; margin-bottom: 12pt; padding-left: 150px;" dir="ltr"&gt;&lt;span style="font- size: 12pt; font-family: &amp;quot;Times New Roman&amp;quot;, serif; color: #000000; background- color: transparent; font-style: normal; font-variant: normal; text-decoration: none; vertical- align: baseline; white-space: pre-wrap;"&gt; &lt;strong&gt;IV. Dispositivo.&lt;/strong&gt;&lt;/span&gt;&amp;#160;&lt;/p&gt;&lt;p style="line-height: 1.8; text-align: justify; margin-top: 12pt; margin-bottom: 12pt; padding-left: 150px;" dir="ltr"&gt; &lt;span style="font- size: 12pt; font-family: &amp;quot;Times New Roman&amp;quot;, serif; color: #000000; background- color: transparent; font-style: normal; font-variant: normal; text-decoration: none; vertical- align: baseline; white-space: pre-wrap;"&gt;</w:t>
              <w:tab/>
              <w:t>&lt;strong&gt;6. Sentença confirmada por seus próprios fundamentos. Recurso conhecido e não provido.&lt;/strong&gt; &lt;/span&gt;&lt;/p&gt;&lt;p style="line-height: 1.8; text-align: justify; margin-top: 12pt; margin-bottom: 12pt; padding- left: 150px;" dir="ltr"&gt;  &lt;strong&gt;</w:t>
              <w:tab/>
              <w:t>&lt;span style="font-size: medium; font-family: &amp;quot;times new roman&amp;quot;, times;"&gt;ACÓRDÃO:&amp;#160;&lt;/span&gt;</w:t>
              <w:tab/>
              <w:t>&lt;span style="background-color: transparent; font-family: &amp;quot;Times New Roman&amp;quot;, serif; font-size: 12pt; white- space-collapse: preserve;"&gt;Vistos, relatados e discutidos estes autos, acorda a Quinta Câmara Direito Privado do Tribunal de Justiça do Estado do Ceará, por unanimidade, em CONHECER do Recurso de Apelação Cível para no mérito, NEGAR-LHE PROVIMENTO, nos termos do voto do Desembargador Relator.&lt;/span&gt; &lt;/strong&gt;&lt;/p&gt;&lt;p style="line- height: 115%; margin-bottom: 0.21cm; padding-left: 150px;" align="justify"&gt; &lt;span style="font-size: medium;"&gt;</w:t>
              <w:tab/>
              <w:t>&lt;span style="font-family: &amp;quot;times new roman&amp;quot;, times;"&gt;F&lt;/span&gt;</w:t>
              <w:tab/>
              <w:t>&lt;span style="font-family: &amp;quot;times new roman&amp;quot;, times;"&gt;ortaleza, data registrada no sistema.&lt;/span&gt; &lt;/span&gt; &lt;span style="font-family: &amp;quot;times new roman&amp;quot;, times; font-size: medium; text-align: start;"&gt;&amp;#160;&lt;/span&gt;&lt;/p&gt;&lt;p&gt;&amp;#160;&lt;/p&gt;&lt;p style="line-height: 100%; orphans: 0; </w:t>
            </w:r>
            <w:r>
              <w:rPr>
                <w:spacing w:val="-3"/>
                <w:sz w:val="20"/>
              </w:rPr>
              <w:t>widows: </w:t>
            </w:r>
            <w:r>
              <w:rPr>
                <w:sz w:val="20"/>
              </w:rPr>
              <w:t>0; margin-bottom: 0.21cm;" align="center"&gt;  &lt;span style="font-size: medium;"&gt;</w:t>
              <w:tab/>
              <w:t>&lt;strong&gt;</w:t>
            </w:r>
          </w:p>
          <w:p>
            <w:pPr>
              <w:pStyle w:val="TableParagraph"/>
              <w:tabs>
                <w:tab w:pos="1216" w:val="left" w:leader="none"/>
                <w:tab w:pos="2818" w:val="left" w:leader="none"/>
              </w:tabs>
              <w:spacing w:line="208" w:lineRule="auto" w:before="0"/>
              <w:ind w:right="219"/>
              <w:rPr>
                <w:sz w:val="20"/>
              </w:rPr>
            </w:pPr>
            <w:r>
              <w:rPr>
                <w:sz w:val="20"/>
              </w:rPr>
              <w:t>&lt;span style="font-family: &amp;quot;times new roman&amp;quot;, times;"&gt;MARIA REGINA OLIVEIRA CÂMARA&lt;/span&gt;</w:t>
              <w:tab/>
              <w:t>&lt;/strong&gt; &lt;/span&gt;&lt;/p&gt;&lt;p style="line-height: 115%; orphans: 0; widows: 0; margin-bottom: 0.21cm;" align="center"&gt; &lt;span style="font-size: medium;"&gt;</w:t>
              <w:tab/>
              <w:t>&lt;span style="font-family: &amp;quot;times new roman&amp;quot;, times;"&gt;Desembargadora Presidente do Órgão Julgador&lt;/span&gt; &lt;/span&gt;&lt;/p&gt;&lt;p style="line-height: 100%; orphans: 0; widows: 0; margin-bottom: 0.21cm;"</w:t>
            </w:r>
            <w:r>
              <w:rPr>
                <w:spacing w:val="12"/>
                <w:sz w:val="20"/>
              </w:rPr>
              <w:t> </w:t>
            </w:r>
            <w:r>
              <w:rPr>
                <w:spacing w:val="-2"/>
                <w:sz w:val="20"/>
              </w:rPr>
              <w:t>align="center"&gt;</w:t>
            </w:r>
          </w:p>
          <w:p>
            <w:pPr>
              <w:pStyle w:val="TableParagraph"/>
              <w:tabs>
                <w:tab w:pos="1683" w:val="left" w:leader="none"/>
                <w:tab w:pos="2350" w:val="left" w:leader="none"/>
                <w:tab w:pos="2806" w:val="left" w:leader="none"/>
                <w:tab w:pos="3206" w:val="left" w:leader="none"/>
                <w:tab w:pos="3288" w:val="left" w:leader="none"/>
                <w:tab w:pos="3951" w:val="left" w:leader="none"/>
                <w:tab w:pos="5850" w:val="left" w:leader="none"/>
              </w:tabs>
              <w:spacing w:line="208" w:lineRule="auto" w:before="0"/>
              <w:ind w:right="143"/>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w:t>
            </w:r>
            <w:r>
              <w:rPr>
                <w:spacing w:val="-2"/>
                <w:sz w:val="20"/>
              </w:rPr>
              <w:t>style="font- </w:t>
            </w:r>
            <w:r>
              <w:rPr>
                <w:sz w:val="20"/>
              </w:rPr>
              <w:t>size: medium;"&gt;</w:t>
              <w:tab/>
              <w:t>&lt;strong&gt;</w:t>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6883" w:val="left" w:leader="none"/>
              </w:tabs>
              <w:spacing w:line="190" w:lineRule="exact" w:before="0"/>
              <w:rPr>
                <w:sz w:val="20"/>
              </w:rPr>
            </w:pPr>
            <w:r>
              <w:rPr>
                <w:sz w:val="20"/>
              </w:rPr>
              <w:t>&lt;/span&gt;&lt;/p&gt;&lt;p style="text-align: center;"&gt;  &lt;span style="font-size: small;"&gt;</w:t>
              <w:tab/>
              <w:t>&lt;strong&gt;</w:t>
            </w:r>
          </w:p>
          <w:p>
            <w:pPr>
              <w:pStyle w:val="TableParagraph"/>
              <w:tabs>
                <w:tab w:pos="3511" w:val="left" w:leader="none"/>
                <w:tab w:pos="4229" w:val="left" w:leader="none"/>
                <w:tab w:pos="5174" w:val="left" w:leader="none"/>
              </w:tabs>
              <w:spacing w:line="208" w:lineRule="auto" w:before="5"/>
              <w:ind w:right="547"/>
              <w:rPr>
                <w:sz w:val="20"/>
              </w:rPr>
            </w:pPr>
            <w:r>
              <w:rPr>
                <w:sz w:val="20"/>
              </w:rPr>
              <w:t>&lt;span style="font-size: medium;"&gt;</w:t>
              <w:tab/>
              <w:t>&lt;span style="font-family: &amp;quot;times new roman&amp;quot;, times;"&gt;RELATÓRIO&lt;/span&gt;</w:t>
              <w:tab/>
              <w:t>&lt;/span&gt;</w:t>
              <w:tab/>
              <w:t>&lt;/strong&gt; &lt;/span&gt;&lt;/p&gt;&lt;p style="line-height:1.7999999999999998;text-indent: 70.86614173228347pt;text-align: justify;margin-top:12pt;margin-bottom:12pt;" dir="ltr"&gt;&lt;span style="font-size:12pt;font- family:'Times New Roman',serif;color:#000000;background-color:transparent;font- weight:400;font-style:normal;font-variant:normal;text-decoration:none;vertical- align:baseline;white-space:pre;white-space:pre-wrap;"&gt;Trata-se de&lt;/span&gt; &lt;span style="font-size:12pt;font-family:'Times New Roman',serif;color:#000000;background-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21"/>
              <w:rPr>
                <w:sz w:val="20"/>
              </w:rPr>
            </w:pPr>
            <w:r>
              <w:rPr>
                <w:sz w:val="20"/>
              </w:rPr>
              <w:t>color:transparent;font-weight:400;font-style:normal;font-variant:normal;text- decoration:none;vertical-align:baseline;white-space:pre;white-space:pre-wrap;"&gt;</w:t>
            </w:r>
          </w:p>
          <w:p>
            <w:pPr>
              <w:pStyle w:val="TableParagraph"/>
              <w:spacing w:line="208" w:lineRule="auto" w:before="0"/>
              <w:ind w:right="415"/>
              <w:rPr>
                <w:sz w:val="20"/>
              </w:rPr>
            </w:pPr>
            <w:r>
              <w:rPr>
                <w:sz w:val="20"/>
              </w:rPr>
              <w:t>&lt;strong&gt;Recurso de Apelação Cível&lt;/strong&gt;&lt;/span&gt; &lt;span style="font-size:12pt;font- family:'Times New Roman',serif;color:#000000;background-color:transparent;font- weight:400;font-style:normal;font-variant:normal;text-decoration:none;vertical- align:baseline;white-space:pre;white-space:pre-wrap;"&gt;interposto por&lt;/span&gt;&lt;span style="font-size:12pt;font-family:'Times New Roman',serif;color:#000000;background- color:transparent;font-weight:400;font-style:normal;font-variant:normal;text- decoration:none;vertical-align:baseline;white-space:pre;white-space:pre-wrap;"&gt;</w:t>
            </w:r>
          </w:p>
          <w:p>
            <w:pPr>
              <w:pStyle w:val="TableParagraph"/>
              <w:spacing w:line="208" w:lineRule="auto" w:before="0"/>
              <w:ind w:right="136"/>
              <w:rPr>
                <w:sz w:val="20"/>
              </w:rPr>
            </w:pPr>
            <w:r>
              <w:rPr>
                <w:sz w:val="20"/>
              </w:rPr>
              <w:t>&lt;strong&gt;HRH Jericoacoara Empreendimentos Hoteleiro SPE Ltda&lt;/strong&gt;&lt;/span&gt;&lt;span style="font-size:12pt;font-family:'Times New Roman',serif;color:#000000;background- color:transparent;font-weight:400;font-style:normal;font-variant:normal;text- decoration:none;vertical-align:baseline;white-space:pre;white-space:pre-wrap;"&gt;., com o objetivo de ter reformada sentença prolatada pelo douto&lt;/span&gt;&lt;span style="font- size:12pt;font-family:'Times New Roman',serif;color:#000000;background- color:transparent;font-weight:400;font-style:normal;font-variant:normal;text- decoration:none;vertical-align:baseline;white-space:pre;white-space:pre-wrap;"&gt;</w:t>
            </w:r>
          </w:p>
          <w:p>
            <w:pPr>
              <w:pStyle w:val="TableParagraph"/>
              <w:spacing w:line="208" w:lineRule="auto" w:before="0"/>
              <w:ind w:right="31"/>
              <w:rPr>
                <w:sz w:val="20"/>
              </w:rPr>
            </w:pPr>
            <w:r>
              <w:rPr>
                <w:sz w:val="20"/>
              </w:rPr>
              <w:t>&lt;strong&gt;Juiz de Direito da 3ª Vara Cível da Comarca de Fortaleza&lt;/strong&gt;&lt;/span&gt;&lt;span style="font-size:12pt;font-family:'Times New Roman',serif;color:#000000;background- color:transparent;font-weight:400;font-style:normal;font-variant:normal;text- decoration:none;vertical-align:baseline;white-space:pre;white-space:pre-wrap;"&gt;, quando do julgamento da&lt;/span&gt; &lt;span style="font-size:12pt;font-family:'Times New Roman',serif;color:#000000;background-color:transparent;font-weight:400;font- style:normal;font-variant:normal;text-decoration:none;vertical-align:baseline;white- space:pre;white-space:pre-wrap;"&gt; &lt;strong&gt;Ação de Rescisão Contratual c/c Devolução de Valores Pagos e Tutela Provisória de Urgência&lt;/strong&gt;&lt;/span&gt;&lt;span style="font- size:12pt;font-family:'Times New Roman',serif;color:#000000;background- color:transparent;font-weight:400;font-style:normal;font-variant:normal;text- decoration:none;vertical-align:baseline;white-space:pre;white-space:pre-wrap;"&gt;, </w:t>
            </w:r>
            <w:r>
              <w:rPr>
                <w:spacing w:val="-3"/>
                <w:sz w:val="20"/>
              </w:rPr>
              <w:t>manejada </w:t>
            </w:r>
            <w:r>
              <w:rPr>
                <w:sz w:val="20"/>
              </w:rPr>
              <w:t>em seu desfavor por&lt;/span&gt;&lt;span style="font-size:12pt;font-family:'Times New Roman',serif;color:#000000;background-color:transparent;font-weight:400;font- style:normal;font-variant:normal;text-decoration:none;vertical-align:baseline;white- space:pre;white-space:pre-wrap;"&gt; &lt;strong&gt;José Elano Farias Vasconcelos.&lt;/strong&gt;&lt;/span&gt;&lt;/p&gt;&lt;p style="line-height:1.7999999999999998;text-indent: 70.86614173228347pt;text-align: justify;margin-top:12pt;margin-bottom:12pt;" dir="ltr"&gt;</w:t>
            </w:r>
          </w:p>
          <w:p>
            <w:pPr>
              <w:pStyle w:val="TableParagraph"/>
              <w:spacing w:line="208" w:lineRule="auto" w:before="0"/>
              <w:ind w:right="865"/>
              <w:rPr>
                <w:sz w:val="20"/>
              </w:rPr>
            </w:pPr>
            <w:r>
              <w:rPr>
                <w:sz w:val="20"/>
              </w:rPr>
              <w:t>&lt;span style="font-size:12pt;font-family:'Times New Roman',serif;color:#000000;background-color:transparent;font-weight:400;font- style:normal;font-variant:normal;text-decoration:none;vertical-align:baseline;white-</w:t>
            </w:r>
          </w:p>
          <w:p>
            <w:pPr>
              <w:pStyle w:val="TableParagraph"/>
              <w:spacing w:line="208" w:lineRule="auto" w:before="0"/>
              <w:ind w:right="20"/>
              <w:rPr>
                <w:sz w:val="20"/>
              </w:rPr>
            </w:pPr>
            <w:r>
              <w:rPr>
                <w:sz w:val="20"/>
              </w:rPr>
              <w:t>space:pre;white-space:pre-wrap;"&gt;Eis o dispositivo da decisão impugnada (Sentença de ID 29000130):&lt;/span&gt;&lt;/p&gt;&lt;p style="line-height:1.7999999999999998;margin-left: 113.38582677165354pt;text-align: justify;margin-top:12pt;margin-bottom:12pt;" dir="ltr"&gt;&amp;#160;&lt;/p&gt;&lt;p style="line-height:1.7999999999999998;margin-left: 113.38582677165354pt;text-align: justify;margin-top:12pt;margin-bottom:12pt;" dir="ltr"&gt;</w:t>
            </w:r>
          </w:p>
          <w:p>
            <w:pPr>
              <w:pStyle w:val="TableParagraph"/>
              <w:spacing w:line="208" w:lineRule="auto" w:before="0"/>
              <w:ind w:right="153"/>
              <w:rPr>
                <w:sz w:val="20"/>
              </w:rPr>
            </w:pPr>
            <w:r>
              <w:rPr>
                <w:sz w:val="20"/>
              </w:rPr>
              <w:t>&lt;span style="font-size:12pt;font-family:'Times New Roman',serif;color:#000000;background-color:transparent;font-weight:400;font- style:italic;font-variant:normal;text-decoration:none;vertical-align:baseline;white- space:pre;white-space:pre-wrap;"&gt;“3. DISPOSITIVO. Diante do exposto, (I) rejeito a preliminar da contestação, (II) revogo a decisão liminar proferida no ID 120843531 e (III) julgo parcialmente procedente a ação para (III.1) rescindir o contrato objeto desta demanda e (III.2) condenar a requerida a restituir ao requerente os valores pagos pelo contrato ora rescindido, ficando a requerida com o direito de retenção de 25% incidente nesta quantia. Considerando a sucumbência recíproca, condeno o requerente a pagar 50% das custas processuais, bem como arcar com os honorários sucumbenciais em 10% sobre o valor da causa, consoante art. 85, §2º, do CPC, acrescido de correção monetária</w:t>
            </w:r>
          </w:p>
          <w:p>
            <w:pPr>
              <w:pStyle w:val="TableParagraph"/>
              <w:spacing w:line="208" w:lineRule="auto" w:before="0"/>
              <w:ind w:right="1"/>
              <w:rPr>
                <w:sz w:val="20"/>
              </w:rPr>
            </w:pPr>
            <w:r>
              <w:rPr>
                <w:sz w:val="20"/>
              </w:rPr>
              <w:t>pelo INPC desde a data da propositura da ação e de juros moratórios de 1% ao mês desde o trânsito em julgado da decisão, cuja exigibilidade ficará suspensa, nos termos do art. 98,</w:t>
            </w:r>
          </w:p>
          <w:p>
            <w:pPr>
              <w:pStyle w:val="TableParagraph"/>
              <w:spacing w:line="208" w:lineRule="auto" w:before="0"/>
              <w:ind w:right="146"/>
              <w:rPr>
                <w:sz w:val="20"/>
              </w:rPr>
            </w:pPr>
            <w:r>
              <w:rPr>
                <w:sz w:val="20"/>
              </w:rPr>
              <w:t>§3º, do CPC; enquanto que condeno a requerida a pagar 50% das custas processuais, bem como arcar com os honorários sucumbenciais em 10% sobre o valor da causa, consoante art. 85, §2º, do CPC, acrescido de correção monetária pelo INPC desde a </w:t>
            </w:r>
            <w:r>
              <w:rPr>
                <w:spacing w:val="-5"/>
                <w:sz w:val="20"/>
              </w:rPr>
              <w:t>data </w:t>
            </w:r>
            <w:r>
              <w:rPr>
                <w:sz w:val="20"/>
              </w:rPr>
              <w:t>da propositura da ação e de juros moratórios de 1% ao mês desde o trânsito em julgado da decisão”.&amp;#160;&lt;/span&gt;&lt;/p&gt;&lt;p style="line-height:1.7999999999999998;text-indent: 70.86614173228347pt;text-align: justify;margin-top:12pt;margin-bottom:12pt;" dir="ltr"&gt;&amp;#160;&lt;/p&gt;&lt;p style="line-height:1.7999999999999998;text-indent: 70.86614173228347pt;text-align: justify;margin-top:12pt;margin-bottom:12pt;" dir="ltr"&gt;</w:t>
            </w:r>
          </w:p>
          <w:p>
            <w:pPr>
              <w:pStyle w:val="TableParagraph"/>
              <w:spacing w:line="208" w:lineRule="auto" w:before="0"/>
              <w:ind w:right="74"/>
              <w:rPr>
                <w:sz w:val="20"/>
              </w:rPr>
            </w:pPr>
            <w:r>
              <w:rPr>
                <w:sz w:val="20"/>
              </w:rPr>
              <w:t>&lt;span style="font-size:12pt;font-family:'Times New Roman',serif;color:#000000;background-color:transparent;font-weight:400;font- style:normal;font-variant:normal;text-decoration:none;vertical-align:baseline;white- space:pre;white-space:pre-wrap;"&gt;A recorrente, em suas razões de ID 29000132, afirma que restou configurado que a rescisão contratual partiu por iniciativa exclusiva do </w:t>
            </w:r>
            <w:r>
              <w:rPr>
                <w:spacing w:val="-3"/>
                <w:sz w:val="20"/>
              </w:rPr>
              <w:t>apelado, </w:t>
            </w:r>
            <w:r>
              <w:rPr>
                <w:sz w:val="20"/>
              </w:rPr>
              <w:t>por questões financeiras, conforme declarado na própria sentença, devendo, portanto,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64"/>
              <w:rPr>
                <w:sz w:val="20"/>
              </w:rPr>
            </w:pPr>
            <w:r>
              <w:rPr>
                <w:sz w:val="20"/>
              </w:rPr>
              <w:t>serem observadas as regras do contrato (campo 6), elencada na Lei Federal nº 4.591/1964. Argumenta que não restam dúvidas de que a cláusula em comento é válida, haja vista que está em consonância com a legislação pátria e o firmado entendimento jurisprudencial. Deve-se, portanto, ser retido valor da comissão de corretagem, uma vez que a transação contou com o seguimento e assinatura de corretor habilitado no CRECI/CE para a formalização do instrumento. Requer a modificação da sentença </w:t>
            </w:r>
            <w:r>
              <w:rPr>
                <w:spacing w:val="-4"/>
                <w:sz w:val="20"/>
              </w:rPr>
              <w:t>sendo </w:t>
            </w:r>
            <w:r>
              <w:rPr>
                <w:sz w:val="20"/>
              </w:rPr>
              <w:t>aplicada as retenções devidas, haja vista que a apelante em nada contribuiu para o interesse do apelado em rescindir o contrato válido. Roga pelo integral provimento da presente apelação, reconhecida a legalidade das deduções aplicadas a título de rescisão contratual, especialmente no que tange à taxa de comissão, conforme contrato assinado.&lt;/span&gt;&lt;/p&gt;&lt;p style="line-height:1.7999999999999998;text-indent: 70.86614173228347pt;text-align: justify;margin-top:12pt;margin-bottom:12pt;" dir="ltr"&gt;</w:t>
            </w:r>
          </w:p>
          <w:p>
            <w:pPr>
              <w:pStyle w:val="TableParagraph"/>
              <w:spacing w:line="208" w:lineRule="auto" w:before="0"/>
              <w:ind w:right="87"/>
              <w:rPr>
                <w:sz w:val="20"/>
              </w:rPr>
            </w:pPr>
            <w:r>
              <w:rPr>
                <w:sz w:val="20"/>
              </w:rPr>
              <w:t>&lt;span style="font-size:12pt;font-family:'Times New Roman',serif;color:#000000;background-color:transparent;font-weight:400;font- style:normal;font-variant:normal;text-decoration:none;vertical-align:baseline;white- space:pre;white-space:pre-wrap;"&gt;Ao seu turno, o demandante sustenta que o documento apresentado pela apelante não pode ser considerado por esta Colenda Câmara, devendo ser desentranhado dos autos ou, subsidiariamente, simplesmente desconsiderado para efeito de julgamento. Destaca que a decisão de origem aplicou corretamente o limite máximo permitido de retenção, não havendo espaço para a inovação pretendida pela apelante. Requer o reconhecimento da litigância de má-fé da apelante, com aplicação das sanções do art. 81 do CPC e a manutenção integral da sentença (ID 29000138).&amp;#160;&lt;/span&gt;&lt;/p&gt;&lt;p style="line-height:1.7999999999999998;text-indent: 70.86614173228347pt;text-align: justify;margin-top:12pt;margin-bottom:12pt;" dir="ltr"&gt;</w:t>
            </w:r>
          </w:p>
          <w:p>
            <w:pPr>
              <w:pStyle w:val="TableParagraph"/>
              <w:spacing w:line="208" w:lineRule="auto" w:before="0"/>
              <w:ind w:right="298"/>
              <w:rPr>
                <w:sz w:val="20"/>
              </w:rPr>
            </w:pPr>
            <w:r>
              <w:rPr>
                <w:sz w:val="20"/>
              </w:rPr>
              <w:t>&lt;span style="font-size:12pt;font-family:'Times New Roman',serif;color:#000000;background-color:transparent;font-weight:400;font- style:normal;font-variant:normal;text-decoration:none;vertical-align:baseline;white- space:pre;white-space:pre-wrap;"&gt;Por se tratar de demanda absolutamente </w:t>
            </w:r>
            <w:r>
              <w:rPr>
                <w:spacing w:val="-2"/>
                <w:sz w:val="20"/>
              </w:rPr>
              <w:t>patrimonial, </w:t>
            </w:r>
            <w:r>
              <w:rPr>
                <w:sz w:val="20"/>
              </w:rPr>
              <w:t>deixei de encaminhar os autos à digna Procuradoria Geral de Justiça.&amp;#160;&amp;#160;&lt;/span&gt; &lt;span style="font-size: small; text-align: center;"&gt;&amp;#160;&lt;/span&gt;&lt;/p&gt;&lt;p style="line-height:1.7999999999999998;text-indent: 70.86614173228347pt;text-align: justify;margin-top:12pt;margin-bottom:12pt;" dir="ltr"&gt;</w:t>
            </w:r>
          </w:p>
          <w:p>
            <w:pPr>
              <w:pStyle w:val="TableParagraph"/>
              <w:spacing w:line="208" w:lineRule="auto" w:before="0"/>
              <w:ind w:right="48"/>
              <w:rPr>
                <w:sz w:val="20"/>
              </w:rPr>
            </w:pPr>
            <w:r>
              <w:rPr>
                <w:sz w:val="20"/>
              </w:rPr>
              <w:t>&lt;span style="font-size:12pt;font-family:'Times New Roman',serif;color:#000000;background-color:transparent;font-weight:400;font- style:normal;font-variant:normal;text-decoration:none;vertical-align:baseline;white- space:pre;white-space:pre-wrap;"&gt;É o relatório.&lt;/span&gt;&lt;/p&gt;&lt;p style="line- height:1.7999999999999998;text-indent: 70.86614173228347pt;text-align: justify;margin- top:12pt;margin-bottom:12pt;" dir="ltr"&gt; &lt;strong style="font-size: small; text-align: center;"&gt;</w:t>
            </w:r>
          </w:p>
          <w:p>
            <w:pPr>
              <w:pStyle w:val="TableParagraph"/>
              <w:tabs>
                <w:tab w:pos="3400" w:val="left" w:leader="none"/>
              </w:tabs>
              <w:spacing w:line="208" w:lineRule="auto" w:before="0"/>
              <w:ind w:right="584"/>
              <w:rPr>
                <w:sz w:val="20"/>
              </w:rPr>
            </w:pPr>
            <w:r>
              <w:rPr>
                <w:sz w:val="20"/>
              </w:rPr>
              <w:t>&lt;span style="font-size: medium;"&gt;</w:t>
              <w:tab/>
              <w:t>&lt;span style="font-family: &amp;quot;times new roman&amp;quot;, times;"&gt;&amp;#160; &amp;#160; &amp;#160; &amp;#160; &amp;#160; &amp;#160; &amp;#160; &amp;#160; &amp;#160; &amp;#160; &amp;#160; &amp;#160; &amp;#160; &amp;#160; &amp;#160; &amp;#160; &amp;#160; &amp;#160; </w:t>
            </w:r>
            <w:r>
              <w:rPr>
                <w:spacing w:val="-3"/>
                <w:sz w:val="20"/>
              </w:rPr>
              <w:t>&amp;#160; </w:t>
            </w:r>
            <w:r>
              <w:rPr>
                <w:sz w:val="20"/>
              </w:rPr>
              <w:t>&amp;#160; &amp;#160; &amp;#160; &amp;#160; &amp;#160; &amp;#160; &amp;#160; &amp;#160; &amp;#160; &amp;#160; </w:t>
            </w:r>
            <w:r>
              <w:rPr>
                <w:spacing w:val="-3"/>
                <w:sz w:val="20"/>
              </w:rPr>
              <w:t>&amp;#160;</w:t>
            </w:r>
          </w:p>
          <w:p>
            <w:pPr>
              <w:pStyle w:val="TableParagraph"/>
              <w:tabs>
                <w:tab w:pos="2930" w:val="left" w:leader="none"/>
              </w:tabs>
              <w:spacing w:line="208" w:lineRule="auto" w:before="0"/>
              <w:ind w:right="44"/>
              <w:rPr>
                <w:sz w:val="20"/>
              </w:rPr>
            </w:pPr>
            <w:r>
              <w:rPr>
                <w:sz w:val="20"/>
              </w:rPr>
              <w:t>&amp;#160; &amp;#160; VOTO&lt;/span&gt;</w:t>
              <w:tab/>
              <w:t>&lt;/span&gt; &lt;/strong&gt;&lt;/p&gt;&lt;p style="line-height: 1.7999999999999998; text-indent: 70.86614173228347pt; text-align: justify; margin-top: 12pt; margin-bottom: 12pt;" dir="ltr"&gt; &lt;span style="font-size: 12pt; font-family: 'Times New Roman',serif; color: #000000; background-color: transparent; font-weight: 700; font-style: normal; font-variant: normal; text-decoration: none; vertical-align: baseline; white-space: pre-wrap;"&gt;1. Admissibilidade.&lt;/span&gt;&lt;/p&gt;&lt;p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pre-wrap;"&gt;Em juízo inicial de admissibilidade, observa-se que todos os requisitos necessários para o processamento e desenvolvimento válido do Recurso de Apelação Cível, encontram-se devidamente cumpridos. Dessa forma, o mesmo deve ser conhecido.&lt;/span&gt;&lt;/p&gt;&lt;p style="line-height: 1.7999999999999998; text-indent: 70.86614173228347pt; text-align: justify; margin-top: 12pt; margin-bottom: 12pt;" dir="ltr"&gt; &lt;span style="font-size: 12pt; font- family: 'Times New Roman',serif; color: #000000; background-color: transparent; font- weight: 700; font-style: normal; font-variant: normal; text-decoration: none; vertical-align: baseline; white-space: pre-wrap;"&gt;2. Mérito.&lt;/span&gt;&lt;/p&gt;&lt;p style="line-height: 1.7999999999999998; text-indent: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pre-wrap;"&gt;No primeiro grau, o Sr. José Elano Farias Vasconcelos ingressou com Ação de Rescisão Contratual c/c Devolução dos Valores Pagos e Tutela de Urgência, em face de HRH Jericoacoara Empreendimento Hoteleiro SPE Ltda. Aduz que adquiriu junto à requerida uma Cota Imobiliária Temporal de Unidade Autônoma Compartilhada do empreendimento "Residence Club at the Hard Rock Hotel Fortaleza", por meio de </w:t>
            </w:r>
            <w:r>
              <w:rPr>
                <w:spacing w:val="-3"/>
                <w:sz w:val="20"/>
              </w:rPr>
              <w:t>Contrato </w:t>
            </w:r>
            <w:r>
              <w:rPr>
                <w:sz w:val="20"/>
              </w:rPr>
              <w:t>Particular de Promessa de Venda e Compra de Fração de Tempo de Imóvel 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Multipropriedade nº J2-31273, devidamente anexado à exordial. O preço total da venda da fração imobiliária foi de R$ 147.900,00 (cento e quarenta e sete mil e novecentos reais), com pagamento realizado através de uma entrada e o resto parcelado. Entretanto, após ter a ciência dos reiterados atrasos na entrega do empreendimento nos jornais e revistas locais, optou em rescindir o contrato por receio de que o seu investimento não tivesse retorno, manejando o envio do requerimento por&lt;/span&gt; &lt;span style="font-size: 12pt; font- family: 'Times New Roman',serif; color: #000000; background-color: transparent; font- weight: 400; font-style: italic; font-variant: normal; text-decoration: none; vertical-align: baseline; white-space: pre-wrap;"&gt;e-mail&lt;/span&gt;&lt;span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no entanto não conseguiu resolver a situação de forma administrativa. Requer o julgamento procedente da presente ação para determinar a rescisão do contrato de promessa de compra e venda pactuado entre as partes; determinar a restituição do valor pago pela parte autora com a dedução no mínimo reconhecido pelo STJ.&lt;/span&gt;&lt;/p&gt;&lt;p style="line-height: 1.7999999999999998; text-indent: 70.86614173228347pt; text-align: justify; margin-top: 12pt; margin-bottom: 12pt;" dir="ltr"&gt;</w:t>
            </w:r>
          </w:p>
          <w:p>
            <w:pPr>
              <w:pStyle w:val="TableParagraph"/>
              <w:spacing w:line="208" w:lineRule="auto" w:before="0"/>
              <w:ind w:right="30"/>
              <w:rPr>
                <w:sz w:val="20"/>
              </w:rPr>
            </w:pPr>
            <w:r>
              <w:rPr>
                <w:sz w:val="20"/>
              </w:rPr>
              <w:t>&lt;span style="font-size: 12pt; font-family: 'Times New Roman',serif; color: #000000; background-color: transparent; font-weight: 400; font-style: normal; font-variant: normal; text-decoration: none; vertical-align: baseline; white-space: pre-wrap;"&gt;O magistrado da 3ª Vara Cível da Comarca de Fortaleza deferiu o pedido de tutela de urgência determinando que a requerida não efetuasse qualquer tipo de cobrança relacionada ao contrato pactuado, a contar do pedido de rescisão contratual. Ainda, que se abstivesse de incluir o nome do autor nos cadastros negativadores de crédito relativo ao débito discutido nos autos (decisão de id 28999180).&lt;/span&gt;&lt;/p&gt;&lt;p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 wrap;"&gt;Contestação da promovida consta sob o id 29000113. Na oportunidade sustenta a ré que o fato da rescisão contratual se deu por iniciativa da parte requerente que tenta se desvencilhar de suas obrigações, visto que a requerida se encontra perfeitamente adimplente em relação ao prazo de entrega do empreendimento. Na realidade, o assunto trazido nessa vereda trata de interesse do requerente em rescindir o contrato fora do prazo de arrependimento, onde não lhe cabe invocar direitos sob a égide do Direito do Consumidor como se a requerida tivesse cometido algum ilícito. As cláusulas de rescisão contratual são exatamente para não haver prejuízo para as partes do negócio pactuado.</w:t>
            </w:r>
          </w:p>
          <w:p>
            <w:pPr>
              <w:pStyle w:val="TableParagraph"/>
              <w:spacing w:line="208" w:lineRule="auto" w:before="0"/>
              <w:ind w:right="103"/>
              <w:rPr>
                <w:sz w:val="20"/>
              </w:rPr>
            </w:pPr>
            <w:r>
              <w:rPr>
                <w:sz w:val="20"/>
              </w:rPr>
              <w:t>Não podem ser simplesmente desconsideradas, como pretende a parte requerente. Sustenta que agiu de boa fé com o cumprimento do que restou pactuado e considerado plenamente válido e eficaz no contrato celebrado entre as partes.&lt;/span&gt;&lt;/p&gt;&lt;p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pre-wrap;"&gt;Réplica do autor ao id 29000120. Roga o demandante pela confirmação da tutela antecipada e requer o julgamento antecipado do feito.&lt;/span&gt;&lt;/p&gt;&lt;p style="line-height: 1.7999999999999998; text-indent: 70.86614173228347pt; text-align: justify; margin-top: 12pt; margin-bottom: 12pt;" dir="ltr"&gt;</w:t>
            </w:r>
          </w:p>
          <w:p>
            <w:pPr>
              <w:pStyle w:val="TableParagraph"/>
              <w:spacing w:line="208" w:lineRule="auto" w:before="0"/>
              <w:ind w:right="18"/>
              <w:rPr>
                <w:sz w:val="20"/>
              </w:rPr>
            </w:pPr>
            <w:r>
              <w:rPr>
                <w:sz w:val="20"/>
              </w:rPr>
              <w:t>&lt;span style="font-size: 12pt; font-family: 'Times New Roman',serif; color: #000000; background-color: transparent; font-weight: 400; font-style: normal; font-variant: normal; text-decoration: none; vertical-align: baseline; white-space: pre-wrap;"&gt;Sem produção de provas, sobreveio a sentença de procedência ora impugnada.&lt;/span&gt;&lt;/p&gt;&lt;p style="line- height: 1.7999999999999998; text-indent: 70.86614173228347pt; text-align: justify; margin- top: 12pt; margin-bottom: 12pt;" dir="ltr"&gt; &lt;span style="font-size: 12pt; font-family: 'Times New Roman',serif; color: #000000; background-color: transparent; font-weight: 400; font- style: normal; font-variant: normal; text-decoration: none; vertical-align: baseline; white- space: pre-wrap;"&gt;O cerne da controvérsia recursal reside no montante de retenção de valores a serem pagos ao promitente vendedor, na hipótese de rescisão contratual por culpa exclusiva do promitente comprador, notadamente em relação à possibilidade de dedução cumulativa da comissão de corretagem.&lt;/span&gt;&lt;/p&gt;&lt;p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 relação jurídica entre as partes é inequivocamente de consumo, o que atrai a incidência do Código de Defesa do Consumidor (CDC).&lt;/span&gt;&lt;/p&gt;&lt;p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7"/>
              <w:rPr>
                <w:sz w:val="20"/>
              </w:rPr>
            </w:pPr>
            <w:r>
              <w:rPr>
                <w:sz w:val="20"/>
              </w:rPr>
              <w:t>pre-wrap;"&gt;Sobre o tema, o Tribunal da Cidadania pacificou o entendimento, cristalizado na Súmula 543, de que, em caso de culpa do comprador, a restituição deve ser parcial. Além disso, estabeleceu que o percentual de retenção pelo vendedor deve flutuar entre 10% e 25% dos valores pagos.&lt;/span&gt;&lt;/p&gt;&lt;p style="line-height: 1.7999999999999998; text-indent: 70.86614173228347pt; text-align: justify; margin-top: 12pt;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pre-wrap;"&gt;Embora o Art. 67-A da Lei de Incorporações Imobiliárias preveja a possibilidade de retenção cumulativa da corretagem e da pena convencional (limitada a 25% da quantia paga), esta Corte de Justiça deve harmonizar a legislação específica com o mandamento protetivo do CDC e a jurisprudência consolidada do STJ.&lt;/span&gt;&lt;/p&gt;&lt;p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pre-wrap;"&gt;Primeiramente, a validade da cláusula que transfere a obrigação da corretagem ao consumidor exige que o promitente-comprador seja previamente informado do preço total da aquisição com o destaque do valor da comissão de corretagem. O apelado alega que não houve essa transparência e que a venda foi realizada em&lt;/span&gt;</w:t>
            </w:r>
          </w:p>
          <w:p>
            <w:pPr>
              <w:pStyle w:val="TableParagraph"/>
              <w:spacing w:line="208" w:lineRule="auto" w:before="0"/>
              <w:ind w:right="20"/>
              <w:rPr>
                <w:sz w:val="20"/>
              </w:rPr>
            </w:pPr>
            <w:r>
              <w:rPr>
                <w:sz w:val="20"/>
              </w:rPr>
              <w:t>&lt;span style="font-size: 12pt; font-family: 'Times New Roman',serif; color: #000000; background-color: transparent; font-weight: 400; font-style: italic; font-variant: normal; text- decoration: none; vertical-align: baseline; white-space: pre-wrap;"&gt;stand&lt;/span&gt; &lt;span style="font-size: 12pt; font-family: 'Times New Roman',serif; color: #000000; background- color: transparent; font-weight: 400; font-style: normal; font-variant: normal; text-decoration: none; vertical-align: baseline; white-space: pre-wrap;"&gt;por prepostos da própria vendedora. De fato, durante a instrução a recorrente não demonstrou de forma satisfatória que tenha repassado a informação de forma adequada.&lt;/span&gt;&lt;/p&gt;&lt;p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pre-wrap;"&gt;&amp;#160;&lt;/span&gt; &lt;span style="background-color: transparent; font-family: &amp;quot;Times New Roman&amp;quot;, serif; font-size: 12pt; white-space-collapse: preserve; text- indent: 70.8661pt;"&gt;Em segundo lugar, a retenção de 25% sobre os valores pagos, adotada pela jurisprudência, possui natureza indenizatória e cominatória, destinando-se justamente a cobrir todas as despesas administrativas da incorporadora (incluindo as de corretagem, publicidade e administração). Admitir uma retenção de 25% mais a corretagem de 6% sobre o valor total do contrato implicaria em desvantagem exagerada para o consumidor, vedada pelo Art. 51, IV, do CDC.&lt;/span&gt;&lt;/p&gt;&lt;p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pre-wrap;"&gt;Por oportuno, trago trecho extraído do REsp nº 2.106.548/SP, Relatora Ministra Nancy Andrighi, j. 03/09/2025):&lt;/span&gt;&lt;/p&gt;&lt;p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13"/>
              <w:rPr>
                <w:sz w:val="20"/>
              </w:rPr>
            </w:pPr>
            <w:r>
              <w:rPr>
                <w:sz w:val="20"/>
              </w:rPr>
              <w:t>&lt;em&gt;(…) Como resultado da interpretação dos arts. 51, IV, e 53 do CDC e do princípio da vedação ao enriquecimento sem causa, esta Corte extraiu a conclusão de que é abusiva a perda substancial dos valores pagos na hipótese de resolução do contrato de compra e venda de imóvel por culpa do consumidor, não podendo a retenção ultrapassar o percentual de 25%dos valores pagos pelo consumidor. 5. O referido percentual possui natureza indenizatória e cominatória, de forma que abrange, de uma só vez, todos os valores que devem ser ressarcidos ao vendedor pela extinção do contrato por culpa do consumidor e, ainda, um reforço da garantia de que o pacto deve ser cumprido em sua integralidade. Precedente. 6. Portanto, em se tratando de resolução de contrato de </w:t>
            </w:r>
            <w:r>
              <w:rPr>
                <w:spacing w:val="-3"/>
                <w:sz w:val="20"/>
              </w:rPr>
              <w:t>compra </w:t>
            </w:r>
            <w:r>
              <w:rPr>
                <w:sz w:val="20"/>
              </w:rPr>
              <w:t>e venda de imóvel por culpa do adquirente, em loteamento urbano, os descontos autorizados no art. 32-A da Lei nº 6.766/1979 devem ser observados como regra geral.</w:t>
            </w:r>
          </w:p>
          <w:p>
            <w:pPr>
              <w:pStyle w:val="TableParagraph"/>
              <w:spacing w:line="208" w:lineRule="auto" w:before="0"/>
              <w:ind w:right="42"/>
              <w:rPr>
                <w:sz w:val="20"/>
              </w:rPr>
            </w:pPr>
            <w:r>
              <w:rPr>
                <w:sz w:val="20"/>
              </w:rPr>
              <w:t>Todavia, quando se tratar de relação de consumo, a soma dos descontos deve respeitar o limite máximo de retenção de 25% dos valores pagos, com exceção da taxa de fruição (…)".&lt;/em&gt; &lt;/span&gt;&lt;/p&gt;&lt;p style="line-height: 1.7999999999999998; text-indent: 70.86614173228347pt; text-align: justify; margin-top: 12pt; margin-bottom: 0pt;" dir="ltr"&gt;&lt;span style="font-size: 12pt; font-family: 'Times New Roman',serif; color: </w:t>
            </w:r>
            <w:r>
              <w:rPr>
                <w:spacing w:val="-3"/>
                <w:sz w:val="20"/>
              </w:rPr>
              <w:t>#000000; </w:t>
            </w:r>
            <w:r>
              <w:rPr>
                <w:sz w:val="20"/>
              </w:rPr>
              <w:t>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text-decoration: none; vertical-align: baseline; white-space: pre-wrap;"&gt;O juízo&lt;/span&gt;</w:t>
            </w:r>
          </w:p>
          <w:p>
            <w:pPr>
              <w:pStyle w:val="TableParagraph"/>
              <w:spacing w:line="208" w:lineRule="auto" w:before="9"/>
              <w:ind w:right="37"/>
              <w:rPr>
                <w:sz w:val="20"/>
              </w:rPr>
            </w:pPr>
            <w:r>
              <w:rPr>
                <w:sz w:val="20"/>
              </w:rPr>
              <w:t>&lt;span style="font-size: 12pt; font-family: 'Times New Roman',serif; color: #000000; background-color: transparent; font-weight: 400; font-style: italic; font-variant: normal; text- decoration: none; vertical-align: baseline; white-space: pre-wrap;"&gt;a quo&lt;/span&gt;&lt;span style="font-size: 12pt; font-family: 'Times New Roman',serif; color: #000000; background- color: transparent; font-weight: 400; font-style: normal; font-variant: normal; text-decoration: none; vertical-align: baseline; white-space: pre-wrap;"&gt;, ao concluir que os 6% da corretagem estavam "embutidos" no percentual de 25%, aplicou corretamente o princípio da razoabilidade e proporcionalidade em favor da manutenção do equilíbrio contratual e </w:t>
            </w:r>
            <w:r>
              <w:rPr>
                <w:spacing w:val="-8"/>
                <w:sz w:val="20"/>
              </w:rPr>
              <w:t>da </w:t>
            </w:r>
            <w:r>
              <w:rPr>
                <w:sz w:val="20"/>
              </w:rPr>
              <w:t>tutela do consumidor, garantindo à vendedora, em compensação, o teto indenizatório máximo admitido pelo STJ (25%).&lt;/span&gt;&lt;/p&gt;&lt;p style="line-height: 1.7999999999999998; text-indent: 70.86614173228347pt; text-align: justify; margin-top: 12pt;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pre-wrap;"&gt;Sobre o tema, confira-se os seguintes precedentes desta Corte de Justiça:&lt;/span&gt;&lt;/p&gt;&lt;p style="line-height: 1.7999999999999998; margin-left: 113.38582677165354pt; text-align: justify; margin-top: 12pt; margin-bottom: 0pt;" dir="ltr"&gt; &lt;span style="font-size: 12pt; font- family: 'Times New Roman',serif; color: #000000; background-color: transparent; font- weight: 400; font-style: normal; font-variant: normal; text-decoration: none; vertical-align: baseline; white-space: pre-wrap;"&gt;Direito civil e do consumidor. Apelação cível. Promessa de compra e venda de imóvel urbano. Rescisão contratual por iniciativa do consumidor.</w:t>
            </w:r>
          </w:p>
          <w:p>
            <w:pPr>
              <w:pStyle w:val="TableParagraph"/>
              <w:spacing w:line="208" w:lineRule="auto" w:before="0"/>
              <w:ind w:right="357"/>
              <w:rPr>
                <w:sz w:val="20"/>
              </w:rPr>
            </w:pPr>
            <w:r>
              <w:rPr>
                <w:sz w:val="20"/>
              </w:rPr>
              <w:t>Cláusula penal de 20% (vinte por cento) sobre os valores pagos. Possibilidade de restituição parcelada em até 12 (doze) meses após o trânsito em julgado. Comissão de corretagem não restituída diante da ausência de prova de cobrança indevida.</w:t>
            </w:r>
          </w:p>
          <w:p>
            <w:pPr>
              <w:pStyle w:val="TableParagraph"/>
              <w:spacing w:line="208" w:lineRule="auto" w:before="0"/>
              <w:ind w:right="19"/>
              <w:rPr>
                <w:sz w:val="20"/>
              </w:rPr>
            </w:pPr>
            <w:r>
              <w:rPr>
                <w:sz w:val="20"/>
              </w:rPr>
              <w:t>Sucumbência recíproca mantida diante do acolhimento parcial dos pedidos. Recurso desprovido. I. Caso em exame. 1. Apelação cível interposta por Wagner Patrício Gonçalves de Souza contra sentença proferida pelo juízo da 2ª Vara Cível da Comarca de Maracanaú/CE, em ação de rescisão contratual cumulada com restituição de valores pagos e tutela de urgência, movida em face de Novum Pacatuba Empreendimentos Imobiliários SPE Ltda. O pedido principal consistiu na resolução do contrato de promessa de compra e venda de imóvel urbano, com restituição integral das quantias pagas, afastamento da cláusula penal de 20% (vinte por cento), devolução imediata dos valores, restituição da comissão de corretagem e condenação exclusiva da ré aos encargos da sucumbência. A sentença julgou parcialmente procedente o pedido para declarar a resolução contratual, condenar a ré à restituição das parcelas adimplidas com retenção de 20% (vinte por cento), excluir a comissão de corretagem da devolução e permitir o reembolso no prazo de até 12 (doze) meses contados do trânsito em julgado, reconhecendo ainda a sucumbência recíproca. II. Questão em discussão. 2. Há quatro questões em discussão: (i) definir se a cláusula penal de 20% (vinte por cento) sobre os valores pagos deve ser reduzida, à luz dos princípios da equidade e da função social do contrato; (ii) estabelecer se a restituição das quantias devidas pode ser diferida para até </w:t>
            </w:r>
            <w:r>
              <w:rPr>
                <w:spacing w:val="-9"/>
                <w:sz w:val="20"/>
              </w:rPr>
              <w:t>12 </w:t>
            </w:r>
            <w:r>
              <w:rPr>
                <w:sz w:val="20"/>
              </w:rPr>
              <w:t>(doze) meses após o trânsito em julgado ou se deve ocorrer de forma imediata; (iii) verificar se a comissão de corretagem deve ser restituída ao consumidor, diante da alegada ausência de informação clara e prévia; (iv) analisar se houve sucumbência mínima do autor, de modo a afastar a distribuição proporcional dos ônus sucumbenciais.</w:t>
            </w:r>
          </w:p>
          <w:p>
            <w:pPr>
              <w:pStyle w:val="TableParagraph"/>
              <w:spacing w:line="208" w:lineRule="auto" w:before="0"/>
              <w:ind w:right="18"/>
              <w:rPr>
                <w:sz w:val="20"/>
              </w:rPr>
            </w:pPr>
            <w:r>
              <w:rPr>
                <w:sz w:val="20"/>
              </w:rPr>
              <w:t>III. Razões de decidir. 3. Em relação à cláusula penal, o Tribunal manteve a retenção de 20% (vinte por cento) sobre os valores pagos, considerando-a proporcional à iniciativa do comprador na resolução do contrato e à frustração legítima da expectativa da vendedora. Reconheceu que, embora o art. 413 do Código Civil permita a revisão judicial da penalidade, essa intervenção exige demonstração de excessiva onerosidade, o que não </w:t>
            </w:r>
            <w:r>
              <w:rPr>
                <w:spacing w:val="-9"/>
                <w:sz w:val="20"/>
              </w:rPr>
              <w:t>se </w:t>
            </w:r>
            <w:r>
              <w:rPr>
                <w:sz w:val="20"/>
              </w:rPr>
              <w:t>verificou no caso concreto. Destacou-se ainda que o percentual está dentro dos parâmetros jurisprudenciais aceitos, entre 10% (dez por cento) e 25% (vinte e cinco por cento) do montante pago, especialmente quando o contrato versa sobre imóvel urbano sem construção e não há comprovação de gastos extraordinários por parte da vendedora.</w:t>
            </w:r>
          </w:p>
          <w:p>
            <w:pPr>
              <w:pStyle w:val="TableParagraph"/>
              <w:spacing w:line="208" w:lineRule="auto" w:before="0"/>
              <w:ind w:right="57"/>
              <w:rPr>
                <w:sz w:val="20"/>
              </w:rPr>
            </w:pPr>
            <w:r>
              <w:rPr>
                <w:sz w:val="20"/>
              </w:rPr>
              <w:t>4. Quanto ao prazo para devolução das quantias pagas, o acórdão confirmou a legalidade do reembolso em até 12 (doze) meses contados do trânsito em julgado, com atualização monetária pelo IGPM e incidência de juros de mora de 1% (um por cento) ao mês. A Corte considerou que a restituição diferida, nesse prazo e com encargos compensatórios, não afronta os princípios da reparação integral ou da boa-fé objetiva, tampouco configura enriquecimento ilícito da incorporadora. Enfatizou-se que essa solução preserva o equilíbrio da relação contratual e evita onerosidade excessiva à ré, especialmente diante da ausência de construção ou ocupação do imóvel. 5. No tocante à comissão de corretagem, o Tribunal concluiu que o autor não comprovou ausência de ciência prévia ou de transparência quanto à obrigação contratual de pagamento. Assentou que, conforme a jurisprudência consolidada, é válida a cobrança da corretagem desde que haja destaque contratual e conhecimento do consumidor, sendo ônus da parte autora a prova em sentido contrário, nos termos do art. 373, I, do CPC. Como não foram apresentados documentos ou argumentos específicos que infirmassem a regularidade da cobrança, a sentença foi mantida nesse ponto. 6. Sobre a sucumbência, a Corte reafirmou o reconhecimento 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9"/>
              <w:rPr>
                <w:sz w:val="20"/>
              </w:rPr>
            </w:pPr>
            <w:r>
              <w:rPr>
                <w:sz w:val="20"/>
              </w:rPr>
              <w:t>sucumbência recíproca, nos termos do art. 86, caput, do CPC, uma vez que a sentença acolheu parcialmente os pedidos do autor e rejeitou outros de igual relevância, como a devolução da comissão de corretagem, a redução da cláusula penal e a restituição imediata. Considerou-se inexistente êxito substancial do autor, sendo legítima a distribuição proporcional dos encargos da sucumbência. A vedação à compensação de honorários advocatícios, prevista no art. 85, § 14, do CPC, também foi corretamente observada. 7. Em razão do desprovimento do recurso, os honorários advocatícios foram majorados em 10% (dez por cento) sobre a quantia fixada na sentença, nos termos do art. 85, §§ 2º e 11, do CPC, observada a eventual suspensão da exigibilidade por força da gratuidade da justiça deferida ao apelante. IV. Dispositivo e teses 8. Recurso desprovido. (APELAÇÃO CÍVEL - 02035550220248060117, Relator(a): EVERARDO LUCENA</w:t>
            </w:r>
          </w:p>
          <w:p>
            <w:pPr>
              <w:pStyle w:val="TableParagraph"/>
              <w:spacing w:line="208" w:lineRule="auto" w:before="0"/>
              <w:ind w:right="149"/>
              <w:rPr>
                <w:sz w:val="20"/>
              </w:rPr>
            </w:pPr>
            <w:r>
              <w:rPr>
                <w:sz w:val="20"/>
              </w:rPr>
              <w:t>SEGUNDO, 2ª Câmara de Direito Privado, Data do julgamento: 02/10/2025).&amp;#160;&lt;/span&gt;&lt;/p&gt;&lt;p style="line-height: 1.7999999999999998; margin-left: 113.38582677165354pt; text-align: justify; margin-top: 12pt; margin-bottom: 0pt;"</w:t>
            </w:r>
            <w:r>
              <w:rPr>
                <w:spacing w:val="-17"/>
                <w:sz w:val="20"/>
              </w:rPr>
              <w:t> </w:t>
            </w:r>
            <w:r>
              <w:rPr>
                <w:sz w:val="20"/>
              </w:rPr>
              <w:t>dir="ltr"&gt;</w:t>
            </w:r>
          </w:p>
          <w:p>
            <w:pPr>
              <w:pStyle w:val="TableParagraph"/>
              <w:spacing w:line="208" w:lineRule="auto" w:before="0"/>
              <w:ind w:right="130"/>
              <w:rPr>
                <w:sz w:val="20"/>
              </w:rPr>
            </w:pPr>
            <w:r>
              <w:rPr>
                <w:sz w:val="20"/>
              </w:rPr>
              <w:t>&lt;span style="font-size: 12pt; font-family: 'Times New Roman',serif; color: #000000; background-color: transparent; font-weight: 400; font-style: normal; font-variant: normal; text-decoration: none; vertical-align: baseline; white-space: pre-wrap;"&gt;Direito Civil e do Consumidor. Apelação Cível. Rescisão de Contrato de Promessa de Compra e Venda. Restituição de Valores Pagos. Percentual de retenção reajustado. Sentença parcialmente reformada. Recurso conhecido e parcialmente provido. I. Caso em exame: 1. Cuida-se de Recurso de Apelação Cível interposto por La Cittá Incorporações SPE Ltda. e Magis Incorporações e Construções Ltda., contra sentença que julgou parcialmente procedentes os pedidos de Rescisão de Contrato de Compra e Venda, condenando as rés solidariamente à restituição do valores pagos. II. Questões em discussão: 2. Consiste em</w:t>
            </w:r>
          </w:p>
          <w:p>
            <w:pPr>
              <w:pStyle w:val="TableParagraph"/>
              <w:spacing w:line="208" w:lineRule="auto" w:before="0"/>
              <w:ind w:right="20"/>
              <w:rPr>
                <w:sz w:val="20"/>
              </w:rPr>
            </w:pPr>
            <w:r>
              <w:rPr>
                <w:sz w:val="20"/>
              </w:rPr>
              <w:t>(I) verificar a legitimidade passiva da empresa Magis Incorporações Ltda.; (II) examinar o percentual de retenção dos valores pagos; (III) determinar a forma de devolução dos valores; (IV) se correto o índice de correção monetária; (V) avaliar a responsabilidade pela comissão de corretagem; (VI) analisar o valor fixado a título de honorários advocatícios. III. Razões de decidir: 3. Quanto à legitimidade passiva, as empresas rés fazem parte do mesmo grupo econômico e têm responsabilidade solidária, nos termos do CDC. 4. Em relação ao percentual de retenção, no caso em julgamento, considera-se mais adequado o percentual de 25%, conforme jurisprudência consolidada do STJ. 5. A devolução dos valores retidos deve ser imediata, em parcela única, mesmo no caso de rescisão por culpa do comprador. 6. A correção monetária deve ser realizada pelo INPC, por refletir melhor a desvalorização da moeda. 7. A comissão de corretagem não pode ser imputada ao autor, por ausência de comprovante de pagamento e previsão contratual clara. 8. Os honorários advocatícios foram fixados de acordo com a legislação vigente e não se justifica a sua redução. IV. Dispositivo: 9. Sentença parcialmente reformada. Recurso conhecido e parcialmente provido. (Apelação Cível - 0152938-42.2017.8.06.0001, Rel. Desembargador FRANCISCO LUCÍDIO DE QUEIROZ JÚNIOR, 3ª Câmara Direito Privado, data do julgamento: 26/03/2025, data da publicação: 26/03/2025).&lt;/span&gt;&lt;/p&gt;&lt;p style="line- height: 1.7999999999999998; margin-left: 113.38582677165354pt; text-align: justify; margin-top: 12pt; margin-bottom: 0pt;"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pre-wrap;"&gt;DIREITO CIVIL E DIREITO DO CONSUMIDOR. APELAÇÃO CÍVEL E RECURSO ADESIVO. AÇÃO DE RESCISÃO CONTRATUAL C/C INDENIZAÇÃO POR DANOS MORAIS. INADIMPLEMENTO DO PROMITENTE-COMPRADOR QUANTO AO PAGAMENTO DO VALOR RESIDUAL. RETENÇÃO PARCIAL DAS PARCELAS PAGAS EM 25% (VINTE E CINCO POR CENTO). PERCENTUAL EM CONSONÂNCIA COM A SÚMULA 543 E TEMA 577 DO STJ. COMISSÃO DE CORRETAGEM INDEVIDA. TEMA REPETITIVO 938 DO STJ. DESPROVIMENTO DE AMBOS OS RECURSOS. I. CASO EM EXAME 1. Trata-se, na hipótese, de Apelação Cível interposta por Joe Hallyson Aguiar Silva, parte promovida, e Recurso Adesivo de Sara Cordeiro Eloia, autora, hostilizando sentença de parcial procedência proferida pelo juízo da 3ª Vara Cível da Comarca de Sobral, na Ação de Desfazimento de Relação Contratual c/c Indenização por Danos Morais, Processo n° 0071448-19.2016.8.06.0167. 2. As partes celebraram promessa de compra e venda de imóvel em construção, com pagamento parcial e previsão de financiamento bancário. O financiamento não foi aprovado por questões técnicas do imóvel. A sentença reconheceu a culpa da autora pela rescisão, mas limitou a retenção a 25% dos valores pagos, declarando abusivas cláusulas que previam retenção total. 3. No apelo, objetivou o réu a nulidade da sentença por alegado cerceamento de defesa e no mérito a exclusão da condenação à devolução de valores pagos a título de comissão de corretagem. No recurso adesivo a autora buscou o reconhecimento da culpa exclusiva do réu pelo desfazimento do contrato, a nulidade de cláusula contratual e a restituição integral dos valores pagos. II. QUESTÃO EM DISCUSSÃO 4. Há quatro questões em discussão: saber se houve cerceamento de defesa pela ausência de intimação pessoal do réu para audiência; se é válida cláusula contratual que transfere ao comprador a responsabilidade pela obtenção de financiamento, mesmo diante da inaptidão técnica do imóvel; e saber se é devida a devolução integral ou parcial das quantias pagas diante do inadimplemento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4"/>
              <w:rPr>
                <w:sz w:val="20"/>
              </w:rPr>
            </w:pPr>
            <w:r>
              <w:rPr>
                <w:sz w:val="20"/>
              </w:rPr>
              <w:t>promitente-comprador; se devida a retenção pelo vendedor de quantia paga a título de comissão de permanência. III. RAZÕES DE DECIDIR 5. Rejeitada a tese de cerceamento de defesa. É que, como se extrai dos autos, o réu advoga em causa própria e foi devidamente intimado para comparecimento à audiência de instrução, conforme se vê da certidão de fls.295-2966 e comprovante de AR recebido em 29.09.23, por ele assinado, com número de identificação ali constante, que repousa às fls.302. 6. A relação entre as partes é de consumo, sendo aplicável o CDC. 7. Não se mostra abusiva a cláusula de ciência e aceite das condições do imóvel, vez que não contraria a ordem pública, a função social do contrato ou normas cogentes. Ademais, a assertiva evidencia que houve fornecimento prévio de informações técnicas essenciais e aceitação consciente, prevenindo alegações futuras de desconhecimento ou vícios de consentimento. 8 Constatada a culpa da autora pelo desfazimento contratual, é devida a restituição parcial das quantias pagas, com retenção de 25%, conforme jurisprudência consolidada do STJ (Súmula 543 e Tema 577). Indevida a retenção de comissão de corretagem, diante da ausência de informação clara no contrato, como prevê o Tema Repetitivo 938 do STJ. 9. </w:t>
            </w:r>
            <w:r>
              <w:rPr>
                <w:spacing w:val="-18"/>
                <w:sz w:val="20"/>
              </w:rPr>
              <w:t>A </w:t>
            </w:r>
            <w:r>
              <w:rPr>
                <w:sz w:val="20"/>
              </w:rPr>
              <w:t>não concessão do dano moral é consequência lógica do entendimento de que a autora deu causa ao desfazimento do negócio. IV. DISPOSITIVO E TESE 10. Recursos conhecidos e desprovidos. Sentença mantida. Dispositivos relevantes citados: CDC, arts. 2° e 3°. Jurisprudência relevante citada: STJ: Súmula nº 543 do STJ; Tema 577 e 938; AgInt no AREsp: 2201700 RJ 2022/0277299-2, Relator.: Ministro Raul Araújo, j: 21/08/2023, T4 - Quarta Turma; TJ-CE - AC: 0106790-70.2017.8.06 .0001 Eusébio,</w:t>
            </w:r>
          </w:p>
          <w:p>
            <w:pPr>
              <w:pStyle w:val="TableParagraph"/>
              <w:tabs>
                <w:tab w:pos="939" w:val="left" w:leader="none"/>
              </w:tabs>
              <w:spacing w:line="208" w:lineRule="auto" w:before="0"/>
              <w:ind w:right="31"/>
              <w:rPr>
                <w:sz w:val="20"/>
              </w:rPr>
            </w:pPr>
            <w:r>
              <w:rPr>
                <w:sz w:val="20"/>
              </w:rPr>
              <w:t>Relator.: Maria Regina Oliveira Câmara PORT. 605/2024, j: 05/06/2024, 3ª Câmara Direito Privado; AC 0229374-66 .2022.8.06.0001 Fortaleza, Relator.: André Luiz de Souza Costa, j: 26/03/2024, 4ª Câmara Direito Privado. (Apelação Cível - 0071448-19.2016.8.06.0167, Rel. Desembargador(a) JOSE EVANDRO NOGUEIRA LIMA FILHO, 4ª Câmara Direito Privado, data do julgamento: 21/07/2025, data da publicação: 23/07/2025).&lt;/span&gt;&lt;/p&gt;&lt;p style="line-height: 1.7999999999999998; text-indent: 70.86614173228347pt; text-align: justify; margin-top: 12pt; margin-bottom: 0pt;" dir="ltr"&gt; &lt;span style="font-size: 12pt; font- family: 'Times New Roman',serif; color: #000000; background-color: transparent; font- weight: 400; font-style: normal; font-variant: normal; text-decoration: none; vertical-align: baseline; white-space: pre-wrap;"&gt;No caso dos autos, impõe-se reconhecer que o magistrado singular agiu em estrita conformidade com a jurisprudência dominante deste Tribunal de Justiça e do Superior Tribunal de Justiça.&lt;/span&gt;&lt;/p&gt;&lt;p style="line-height: 1.7999999999999998; text-indent: 70.86614173228347pt; text-align: justify; margin-top: 12pt; margin-bottom: 0pt;" dir="ltr"&gt; &lt;span style="font-size: 12pt; font-family: &amp;quot;Times New Roman&amp;quot;, serif; color: #000000; background-color: transparent; font-style: </w:t>
            </w:r>
            <w:r>
              <w:rPr>
                <w:spacing w:val="-3"/>
                <w:sz w:val="20"/>
              </w:rPr>
              <w:t>normal; </w:t>
            </w:r>
            <w:r>
              <w:rPr>
                <w:sz w:val="20"/>
              </w:rPr>
              <w:t>font-variant: normal; text-decoration: none; vertical-align: baseline; white-space: pre- wrap;"&gt;</w:t>
              <w:tab/>
              <w:t>&lt;strong&gt;Dispositivo.&lt;/strong&gt; &lt;/span&gt;&lt;/p&gt;&lt;p style="line-height: 1.7999999999999998; text-indent: 70.86614173228347pt; text-align: justify; margin-top: 12pt; margin-bottom: 0pt;" dir="ltr"&gt; &lt;strong&gt; &lt;span style="font-size: 12pt; font-family: &amp;quot;Times New Roman&amp;quot;, serif; color: #000000; background-color: transparent; font- style: normal; font-variant: normal; text-decoration: none; vertical-align: baseline; white- space: pre-wrap;"&gt;Diante do exposto e fundamentado, CONHEÇO o Recurso de Apelação Cível para no mérito,&lt;/span&gt; &lt;span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 wrap;"&gt;NEGAR-LHE PROVIMENTO&lt;/span&gt; &lt;span style="font-size: 12pt; font-family: &amp;quot;Times New Roman&amp;quot;, serif; color: #000000; background-color: transparent; font- style: normal; font-variant: normal; text-decoration: none; vertical-align: baseline; white- space: pre-wrap;"&gt;, mantendo-se inalterada a sentença de primeiro grau.&lt;/span&gt;&lt;/strong&gt;</w:t>
            </w:r>
          </w:p>
          <w:p>
            <w:pPr>
              <w:pStyle w:val="TableParagraph"/>
              <w:tabs>
                <w:tab w:pos="4756" w:val="left" w:leader="none"/>
              </w:tabs>
              <w:spacing w:line="188" w:lineRule="exact" w:before="0"/>
              <w:rPr>
                <w:sz w:val="20"/>
              </w:rPr>
            </w:pPr>
            <w:r>
              <w:rPr>
                <w:sz w:val="20"/>
              </w:rPr>
              <w:t>&lt;strong style="font-size: small; text-align: center;"&gt;</w:t>
              <w:tab/>
              <w:t>&lt;span style="font-size: medium;"&gt;</w:t>
            </w:r>
          </w:p>
          <w:p>
            <w:pPr>
              <w:pStyle w:val="TableParagraph"/>
              <w:tabs>
                <w:tab w:pos="2584" w:val="left" w:leader="none"/>
                <w:tab w:pos="3529" w:val="left" w:leader="none"/>
                <w:tab w:pos="6234" w:val="left" w:leader="none"/>
              </w:tabs>
              <w:spacing w:line="208" w:lineRule="auto" w:before="8"/>
              <w:ind w:right="40"/>
              <w:rPr>
                <w:sz w:val="20"/>
              </w:rPr>
            </w:pPr>
            <w:r>
              <w:rPr>
                <w:sz w:val="20"/>
              </w:rPr>
              <w:t>&lt;span style="font-family: &amp;quot;times new roman&amp;quot;, times;"&gt;</w:t>
              <w:tab/>
              <w:t>&lt;span id="docs- internal-guid-5921dbeb-7fff-87e1-7f0f-e9138456b880" style="font-weight: normal;"&gt;&amp;#160;&lt;/span&gt;</w:t>
              <w:tab/>
              <w:t>&lt;/span&gt;</w:t>
              <w:tab/>
              <w:t>&lt;/span&gt; &lt;/strong&gt;&lt;/p&gt;&lt;p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pre-wrap;"&gt;Em observância ao Art. 85, § 11, do CPC, majoro o percentual dos honorários devidos pela apelante ao patrono do apelado para 15% (quinze por cento) sobre o valor </w:t>
            </w:r>
            <w:r>
              <w:rPr>
                <w:spacing w:val="-9"/>
                <w:sz w:val="20"/>
              </w:rPr>
              <w:t>da </w:t>
            </w:r>
            <w:r>
              <w:rPr>
                <w:sz w:val="20"/>
              </w:rPr>
              <w:t>condenação, mantendo a proporção da sucumbência recíproca e a suspensão da exigibilidade em relação ao apelado (Art. 98, § 3º, CPC).&lt;/span&gt;&lt;/p&gt;&lt;p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pre-wrap;"&gt;&amp;#160;&lt;/span&gt; &lt;span style="font-family: &amp;quot;times new roman&amp;quot;, times; font-size: medium; text-indent: 8%;"&gt;É como voto.&lt;/span&gt;&lt;/p&gt;&lt;p style="line-height: 1.7999999999999998; text-indent: 70.86614173228347pt; text-align: justify; margin-top: 12pt; margin-bottom: 0pt;" dir="ltr"&gt; &lt;span style="font-family: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0208506-96.2024.8.06.0001</w:t>
            </w:r>
          </w:p>
        </w:tc>
      </w:tr>
      <w:tr>
        <w:trPr>
          <w:trHeight w:val="3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443" w:val="left" w:leader="none"/>
              </w:tabs>
              <w:spacing w:line="208" w:lineRule="auto" w:before="26"/>
              <w:ind w:right="49"/>
              <w:rPr>
                <w:sz w:val="20"/>
              </w:rPr>
            </w:pPr>
            <w:r>
              <w:rPr>
                <w:sz w:val="20"/>
              </w:rPr>
              <w:t>roman&amp;quot;, times; font-size: medium; text-indent: 8%;"&gt;&amp;#160;&lt;/span&gt; &lt;span style="font-family: &amp;quot;times new roman&amp;quot;, times; font-size: medium; text-indent: 8%;"&gt;Fortaleza/CE, data registrada no sistema.&lt;/span&gt;&lt;/p&gt;&lt;p style="text-indent: 8%; </w:t>
            </w:r>
            <w:r>
              <w:rPr>
                <w:spacing w:val="-4"/>
                <w:sz w:val="20"/>
              </w:rPr>
              <w:t>text- </w:t>
            </w:r>
            <w:r>
              <w:rPr>
                <w:sz w:val="20"/>
              </w:rPr>
              <w:t>align: justify;"&gt;  &lt;span style="font-size: small;"&gt;</w:t>
              <w:tab/>
              <w:t>&lt;span style="font-size: medium;"&gt;</w:t>
            </w:r>
          </w:p>
          <w:p>
            <w:pPr>
              <w:pStyle w:val="TableParagraph"/>
              <w:tabs>
                <w:tab w:pos="6234" w:val="left" w:leader="none"/>
                <w:tab w:pos="7090" w:val="left" w:leader="none"/>
              </w:tabs>
              <w:spacing w:line="190" w:lineRule="exact" w:before="0"/>
              <w:rPr>
                <w:sz w:val="20"/>
              </w:rPr>
            </w:pPr>
            <w:r>
              <w:rPr>
                <w:sz w:val="20"/>
              </w:rPr>
              <w:t>&lt;span style="font-family: &amp;quot;times new roman&amp;quot;, times;"&gt;</w:t>
              <w:tab/>
              <w:t>&lt;br /&gt;</w:t>
              <w:tab/>
              <w:t>&lt;/span&gt;</w:t>
            </w:r>
          </w:p>
          <w:p>
            <w:pPr>
              <w:pStyle w:val="TableParagraph"/>
              <w:tabs>
                <w:tab w:pos="1683" w:val="left" w:leader="none"/>
                <w:tab w:pos="3995" w:val="left" w:leader="none"/>
                <w:tab w:pos="4921" w:val="left" w:leader="none"/>
                <w:tab w:pos="4963" w:val="left" w:leader="none"/>
              </w:tabs>
              <w:spacing w:line="208" w:lineRule="auto" w:before="10"/>
              <w:ind w:right="163"/>
              <w:rPr>
                <w:sz w:val="20"/>
              </w:rPr>
            </w:pPr>
            <w:r>
              <w:rPr>
                <w:sz w:val="20"/>
              </w:rPr>
              <w:t>&lt;/span&gt; &lt;/span&gt;&lt;/p&gt;&lt;p style="text-indent: 8%; text-align: center;"&gt; &lt;span style="font- size: medium;"&gt;</w:t>
              <w:tab/>
              <w:t>&lt;strong style="font-size: small;"&gt;</w:t>
              <w:tab/>
              <w:t>&lt;span style="font-family: &amp;quot;times new roman&amp;quot;, times;"&gt;</w:t>
              <w:tab/>
              <w:t>&lt;br /&gt;</w:t>
              <w:tab/>
              <w:tab/>
              <w:t>&lt;span style="font-size:</w:t>
            </w:r>
            <w:r>
              <w:rPr>
                <w:spacing w:val="-16"/>
                <w:sz w:val="20"/>
              </w:rPr>
              <w:t> </w:t>
            </w:r>
            <w:r>
              <w:rPr>
                <w:sz w:val="20"/>
              </w:rPr>
              <w:t>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Crédito Direto ao Consumidor - CDC</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SERGIO SCHULZE - (CE7629-A)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MORENO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PATRICIA STRAUB BASTOS - (MT33834-A)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&lt;strong&gt;PROCESSO&lt;/strong&gt;:&amp;#160;3001352-07.2025.8.06.0071 -&amp;#160;APELAÇÃO</w:t>
            </w:r>
          </w:p>
          <w:p>
            <w:pPr>
              <w:pStyle w:val="TableParagraph"/>
              <w:tabs>
                <w:tab w:pos="6557" w:val="left" w:leader="none"/>
              </w:tabs>
              <w:spacing w:line="208" w:lineRule="auto" w:before="8"/>
              <w:ind w:right="511"/>
              <w:rPr>
                <w:sz w:val="20"/>
              </w:rPr>
            </w:pPr>
            <w:r>
              <w:rPr>
                <w:sz w:val="20"/>
              </w:rPr>
              <w:t>CÍVEL (198)&lt;/span&gt;  &lt;/span&gt;&lt;/p&gt;&lt;p&gt;  &lt;span style="font-size: small;"&gt;</w:t>
              <w:tab/>
              <w:t>&lt;span style="font-family: &amp;quot;times new roman&amp;quot;,</w:t>
            </w:r>
            <w:r>
              <w:rPr>
                <w:spacing w:val="-18"/>
                <w:sz w:val="20"/>
              </w:rPr>
              <w:t> </w:t>
            </w:r>
            <w:r>
              <w:rPr>
                <w:sz w:val="20"/>
              </w:rPr>
              <w:t>times;"&gt;APELANTE:&amp;#160;&lt;/span&gt;</w:t>
            </w:r>
          </w:p>
          <w:p>
            <w:pPr>
              <w:pStyle w:val="TableParagraph"/>
              <w:spacing w:line="208" w:lineRule="auto" w:before="0"/>
              <w:ind w:right="522"/>
              <w:rPr>
                <w:sz w:val="20"/>
              </w:rPr>
            </w:pPr>
            <w:r>
              <w:rPr>
                <w:sz w:val="20"/>
              </w:rPr>
              <w:t>&lt;/span&gt; &lt;span style="font-family: &amp;quot;times new roman&amp;quot;, times; font-size: small;"&gt;BANCO PAN S.A&lt;/span&gt;&lt;/p&gt;&lt;p&gt;&lt;span style="font-size: small;"&gt; &lt;span style="font-family: &amp;quot;times new roman&amp;quot;,</w:t>
            </w:r>
            <w:r>
              <w:rPr>
                <w:spacing w:val="-18"/>
                <w:sz w:val="20"/>
              </w:rPr>
              <w:t> </w:t>
            </w:r>
            <w:r>
              <w:rPr>
                <w:sz w:val="20"/>
              </w:rPr>
              <w:t>times;"&gt;APELADO:&lt;/span&gt;&lt;/span&gt;</w:t>
            </w:r>
          </w:p>
          <w:p>
            <w:pPr>
              <w:pStyle w:val="TableParagraph"/>
              <w:tabs>
                <w:tab w:pos="5517" w:val="left" w:leader="none"/>
                <w:tab w:pos="6262" w:val="left" w:leader="none"/>
                <w:tab w:pos="7089" w:val="left" w:leader="none"/>
              </w:tabs>
              <w:spacing w:line="208" w:lineRule="auto" w:before="0"/>
              <w:ind w:right="284"/>
              <w:rPr>
                <w:sz w:val="20"/>
              </w:rPr>
            </w:pPr>
            <w:r>
              <w:rPr>
                <w:sz w:val="20"/>
              </w:rPr>
              <w:t>&lt;span style="font-family: &amp;quot;times new roman&amp;quot;, times; font-size: </w:t>
            </w:r>
            <w:r>
              <w:rPr>
                <w:spacing w:val="-2"/>
                <w:sz w:val="20"/>
              </w:rPr>
              <w:t>small;"&gt;MARIA </w:t>
            </w:r>
            <w:r>
              <w:rPr>
                <w:sz w:val="20"/>
              </w:rPr>
              <w:t>MORENO DA SILVA&lt;/span&gt;&lt;span style="font-family: &amp;quot;times new roman&amp;quot;, times; font-size: small;"&gt;.&lt;/span&gt;&lt;/p&gt;&lt;p&gt;  &lt;span style="font-size: medium;"&gt;</w:t>
              <w:tab/>
              <w:t>&lt;span style="font-family: &amp;quot;times new roman&amp;quot;, times;"&gt;</w:t>
              <w:tab/>
              <w:t>&lt;br /&gt;</w:t>
              <w:tab/>
              <w:t>&lt;/span&gt;</w:t>
            </w:r>
          </w:p>
          <w:p>
            <w:pPr>
              <w:pStyle w:val="TableParagraph"/>
              <w:spacing w:line="208" w:lineRule="auto" w:before="0"/>
              <w:ind w:right="56"/>
              <w:rPr>
                <w:sz w:val="20"/>
              </w:rPr>
            </w:pPr>
            <w:r>
              <w:rPr>
                <w:sz w:val="20"/>
              </w:rPr>
              <w:t>&lt;/span&gt;&lt;/p&gt;&lt;p style="line-height: 1.7999999999999998; text-align: justify; margin-top: 0pt; margin-bottom: 0pt;" dir="ltr"&gt;&lt;span style="font-size: 12pt; font-family: 'Times New Roman',serif; color: #000000; background-color: transparent; font-weight: 700; font-style: normal; font-variant: normal; text-decoration: none; vertical-align: baseline; white-space: pre-wrap;"&gt;EMENTA: DIREITO DO CONSUMIDOR. APELAÇÃO CÍVEL EM AÇÃO REVISIONAL DE CONTRATO BANCÁRIO. SEGURO PRESTAMISTA. JUROS REMUNERATÓRIOS. ABUSIVIDADE. RESTITUIÇÃO EM DOBRO. APLICABILIDADE DO ART. 42, PARÁGRAFO ÚNICO, DO CDC. REVELIA DECRETADA NA ORIGEM. RECURSO PARCIALMENTE CONHECIDO E, NESSA EXTENSÃO,</w:t>
            </w:r>
          </w:p>
          <w:p>
            <w:pPr>
              <w:pStyle w:val="TableParagraph"/>
              <w:spacing w:line="208" w:lineRule="auto" w:before="0"/>
              <w:ind w:right="55"/>
              <w:rPr>
                <w:sz w:val="20"/>
              </w:rPr>
            </w:pPr>
            <w:r>
              <w:rPr>
                <w:sz w:val="20"/>
              </w:rPr>
              <w:t>DESPROVIDO.&lt;/span&gt; &lt;span style="font-size: 12pt; font-family: 'Times New Roman',serif; color: #000000; background-color: transparent; font-weight: 700; font-style: normal; font- variant: normal; text-decoration: none; vertical-align: baseline; white-space: pre-wrap;"&gt;</w:t>
            </w:r>
          </w:p>
          <w:p>
            <w:pPr>
              <w:pStyle w:val="TableParagraph"/>
              <w:spacing w:line="208" w:lineRule="auto" w:before="0"/>
              <w:ind w:right="20"/>
              <w:rPr>
                <w:sz w:val="20"/>
              </w:rPr>
            </w:pPr>
            <w:r>
              <w:rPr>
                <w:sz w:val="20"/>
              </w:rPr>
              <w:t>&lt;br /&gt;&lt;/span&gt; &lt;span style="font-size: 12pt; font-family: 'Times New Roman',serif; color: #000000; background-color: transparent; font-weight: 700; font-style: normal; font-variant: normal; text-decoration: none; vertical-align: baseline; white-space: pre-wrap;"&gt;Caso em exame:&lt;/span&gt;&lt;/p&gt;&lt;p style="line-height: 1.7999999999999998; text-align: justify; margin- top: 0pt; margin-bottom: 0pt;" dir="ltr"&gt; &lt;span style="font-size: 12pt; font-family: 'Times New Roman',serif; color: #000000; background-color: transparent; font-weight: 400; font- style: normal; font-variant: normal; text-decoration: none; vertical-align: baseline; white- space: pre-wrap;"&gt;1. Cuida-se de apelação cível interposta em face de sentença proferida pelo Juízo da 1ª Vara Cível da Comarca de Crato, que julgou parcialmente procedente ação revisional movida por consumidor, declarando a abusividade de encargos contratuais e determinando a restituição em dobro dos valores cobrados indevidamente.&lt;/span&gt;&lt;/p&gt;&lt;p style="line-height: 1.7999999999999998; text-align: justify; margin-top: 0pt; margin-bottom: 0pt;" dir="ltr"&gt;&lt;span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pre-wrap;"&gt;Questão em discussão:&amp;#160; &amp;#160;&lt;/span&gt; &lt;span style="font-size: 12pt; font-family: 'Times New Roman',serif; color: #000000; background-color: transparent; font-weight: 700; font-style: normal; font-variant: normal; text-decoration: none; vertical- align: baseline; white-space: pre-wrap;"&gt; &lt;br /&gt;&lt;/span&gt;&lt;span style="font-size: 12pt;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6"/>
              <w:rPr>
                <w:sz w:val="20"/>
              </w:rPr>
            </w:pPr>
            <w:r>
              <w:rPr>
                <w:sz w:val="20"/>
              </w:rPr>
              <w:t>family: 'Times New Roman',serif; color: #000000; background-color: transparent; font- weight: 400; font-style: normal; font-variant: normal; text-decoration: none; vertical-align: baseline; white-space: pre-wrap;"&gt;2. A controvérsia recursal consiste em verificar a legalidade da inclusão de seguro prestamista e IOF adicional, bem como a abusividade na cobrança de juros remuneratórios em percentual alegadamente abusivo, além da possibilidade de restituição em dobro das quantias pagas indevidamente.&lt;/span&gt;&lt;/p&gt;&lt;p style="line-height: 1.7999999999999998; text-align: justify; margin-top: 0pt; margin-bottom: 0pt;" dir="ltr"&gt;&lt;span style="font-size: 12pt; font-family: 'Times New Roman',serif; color: #000000; background-color: transparent; font-weight: 700; font-style: normal; font-variant: normal; text-decoration: none; vertical-align: baseline; white-space: pre-wrap;"&gt;Razões de decidir:&lt;/span&gt;&lt;span style="font-size: 12pt; font-family: 'Times New Roman',serif; color: #000000; background-color: transparent; font-weight: 700; font-style: normal; font-variant: normal; text-decoration: none; vertical-align: baseline; white-space: pre-wrap;"&gt; &lt;br</w:t>
            </w:r>
          </w:p>
          <w:p>
            <w:pPr>
              <w:pStyle w:val="TableParagraph"/>
              <w:spacing w:line="208" w:lineRule="auto" w:before="0"/>
              <w:ind w:right="20"/>
              <w:rPr>
                <w:sz w:val="20"/>
              </w:rPr>
            </w:pPr>
            <w:r>
              <w:rPr>
                <w:sz w:val="20"/>
              </w:rPr>
              <w:t>/&gt;&lt;/span&gt;&lt;span style="font-size: 12pt; font-family: 'Times New Roman',serif; color: #000000; background-color: transparent; font-weight: 400; font-style: normal; font-variant: normal; text-decoration: none; vertical-align: baseline; white-space: pre-wrap;"&gt;3. Revelia da instituição financeira, com incidência dos efeitos materiais previstos no art. 344 do CPC, de modo que as alegações de fato do autor se presumem verdadeiras.&lt;/span&gt;&lt;span style="font-size: 12pt; font-family: 'Times New Roman',serif; color: #000000; background- color: transparent; font-weight: 400; font-style: normal; font-variant: normal; text-decoration: none; vertical-align: baseline; white-space: pre-wrap;"&gt; &lt;br /&gt;&lt;/span&gt;&lt;span style="font- size: 12pt; font-family: 'Times New Roman',serif; color: #000000; background-color: transparent; font-weight: 400; font-style: normal; font-variant: normal; text-decoration: none; vertical-align: baseline; white-space: pre-wrap;"&gt;4. A cobrança de seguro prestamista de forma impositiva e unilateral é ilegal, impondo a exclusão dos encargos. &amp;#160;&lt;/span&gt;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 &lt;br</w:t>
            </w:r>
          </w:p>
          <w:p>
            <w:pPr>
              <w:pStyle w:val="TableParagraph"/>
              <w:spacing w:line="208" w:lineRule="auto" w:before="0"/>
              <w:ind w:right="19"/>
              <w:rPr>
                <w:sz w:val="20"/>
              </w:rPr>
            </w:pPr>
            <w:r>
              <w:rPr>
                <w:sz w:val="20"/>
              </w:rPr>
              <w:t>/&gt;&lt;/span&gt;&lt;span style="font-size: 12pt; font-family: 'Times New Roman',serif; color: #000000; background-color: transparent; font-weight: 400; font-style: normal; font-variant: normal; text-decoration: none; vertical-align: baseline; white-space: pre-wrap;"&gt;5. Com a inversão do ônus da prova e a revelia, cabia ao banco justificar a elevação dos juros, o </w:t>
            </w:r>
            <w:r>
              <w:rPr>
                <w:spacing w:val="-6"/>
                <w:sz w:val="20"/>
              </w:rPr>
              <w:t>que </w:t>
            </w:r>
            <w:r>
              <w:rPr>
                <w:sz w:val="20"/>
              </w:rPr>
              <w:t>não ocorreu. O consumidor, ao contrário, demonstrou de forma objetiva que o custo da operação alcançou valores desarrazoados, com taxas muito superiores à média de mercado. Inexistente comprovação, pelo banco, de custos específicos que justifiquem tal elevação. Configurada abusividade.&lt;/span&gt;&lt;span style="font-size: 12pt; font-family: </w:t>
            </w:r>
            <w:r>
              <w:rPr>
                <w:spacing w:val="-3"/>
                <w:sz w:val="20"/>
              </w:rPr>
              <w:t>'Times </w:t>
            </w:r>
            <w:r>
              <w:rPr>
                <w:sz w:val="20"/>
              </w:rPr>
              <w:t>New Roman',serif; color: #000000; background-color: transparent; font-weight: 400; font- style: normal; font-variant: normal; text-decoration: none; vertical-align: baseline; white- space: pre-wrap;"&gt; &lt;br /&gt;&lt;/span&gt;&lt;span style="font-size: 12pt; font-family: 'Times New Roman',serif; color: #000000; background-color: transparent; font-weight: 400; font-style: normal; font-variant: normal; text-decoration: none; vertical-align: baseline; white-space: pre-wrap;"&gt;6. A restituição em dobro dos valores pagos indevidamente encontra respaldo no art. 42, parágrafo único, do CDC, sendo desnecessária a comprovação de má-fé.</w:t>
            </w:r>
          </w:p>
          <w:p>
            <w:pPr>
              <w:pStyle w:val="TableParagraph"/>
              <w:spacing w:line="208" w:lineRule="auto" w:before="0"/>
              <w:ind w:right="25"/>
              <w:rPr>
                <w:sz w:val="20"/>
              </w:rPr>
            </w:pPr>
            <w:r>
              <w:rPr>
                <w:sz w:val="20"/>
              </w:rPr>
              <w:t>Incidência do dispositivo conforme precedentes do TJCE.&lt;/span&gt;&lt;/p&gt;&lt;p style="line-height: 1.7999999999999998; text-align: justify; margin-top: 0pt; margin-bottom: 0pt;" dir="ltr"&gt;&lt;span style="font-size: 12pt; font-family: 'Times New Roman',serif; color: #000000; background-color: transparent; font-weight: 700; font-style: normal; font-variant: normal; text-decoration: none; vertical-align: baseline; white-space: pre-wrap;"&gt;Dispositivo e tese:&lt;/span&gt; &lt;span style="font-size: 12pt; font-family: 'Times New Roman',serif; color: #000000; background-color: transparent; font-weight: 700; font-style: normal; font-variant: normal; text-decoration: none; vertical-align: baseline; white-space: pre-wrap;"&gt; &lt;br</w:t>
            </w:r>
          </w:p>
          <w:p>
            <w:pPr>
              <w:pStyle w:val="TableParagraph"/>
              <w:spacing w:line="208" w:lineRule="auto" w:before="0"/>
              <w:ind w:right="68"/>
              <w:rPr>
                <w:sz w:val="20"/>
              </w:rPr>
            </w:pPr>
            <w:r>
              <w:rPr>
                <w:sz w:val="20"/>
              </w:rPr>
              <w:t>/&gt;&lt;/span&gt;&lt;span style="font-size: 12pt; font-family: 'Times New Roman',serif; color: #000000; background-color: transparent; font-weight: 400; font-style: normal; font-variant: normal; text-decoration: none; vertical-align: baseline; white-space: pre-wrap;"&gt;7. Recurso parcialmente conhecido e, na parte conhecida, desprovido.&lt;/span&gt;&lt;span style="background-color: transparent; font-family: &amp;quot;Times New Roman&amp;quot;, serif; font-size: 12pt; font-weight: 700; white-space-collapse: preserve; text-align: center; text- indent: 2pt;"&gt;&amp;#160;&lt;/span&gt;&lt;/p&gt;&lt;p style="line-height: 2.4; text-align: center; margin-top: 12pt; margin-bottom: 12pt;" dir="ltr"&gt; &lt;span style="font-size: 13.999999999999998pt; font- family: 'Times New Roman',serif; color: #000000; background-color: transparent; font- weight: 700; font-style: normal; font-variant: normal; text-decoration: none; vertical-align: baseline; white-space: pre-wrap;"&gt;ACÓRDÃO&lt;/span&gt; &lt;span style="background-color: transparent; font-family: &amp;quot;Times New Roman&amp;quot;, serif; font-size: 14pt; font-weight: 700; white-space-collapse: preserve;"&gt;&amp;#160;&lt;/span&gt;&lt;/p&gt;&lt;p style="line-height: 1.7999999999999998; text-indent: 71pt; text-align: justify; margin-top: 6pt; margin-bottom: 12pt;" dir="ltr"&gt;&lt;span style="font-size: 12pt; font-family: 'Times New Roman',serif; color: #000000; background-color: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 &lt;span style="font-size: 12pt;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font-family: 'Times New Roman',serif; color: #000000; background-color: transparent; font- weight: 700; font-style: normal; font-variant: normal; text-decoration: none; vertical-align: baseline; white-space: pre-wrap;"&gt;CONHECER EM PARTE&lt;/span&gt; &lt;span style="font-size: 12pt; font-family: 'Times New Roman',serif; color: #000000; background-color: transparent; font-weight: 400; font-style: normal; font-variant: normal; text-decoration: none; vertical- align: baseline; white-space: pre-wrap;"&gt;e&lt;/span&gt;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pre-wrap;"&gt;NEGAR PROVIMENTO&lt;/span&gt; &lt;span style="font-size: 12pt; font- family: 'Times New Roman',serif; color: #000000; background-color: transparent; font- weight: 400; font-style: normal; font-variant: normal; text-decoration: none; vertical-align: baseline; white-space: pre-wrap;"&gt;à presente Apelação Cível, em conformidade com o voto do Relator.&lt;/span&gt;&lt;/p&gt;&lt;p style="line-height: 1.7999999999999998; text-indent: 71pt; text-align: justify; margin-top: 6pt; margin-bottom: 12pt;" dir="ltr"&gt; &lt;span style="font-size: 12pt; font-family: 'Times New Roman',serif; color: #000000; background-color: transparent; font-weight: 400; font-style: normal; font-variant: normal; text-decoration: none; vertical- align: baseline; white-space: pre-wrap;"&gt;Fortaleza, data registrada no sistema.&lt;/span&gt;&lt;/p&gt;&lt;p style="line-height: 1.7999999999999998; text-align: center;</w:t>
            </w:r>
          </w:p>
          <w:p>
            <w:pPr>
              <w:pStyle w:val="TableParagraph"/>
              <w:spacing w:line="208" w:lineRule="auto" w:before="0"/>
              <w:ind w:right="20"/>
              <w:rPr>
                <w:sz w:val="20"/>
              </w:rPr>
            </w:pPr>
            <w:r>
              <w:rPr>
                <w:sz w:val="20"/>
              </w:rPr>
              <w:t>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pre-wrap;"&gt;MARIA REGINA OLIVEIRA CÂMARA&lt;/span&gt;&lt;/p&gt;&lt;p style="line-height: 1.7999999999999998; text-align: center;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pre-wrap;"&gt;Presidente do Órgão Julgador&lt;/span&gt;&lt;/p&gt;&lt;p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700; font-style: normal; font-variant: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white- space: pre-wrap;"&gt;FRANCISCO LUCÍDIO DE QUEIROZ JÚNIOR&lt;/span&gt;&lt;/p&gt;&lt;p style="line-height: 1.7999999999999998; text-align: center; margin-top: 12pt; margin- bottom: 12pt;" dir="ltr"&gt; &lt;span style="font-size: 12pt; font-family: 'Times New Roman',serif; color: #000000; background-color: transparent; font-weight: 400; font-style: normal; font- variant: normal; text-decoration: none; vertical-align: baseline; white-space: pre- wrap;"&gt;&amp;#160;Desembargador Relator&lt;/span&gt;&lt;/p&gt;&lt;p style="line-height: 1.38; margin-top: 12pt; margin-bottom: 12pt;" dir="ltr"&gt; &lt;span style="font-size: 12pt; font-family: 'Times New Roman',serif; color: #000000; background-color: transparent; font-weight: 400; font-style: normal; font-variant: normal; text-decoration: none; vertical-align: baseline; white-space: pre-wrap;"&gt;&amp;#160;&lt;/span&gt;&lt;/p&gt;&lt;p style="line-height: 1.38; text-indent: 2pt; text-align: center; margin-top: 12pt; margin-bottom: 12pt;" dir="ltr"&gt; &lt;span style="font-size: 12pt; font- family: 'Times New Roman',serif; color: #000000; background-color: transparent; font- weight: 700; font-style: normal; font-variant: normal; text-decoration: none; vertical-align: baseline; white-space: pre-wrap;"&gt;&amp;#160;&lt;/span&gt;&lt;/p&gt;&lt;p style="line-height: 1.38; text- indent: 2pt; text-align: center; margin-top: 12pt; margin-bottom: 12pt;" dir="ltr"&gt; &lt;span style="font-size: 12pt; font-family: 'Times New Roman',serif; color: #000000; background- color: transparent; font-weight: 700; font-style: normal; font-variant: normal; text-decoration: none; vertical-align: baseline; white-space: pre-wrap;"&gt;RELATÓRIO&lt;/span&gt;&lt;/p&gt;&lt;p style="text-align: justify; font-family: &amp;quot;Times New Roman&amp;quot;; font-size: medium; line-height: 1.38; text-indent: 56.6929pt; margin-top: 12pt;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preserve;"&gt;Trata-se de&lt;/span&gt;</w:t>
            </w:r>
          </w:p>
          <w:p>
            <w:pPr>
              <w:pStyle w:val="TableParagraph"/>
              <w:spacing w:line="208" w:lineRule="auto" w:before="0"/>
              <w:ind w:right="120"/>
              <w:rPr>
                <w:sz w:val="20"/>
              </w:rPr>
            </w:pPr>
            <w:r>
              <w:rPr>
                <w:sz w:val="20"/>
              </w:rPr>
              <w:t>&lt;span style="font-size: 12pt;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preserve;"&gt;Apelação Cível&lt;/span&gt; &lt;span style="font-size: 12pt; font-family: &amp;quot;Times New Roman&amp;quot;, serif; background-color: transparent; font-variant-numeric: normal; font-variant-east-asian: normal; font-variant-alternates: normal; font-variant-position: normal; font-variant-emoji: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normal; vertical-align: baseline; white-space-collapse: preserve;"&gt;interposta por&lt;/span&gt;</w:t>
            </w:r>
          </w:p>
          <w:p>
            <w:pPr>
              <w:pStyle w:val="TableParagraph"/>
              <w:spacing w:line="208" w:lineRule="auto" w:before="9"/>
              <w:ind w:right="167"/>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 &lt;strong&gt;BANCO PAN S.A&lt;/strong&gt;&lt;/span&gt;&lt;span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 em face da Sentença prolatada pelo juízo da 1ª Vara Cível da Comarca do Crato/CE, quando do julgamento da&lt;/span&gt;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w:t>
            </w:r>
          </w:p>
          <w:p>
            <w:pPr>
              <w:pStyle w:val="TableParagraph"/>
              <w:spacing w:line="208" w:lineRule="auto" w:before="0"/>
              <w:ind w:right="42"/>
              <w:rPr>
                <w:sz w:val="20"/>
              </w:rPr>
            </w:pPr>
            <w:r>
              <w:rPr>
                <w:sz w:val="20"/>
              </w:rPr>
              <w:t>&lt;strong&gt;ação revisional de contrato bancário&lt;/strong&gt;&lt;/span&gt;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preserve;"&gt;movida por&lt;/span&gt;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 &lt;strong&gt;MARIA MORENO DA SILVA&lt;/strong&gt;&lt;/span&gt;&lt;span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preserve;"&gt;.&lt;/span&gt;&lt;/p&gt;&lt;p style="text-align: justify; font- family: &amp;quot;Times New Roman&amp;quot;; font-size: medium; line-height: 1.38; text-indent: 56.6929pt; margin-top: 12pt; margin-bottom: 12pt;"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preserve;"&gt;Nos autos, constata-se que fora decretada a&lt;/span&gt;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preserve;"&gt;revelia&lt;/span&gt;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preserve;"&gt;da instituição financeira promovida, ou seja, decorreu o prazo para contestar sem que fosse apresentada qualquer contrariedade ao que foi relatado na inicial&lt;/span&gt;&lt;span style="font-size: 12pt; font-family: &amp;quot;Times New Roman&amp;quot;, serif; background-color: transparent; font-variant-numeric: normal; </w:t>
            </w:r>
            <w:r>
              <w:rPr>
                <w:spacing w:val="-4"/>
                <w:sz w:val="20"/>
              </w:rPr>
              <w:t>font- </w:t>
            </w:r>
            <w:r>
              <w:rPr>
                <w:sz w:val="20"/>
              </w:rPr>
              <w:t>variant-east-asian: normal; font-variant-alternates: normal; font-variant-position: normal; font-variant-emoji: normal; vertical-align: baseline; white-space-collapse: preserve;"&gt;(id.</w:t>
            </w:r>
          </w:p>
          <w:p>
            <w:pPr>
              <w:pStyle w:val="TableParagraph"/>
              <w:spacing w:line="208" w:lineRule="auto" w:before="0"/>
              <w:ind w:right="42"/>
              <w:rPr>
                <w:sz w:val="20"/>
              </w:rPr>
            </w:pPr>
            <w:r>
              <w:rPr>
                <w:sz w:val="20"/>
              </w:rPr>
              <w:t>29013153).&lt;/span&gt;&lt;/p&gt;&lt;p style="text-align: justify; font-family: &amp;quot;Times New Roman&amp;quot;; font-size: medium; line-height: 1.38; text-indent: 56.6929pt; margin-top: 12pt; margin-bottom: 12pt;" dir="ltr"&gt;&lt;span style="font-size: 12pt; font-family: &amp;quot;Times New Roman&amp;quot;, serif; background-color: transparent; font-variant-numeric: normal; </w:t>
            </w:r>
            <w:r>
              <w:rPr>
                <w:spacing w:val="-4"/>
                <w:sz w:val="20"/>
              </w:rPr>
              <w:t>font- </w:t>
            </w:r>
            <w:r>
              <w:rPr>
                <w:sz w:val="20"/>
              </w:rPr>
              <w:t>variant-east-asian: normal; font-variant-alternates: normal; font-variant-position: normal; font-variant-emoji: normal; vertical-align: baseline; white-space-collapse: preserve;"&gt;Em seguida, o juízo&lt;/span&gt;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preserve;"&gt;a quo&lt;/span&gt;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preserve;"&gt;julgou parcialmente procedentes os pedidos, concluindo:&lt;/span&gt;&lt;span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 &lt;br /&gt;&lt;/span&gt;&lt;span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 &lt;br /&gt; &lt;br /&gt;&lt;/span&gt;&lt;/p&gt;&lt;p style="text-align: justify; font-family: &amp;quot;Times New Roman&amp;quot;; font-size: medium; line-height: 1.38; margin-left: 113pt; margin-top: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8"/>
              <w:rPr>
                <w:sz w:val="20"/>
              </w:rPr>
            </w:pPr>
            <w:r>
              <w:rPr>
                <w:sz w:val="20"/>
              </w:rPr>
              <w:t>12pt; margin-bottom: 12pt;" dir="ltr"&gt;&lt;span style="font-size: 12pt; font-family: &amp;quot;Times New Roman&amp;quot;, serif; background-color: transparent; font-weight: 700; font-style: italic; font-variant-numeric: normal; font-variant-east-asian: normal; font-variant-alternates: normal; font-variant-position: normal; font-variant-emoji: normal; vertical-align: baseline; white-space-collapse: preserve;"&gt;ISSO POSTO&lt;/span&gt;&lt;span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 com fundamento no art. 487, inciso I, do Código de Processo Civil,&lt;/span&gt; &lt;span style="font-size: 12pt; font-family: &amp;quot;Times New Roman&amp;quot;, serif; background-color: transparent; font-weight: 700; font-style: italic; font- variant-numeric: normal; font-variant-east-asian: normal; font-variant-alternates: normal; font-variant-position: normal; font-variant-emoji: normal; vertical-align: baseline; white- space-collapse: preserve;"&gt;JULGO PARCIALMENTE PROCEDENTE&lt;/span&gt; &lt;span style="font-size: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preserve;"&gt;o pleito autoral para:&lt;/span&gt;&lt;/p&gt;&lt;p style="text-align: justify; font-family: &amp;quot;Times New Roman&amp;quot;; font-size: medium; line-height: 1.38; margin-left: 113pt; margin-top: 12pt; margin-bottom: 12pt;" dir="ltr"&gt;&lt;span style="font-size: 12pt; font-family: &amp;quot;Times New Roman&amp;quot;, serif; background-color: transparent; font-weight: 700; font-style: italic; font-variant-numeric: normal; font-variant-east-asian: normal; font-variant-alternates: normal; font-variant- position: normal; font-variant-emoji: normal; vertical-align: baseline; white-space-collapse: preserve;"&gt;1)&lt;/span&gt;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preserve;"&gt;revisar o contrato de financiamento constante no Id. 142903059, excluindo o seguro e o IOF adicional e adequando os encargos à taxa média de mercado vigente à época (1,164% a.m.);&lt;/span&gt;&lt;/p&gt;&lt;p style="text-align: justify; font-family: &amp;quot;Times </w:t>
            </w:r>
            <w:r>
              <w:rPr>
                <w:spacing w:val="-6"/>
                <w:sz w:val="20"/>
              </w:rPr>
              <w:t>New </w:t>
            </w:r>
            <w:r>
              <w:rPr>
                <w:sz w:val="20"/>
              </w:rPr>
              <w:t>Roman&amp;quot;; font-size: medium; line-height: 1.38; margin-left: 113pt; margin-top: 12pt; margin-bottom: 12pt;" dir="ltr"&gt;&lt;span style="font-size: 12pt; font-family: &amp;quot;Times New Roman&amp;quot;, serif; background-color: transparent; font-weight: 700; font-style: italic; font- variant-numeric: normal; font-variant-east-asian: normal; font-variant-alternates: normal; font-variant-position: normal; font-variant-emoji: normal; vertical-align: baseline; white- space-collapse: preserve;"&gt;2)&lt;/span&gt; &lt;span style="font-size: 12pt; font-family: &amp;quot;Times New Roman&amp;quot;, serif; background-color: transparent; font-style: italic; </w:t>
            </w:r>
            <w:r>
              <w:rPr>
                <w:spacing w:val="-3"/>
                <w:sz w:val="20"/>
              </w:rPr>
              <w:t>font- </w:t>
            </w:r>
            <w:r>
              <w:rPr>
                <w:sz w:val="20"/>
              </w:rPr>
              <w:t>variant-numeric: normal; font-variant-east-asian: normal; font-variant-alternates: normal; font-variant-position: normal; font-variant-emoji: normal; vertical-align: baseline; white- space-collapse: preserve;"&gt;condenar o réu a restituir em dobro à autora o valor de R$ 26.917,40(vinte e nove mil, novecentos e dezessete reais e quarenta centavos), acrescido de correção monetária pelo IPCA, desde cada desembolso e juros de mora calculados com base na taxa SELIC a partir da citação;&lt;/span&gt;&lt;/p&gt;&lt;p style="text-align: justify; font- family: &amp;quot;Times New Roman&amp;quot;; font-size: medium; line-height: 1.38; margin-left: 113pt; margin-top: 12pt; margin-bottom: 12pt;" dir="ltr"&gt;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preserve;"&gt;Condeno, ainda, o réu ao pagamento das custas processuais e honorários advocatícios, os quais fixo em 15% (quinze por cento) sobre o valor atualizado da condenação, nos termos do art. 85, §2º, do CPC.&lt;/span&gt;&lt;/p&gt;&lt;p style="text-align: justify; font-family: &amp;quot;Times New Roman&amp;quot;; font-size: medium; line-height: 1.38; margin-left: 113pt; margin-top: 12pt; margin-bottom: 12pt;" dir="ltr"&gt;</w:t>
            </w:r>
          </w:p>
          <w:p>
            <w:pPr>
              <w:pStyle w:val="TableParagraph"/>
              <w:spacing w:line="208" w:lineRule="auto" w:before="0"/>
              <w:ind w:right="52"/>
              <w:rPr>
                <w:sz w:val="20"/>
              </w:rPr>
            </w:pPr>
            <w:r>
              <w:rPr>
                <w:sz w:val="20"/>
              </w:rPr>
              <w:t>&lt;span style="font-size: 12pt; font-family: &amp;quot;Times New Roman&amp;quot;, serif; background-color: transparent; font-style: italic; font-variant-numeric: normal; font-variant- east-asian: normal; font-variant-alternates: normal; font-variant-position: normal; font- variant-emoji: normal; vertical-align: baseline; white-space-collapse: preserve;"&gt;Após o trânsito em julgado, junte-se certidão de custas, guia gerada ou certidão de inexistência </w:t>
            </w:r>
            <w:r>
              <w:rPr>
                <w:spacing w:val="-9"/>
                <w:sz w:val="20"/>
              </w:rPr>
              <w:t>de </w:t>
            </w:r>
            <w:r>
              <w:rPr>
                <w:sz w:val="20"/>
              </w:rPr>
              <w:t>custas pendentes de recolhimento, nos termos da Resolução do Órgão Especial nº 23/2024.&lt;/span&gt;&lt;/p&gt;&lt;p style="text-align: justify; font-family: &amp;quot;Times New Roman&amp;quot;; font-size: medium; line-height: 1.38; margin-left: 113pt; margin-top: 12pt; margin-bottom: 12pt;" dir="ltr"&gt;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preserve;"&gt;Havendo custas a recolher, proceda-se às diligências necessárias para fins de recolhimento, nos termos do Código de Normas Judiciais/Provimento nº 02/2021 da CGJCE.&lt;/span&gt;&lt;/p&gt;&lt;p style="text-align: justify; font-family: &amp;quot;Times New Roman&amp;quot;; font-size: medium; line-height: 1.38; text-indent: 2pt; margin-top: 12pt;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8"/>
              <w:rPr>
                <w:sz w:val="20"/>
              </w:rPr>
            </w:pPr>
            <w:r>
              <w:rPr>
                <w:sz w:val="20"/>
              </w:rPr>
              <w:t>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preserve;"&gt;&amp;#160;&lt;/span&gt;&lt;/p&gt;&lt;p style="text-align: justify; font-family: &amp;quot;Times New Roman&amp;quot;; font-size: medium; line-height: 1.38; text-indent: 56.6929pt; margin-top: 12pt; margin-bottom: 12pt;" dir="ltr"&gt;&lt;span style="font-size: 12pt; font-family: &amp;quot;Times New Roman&amp;quot;, serif; background-color: transparent; font-variant-numeric: normal; </w:t>
            </w:r>
            <w:r>
              <w:rPr>
                <w:spacing w:val="-3"/>
                <w:sz w:val="20"/>
              </w:rPr>
              <w:t>font- </w:t>
            </w:r>
            <w:r>
              <w:rPr>
                <w:sz w:val="20"/>
              </w:rPr>
              <w:t>variant-east-asian: normal; font-variant-alternates: normal; font-variant-position: normal; font-variant-emoji: normal; vertical-align: baseline; white-space-collapse: preserve;"&gt;Irresignada, a instituição financeira apresentou suas&lt;/span&gt; &lt;span style="font- 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preserve;"&gt;razões&lt;/span&gt; &lt;span </w:t>
            </w:r>
            <w:r>
              <w:rPr>
                <w:spacing w:val="-2"/>
                <w:sz w:val="20"/>
              </w:rPr>
              <w:t>style="font- </w:t>
            </w:r>
            <w:r>
              <w:rPr>
                <w:sz w:val="20"/>
              </w:rPr>
              <w:t>size: 12pt; font-family: &amp;quot;Times New Roman&amp;quot;, serif; background-color: transparent; font-variant-numeric: normal; font-variant-east-asian: normal; font-variant- alternates: normal; font-variant-position: normal; font-variant-emoji: normal; vertical-align: baseline; white-space-collapse: preserve;"&gt;(id. 29013155) sustentando a regularidade da contratação e a necessidade da reforma da sentença, apontando equívoco desta ao determinar a redução da taxa de juros à média do mercado, assim como a ausência de ilicitude na contatação do seguro prestamista. Por fim, pleiteou a inaplicabilidade da repetição do indébito em dobro.&lt;/span&gt;&lt;/p&gt;&lt;p style="text-align: justify; font-family: &amp;quot;Times New Roman&amp;quot;; font-size: medium; line-height: 1.38; text-indent: 56.6929pt; margin-top: 12pt; margin-bottom: 12pt;"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preserve;"&gt;Em paralelo, a apelada apresentou&lt;/span&gt; &lt;span style="font- 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preserve;"&gt;contrarrazões&lt;/span&gt;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preserve;"&gt;(id. 29013167), sustentando a correção da sentença e endossando seus fundamentos.&lt;/span&gt;&lt;/p&gt;&lt;p style="text-align: justify; font- family: &amp;quot;Times New Roman&amp;quot;; font-size: medium; line-height: 1.38; text-indent: 56.6929pt; margin-top: 12pt; margin-bottom: 12pt;" dir="ltr"&gt; &lt;span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preserve;"&gt;Os autos vieram conclusos.&lt;/span&gt;&lt;/p&gt;&lt;p style="text-align: justify; font-family: &amp;quot;Times New Roman&amp;quot;; font-size: medium; line-height: 1.38; text-indent: 56.6929pt; margin-top: 12pt; margin-bottom: 12pt;" dir="ltr"&gt;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preserve;"&gt;Deixei de encaminhar o feito à Douta Procuradoria Geral de Justiça, por se tratar de demanda com interesse privado e disponível, sem partes vulneráveis.&lt;/span&gt;&lt;/p&gt;&lt;p style="text-align: justify; font-family: &amp;quot;Times New Roman&amp;quot;; font-size: medium; line-height: 1.38; text-indent: 56.6929pt; margin-top: 12pt; margin-bottom: 12pt;" dir="ltr"&gt; &lt;span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preserve;"&gt;É o relatório.&lt;/span&gt;&lt;/p&gt;&lt;p style="line-height: 1.38; text- indent: 2pt; text-align: center; margin-top: 12pt; margin-bottom: 12pt;" dir="ltr"&gt; &lt;span style="font-size: 12pt; font-family: 'Times New Roman',serif; color: #000000; background- color: transparent; font-weight: 700; font-style: normal; font-variant: normal; text-decoration: none; vertical-align: baseline; white-space: pre-wrap;"&gt;VOTO&lt;/span&gt;&lt;/p&gt;&lt;p style="line- height: 1.38; text-indent: 2pt; text-align: center; margin-top: 12pt; margin-bottom: 12pt;" dir="ltr"&gt; &lt;span style="font-size: 12pt; font-family: 'Times New Roman',serif; color: #000000; background-color: transparent; font-weight: 700; font-style: normal; font-variant: normal; text-decoration: none; vertical-align: baseline; white-space: pre- wrap;"&gt;&amp;#160;&lt;/span&gt;&lt;/p&gt;&lt;p style="line-height: 1.7999999999999998; text-indent: 56.692913385826756pt; text-align: justify; margin-top: 6pt;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text-decoration: none; vertical-align: baseline; white-space: pre-wrap;"&gt;1. JUÍZO DE ADMISSIBILIDADE&lt;/span&gt;&lt;/p&gt;&lt;p style="line-height: 1.7999999999999998; text-indent: 56.692913385826756pt; text-align: justify; margin-top: 6pt; margin-bottom: 6pt;"</w:t>
            </w:r>
            <w:r>
              <w:rPr>
                <w:spacing w:val="-18"/>
                <w:sz w:val="20"/>
              </w:rPr>
              <w:t> </w:t>
            </w:r>
            <w:r>
              <w:rPr>
                <w:sz w:val="20"/>
              </w:rPr>
              <w:t>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pre-wrap;"&gt;Preliminarmente, deixo de conhecer o recurso no que tange ao pedido de revogação de tutela provisória, visto que não fora deferida tal medida em sentença ou decisão anterior, constando inclusive o indeferimento da tutela provisória pleiteada em decisões interlocutórias de id. 29013148 e id. 29013153.&lt;/span&gt;&lt;/p&gt;&lt;p style="line-height: 1.7999999999999998; text- indent: 56.692913385826756pt; text-align: justify; margin-top: 6pt; margin-bottom: 6pt;"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pre-wrap;"&gt;Quanto ao mais, presentes os pressupostos recursais de admissibilidade intrínsecos (legitimidade, interesse, cabimento e inexistência de fato impeditivo ou extintivo) e extrínsecos (tempestividade, preparo e regularidade formal),&lt;/span&gt; &lt;span style="font-size: 12pt; font- family: 'Times New Roman',serif; color: #000000; background-color: transparent; font- weight: 700; font-style: normal; font-variant: normal; text-decoration: none; vertical-align: baseline; white-space: pre-wrap;"&gt;CONHEÇO EM PARTE&lt;/span&gt; &lt;span style="font-size: 12pt; font-family: 'Times New Roman',serif; color: #000000; background-color: transparent; font-weight: 400; font-style: normal; font-variant: normal; text-decoration: none; vertical- align: baseline; white-space: pre-wrap;"&gt;do recurso interposto e passo a apreciar o mérito deste.&lt;/span&gt;&lt;/p&gt;&lt;p style="line-height: 1.7999999999999998; text-indent: 56.692913385826756pt; text-align: justify; margin-top: 6pt;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normal; text-decoration: none; vertical-align: baseline; white-space: pre-wrap;"&gt;2.</w:t>
            </w:r>
          </w:p>
          <w:p>
            <w:pPr>
              <w:pStyle w:val="TableParagraph"/>
              <w:spacing w:line="208" w:lineRule="auto" w:before="0"/>
              <w:ind w:right="21"/>
              <w:rPr>
                <w:sz w:val="20"/>
              </w:rPr>
            </w:pPr>
            <w:r>
              <w:rPr>
                <w:sz w:val="20"/>
              </w:rPr>
              <w:t>MÉRITO&lt;/span&gt;&lt;/p&gt;&lt;p style="line-height: 1.7999999999999998; text-indent: 56.692913385826756pt; text-align: justify; margin-top: 12pt; margin-bottom: 12pt;" dir="ltr"&gt;</w:t>
            </w:r>
          </w:p>
          <w:p>
            <w:pPr>
              <w:pStyle w:val="TableParagraph"/>
              <w:spacing w:line="208" w:lineRule="auto" w:before="0"/>
              <w:ind w:right="34"/>
              <w:rPr>
                <w:sz w:val="20"/>
              </w:rPr>
            </w:pPr>
            <w:r>
              <w:rPr>
                <w:sz w:val="20"/>
              </w:rPr>
              <w:t>&lt;span style="font-size: 12pt; font-family: 'Times New Roman',serif; color: #000000; background-color: transparent; font-weight: 400; font-style: normal; font-variant: normal; text-decoration: none; vertical-align: baseline; white-space: pre-wrap;"&gt;Cinge-se a controvérsia recursal em averiguar a correção da decisão que julgou parcialmente os pedidos, revisando o contrato e condenando a instituição financeira promovida à restituição de valores.&lt;/span&gt;&lt;/p&gt;&lt;p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pre-wrap;"&gt;A presente demanda envolve relação jurídica de consumo, na qual o apelado é consumidor (art. 2º, </w:t>
            </w:r>
            <w:r>
              <w:rPr>
                <w:spacing w:val="-9"/>
                <w:sz w:val="20"/>
              </w:rPr>
              <w:t>do </w:t>
            </w:r>
            <w:r>
              <w:rPr>
                <w:sz w:val="20"/>
              </w:rPr>
              <w:t>CDC) e a apelante figura na posição de fornecedora (art. 3º, do CDC). Desta feita, o juízo&lt;/span&gt; &lt;span style="font-size: 12pt; font-family: 'Times New Roman',serif; color: #000000; background-color: transparent; font-weight: 400; font-style: italic; font-variant: normal; text-decoration: none; vertical-align: baseline; white-space: pre-wrap;"&gt;a quo&lt;/span&gt; &lt;span style="font-size: 12pt; font-family: 'Times New Roman',serif; color: #000000; background-color: transparent; font-weight: 400; font-style: normal; font-variant: normal; text-decoration: none; vertical-align: baseline; white-space: pre-wrap;"&gt;inverteu o ônus da prova nos termos do art. 6º, VIII, do CDC, em decisão de id.</w:t>
            </w:r>
          </w:p>
          <w:p>
            <w:pPr>
              <w:pStyle w:val="TableParagraph"/>
              <w:spacing w:line="208" w:lineRule="auto" w:before="0"/>
              <w:ind w:right="21"/>
              <w:rPr>
                <w:sz w:val="20"/>
              </w:rPr>
            </w:pPr>
            <w:r>
              <w:rPr>
                <w:sz w:val="20"/>
              </w:rPr>
              <w:t>29013148.&lt;/span&gt;&lt;/p&gt;&lt;p style="line-height: 1.7999999999999998; text-indent: 56.692913385826756pt; text-align: justify; margin-top: 12pt; margin-bottom: 12pt;" dir="ltr"&gt;</w:t>
            </w:r>
          </w:p>
          <w:p>
            <w:pPr>
              <w:pStyle w:val="TableParagraph"/>
              <w:spacing w:line="208" w:lineRule="auto" w:before="0"/>
              <w:ind w:right="36"/>
              <w:rPr>
                <w:sz w:val="20"/>
              </w:rPr>
            </w:pPr>
            <w:r>
              <w:rPr>
                <w:sz w:val="20"/>
              </w:rPr>
              <w:t>&lt;span style="font-size: 12pt; font-family: 'Times New Roman',serif; color: #000000; background-color: transparent; font-weight: 400; font-style: normal; font-variant: normal; text-decoration: none; vertical-align: baseline; white-space: pre-wrap;"&gt;Mesmo instado a contestar, o Banco promovido manteve-se inerte, de forma que o juízo decretou a revelia, incorrendo a demandada nos efeitos materiais desta (art. 344, do CPC.&lt;/span&gt;&lt;/p&gt;&lt;p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pre-wrap;"&gt;Desta feita presumem-se verdadeiros os fatos alegados na exordial, dentre os quais a imposição unilateral do seguro prestamista e a cobrança forçada de alíquota adicional de IOF de forma financiada.&lt;/span&gt;&lt;/p&gt;&lt;p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pre-wrap;"&gt;Em paralelo, quanto aos juros remuneratórios, alegou a consumidora que esses foram abusivos superando às médias do mercado e ocasionando desvantagem excessiva ao consumidor.&lt;/span&gt;&lt;/p&gt;&lt;p style="line-height: 1.7999999999999998; 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pre-wrap;"&gt;Sabe-se que o entendimento contemporâneo da jurisprudência caminha no sentido de que a cobrança de juros superior à média do mercado não indica, por si só, abusividade. Mesmo porque o cálculo da média de mercado envolve a consideração de diversos valores, uns maiores e outros menores, chegando-se ao valor central desse conjunto numérico. Sobre o tema, o Superior Tribunal de Justiça já se manifestou:&lt;/span&gt;&lt;/p&gt;&lt;p style="line-height: 1.7999999999999998; margin-left: 113pt; text-align: justify; margin-top: 6pt; margin-bottom: 6pt;" dir="ltr"&gt;&lt;span style="font-size: 12pt; font-family: 'Times New Roman',serif; color: #000000; background-color: transparent; font-weight: 400; font-style: normal; font-variant: normal; text-decoration: none; vertical-align: baseline; white-space: pre-wrap;"&gt;RECURSO ESPECIAL. AÇÃO COLETIVA DE CONSUMO. CONTRATO BANCÁRIO. ALEGAÇÃO DE OFENSA AOS ARTS. 11, 489 E 1.022 DO CÓDIGO DE PROCESSO CIVIL DE 2015. </w:t>
            </w:r>
            <w:r>
              <w:rPr>
                <w:spacing w:val="-6"/>
                <w:sz w:val="20"/>
              </w:rPr>
              <w:t>NÃO </w:t>
            </w:r>
            <w:r>
              <w:rPr>
                <w:sz w:val="20"/>
              </w:rPr>
              <w:t>OCORRÊNCIA. INADEQUAÇÃO DA VIA ELEITA. CARÊNCIA DE AÇÃO. SENTENÇA COLETIVA. LIMITAÇÃO DO JUROS REMUNERATÓRIOS À TAXA MÉDIA DE MERCADO, ACRESCIDA DE UM QUINTO. NÃO CABIMENTO. ORIENTAÇÃO FIRMADA NO RESP N. 1.061.530/RS. ABUSIVIDADE. AFERIÇÃO EM CADA CASO CONCRETO. </w:t>
            </w:r>
            <w:r>
              <w:rPr>
                <w:spacing w:val="-9"/>
                <w:sz w:val="20"/>
              </w:rPr>
              <w:t>1.</w:t>
            </w:r>
          </w:p>
          <w:p>
            <w:pPr>
              <w:pStyle w:val="TableParagraph"/>
              <w:spacing w:line="208" w:lineRule="auto" w:before="0"/>
              <w:ind w:right="107"/>
              <w:rPr>
                <w:sz w:val="20"/>
              </w:rPr>
            </w:pPr>
            <w:r>
              <w:rPr>
                <w:sz w:val="20"/>
              </w:rPr>
              <w:t>O acórdão recorrido analisou todas as questões necessárias ao deslinde da controvérsia, não se configurando omissão, contradição ou negativa de prestação jurisdicional. 2. De acordo com a orientação adotada no julgamento do REsp. 1.061.530/RS, sob o rito do art. 543-C do CPC/73, 'é admitida a revisão das taxas de juros remuneratórios em situações excepcionais, desde que caracterizada a relação de consumo e que a abusividade (capaz de colocar o consumidor em desvantagem exagerada - art. 51, § 1°, do CDC) fique cabalmente demonstrada, ante as peculiaridades do julgamento em concreto.' 3.</w:t>
            </w:r>
          </w:p>
          <w:p>
            <w:pPr>
              <w:pStyle w:val="TableParagraph"/>
              <w:spacing w:line="208" w:lineRule="auto" w:before="0"/>
              <w:ind w:right="98"/>
              <w:rPr>
                <w:sz w:val="20"/>
              </w:rPr>
            </w:pPr>
            <w:r>
              <w:rPr>
                <w:sz w:val="20"/>
              </w:rPr>
              <w:t>Prevaleceu o entendimento de que a taxa média de mercado apurada pelo Banco Central para cada segmento de crédito é referencial útil para o controle da abusividade, mas&lt;/span&gt; &lt;span style="font-size: 12pt; font-family: &amp;quot;Times New Roman&amp;quot;, serif; color: #000000; background-color: transparent; font-weight: 700; font-style: normal; font-variant: normal; text-decoration-skip-ink: none; vertical-align: baseline; white-space: pre-wrap; text-decoration: underline;"&gt;o simples fato de a taxa efetiva cobrada no contrato estar acima da taxa média de mercado não significa, por si só, abuso. Ao contrário, a média de mercado não pode ser considerada o limite, justamente porque é média; incorpora as menores e maiores taxas praticadas pelo mercado, em operações de diferentes níveis de risco. Foi expressamente rejeitada a possibilidade de o Poder Judiciário estabelecer aprioristicamente um teto para taxa de juros, adotando como parâmetro máximo o dobro ou qualquer outro percentual em relação à taxa média&lt;/span&gt;&lt;span style="font-size: 12pt; font-family: 'Times New Roman',serif; color: #000000; background-color: transparent; font-weight: 400; font-style: normal; font-variant: normal; text-decoration: none; vertical-align: baseline; white-space: pre-wrap;"&gt;.</w:t>
            </w:r>
            <w:r>
              <w:rPr>
                <w:spacing w:val="-18"/>
                <w:sz w:val="20"/>
              </w:rPr>
              <w:t> </w:t>
            </w:r>
            <w:r>
              <w:rPr>
                <w:sz w:val="20"/>
              </w:rPr>
              <w:t>4.&lt;/span&gt;</w:t>
            </w:r>
          </w:p>
          <w:p>
            <w:pPr>
              <w:pStyle w:val="TableParagraph"/>
              <w:spacing w:line="208" w:lineRule="auto" w:before="0"/>
              <w:ind w:right="92"/>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3"/>
                <w:sz w:val="20"/>
              </w:rPr>
              <w:t>text- </w:t>
            </w:r>
            <w:r>
              <w:rPr>
                <w:sz w:val="20"/>
              </w:rPr>
              <w:t>decoration: underline;"&gt;O caráter abusivo da taxa de juros contratada haverá de ser demonstrado de acordo com as peculiaridades de cada caso concreto, levando-se em consideração circunstâncias como o custo da captação dos recursos no local e época do contrato; o valor e o prazo do financiamento; as fontes de renda do cliente; as garantias ofertadas; a existência de prévio relacionamento do cliente com a instituição financeira; análise do perfil de risco de crédito do tomador; a forma de pagamento da operação, </w:t>
            </w:r>
            <w:r>
              <w:rPr>
                <w:spacing w:val="-3"/>
                <w:sz w:val="20"/>
              </w:rPr>
              <w:t>entre </w:t>
            </w:r>
            <w:r>
              <w:rPr>
                <w:sz w:val="20"/>
              </w:rPr>
              <w:t>outros aspectos.&lt;/span&gt; &lt;span style="font-size: 12pt; font-family: 'Times New Roman',serif; color: #000000; background-color: transparent; font-weight: 400; font-style: normal; font-variant: normal; text-decoration: none; vertical-align: baseline; white-space: pre-wrap;"&gt;5. Inexistência de interesse individual homogêneo a ser tutelado por meio de ação coletiva, o que conduz à extinção do processo sem exame do mérito por inadequação da via eleita. 6. Recurso especial provido (REsp 1.821.182/RS, Rel. Ministra MARIA ISABEL GALLOTTI, QUARTA TURMA, DJe 29/6/2022)</w:t>
            </w:r>
            <w:r>
              <w:rPr>
                <w:spacing w:val="-18"/>
                <w:sz w:val="20"/>
              </w:rPr>
              <w:t> </w:t>
            </w:r>
            <w:r>
              <w:rPr>
                <w:sz w:val="20"/>
              </w:rPr>
              <w:t>[Destaquei]&lt;/span&gt;&lt;/p&gt;&lt;p</w:t>
            </w:r>
          </w:p>
          <w:p>
            <w:pPr>
              <w:pStyle w:val="TableParagraph"/>
              <w:spacing w:line="208" w:lineRule="auto" w:before="0"/>
              <w:ind w:right="39"/>
              <w:rPr>
                <w:sz w:val="20"/>
              </w:rPr>
            </w:pPr>
            <w:r>
              <w:rPr>
                <w:sz w:val="20"/>
              </w:rPr>
              <w:t>style="line-height: 1.7999999999999998; text-indent: 2pt; text-align: justify; margin-top: 12pt; margin-bottom: 12pt;" dir="ltr"&gt; &lt;span style="font-size: 12pt; font-family: 'Times New Roman',serif; color: #000000; background-color: transparent; font-weight: 400; font-style: normal; font-variant: normal; text-decoration: none; vertical-align: baseline; white-space: pre-wrap;"&gt;&amp;#160;&lt;/span&gt;&lt;/p&gt;&lt;p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119"/>
              <w:rPr>
                <w:sz w:val="20"/>
              </w:rPr>
            </w:pPr>
            <w:r>
              <w:rPr>
                <w:sz w:val="20"/>
              </w:rPr>
              <w:t>&lt;span style="font-size: 12pt; font-family: 'Times New Roman',serif; color: #000000; background-color: transparent; font-weight: 400; font-style: normal; font-variant: normal; text-decoration: none; vertical-align: baseline; white-space: pre-wrap;"&gt;Ocorre que, diante da inversão do ônus da prova e da revelia, a instituição financeira não demonstrou seus custos de captação, o risco envolvido na concessão do crédito e outros fatores que fogem do conhecimento do consumidor.&lt;/span&gt;&lt;/p&gt;&lt;p style="line-height: 1.7999999999999998; text-indent: 56.692913385826756pt; text-align: justify; margin-top: 12pt; margin-bottom: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
              <w:rPr>
                <w:sz w:val="20"/>
              </w:rPr>
            </w:pPr>
            <w:r>
              <w:rPr>
                <w:sz w:val="20"/>
              </w:rPr>
              <w:t>12pt;" dir="ltr"&gt; &lt;span style="font-size: 12pt; font-family: 'Times New Roman',serif; color: #000000; background-color: transparent; font-weight: 400; font-style: normal; font-variant: normal; text-decoration: none; vertical-align: baseline; white-space: pre-wrap;"&gt;Nesse caso, tendo o tomador do empréstimo apresentado argumentos objetivos acompanhados de demonstrativos e do próprio contrato, como o custo total final da operação representando cerca de 100% do valor financiado, cálculos não contestados que apontam de cobrança de juros mensais e anuais desarrazoadamente superiores à média de mercado, conclui-se que exerceu seu ônus probatório de forma suficiente.&lt;/span&gt;&lt;/p&gt;&lt;p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pre-wrap;"&gt;Por outro lado, com a ocorrência da revelia, não houve demonstração por parte da instituição financeira dos eventuais riscos da operação de crédito ou do custo da captação dos recursos, comparado ao de outras operações disponíveis no mercado.&lt;/span&gt;&lt;/p&gt;&lt;p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pre-wrap;"&gt;Em conseguinte, no que tange à repetição do indébito, uma vez cobrados valores indevidos, aplica-se o art. 42, parágrafo único, do CDC. Veja-se que conforme entendimento contemporâneo, não se exige má-fé ou a prova de elemento volitivo para o direito à restituição em dobro, conforme EAREsp 1.501.756-SC/STJ. Ademais, as cobranças foram realizadas a partir de 2023, não havendo incidência da modulação de efeitos realizada no EAREsp 600.663/RS.&lt;/span&gt;&lt;/p&gt;&lt;p style="line-height: 1.7999999999999998; text-indent: 56.692913385826756pt; text-align: justify; margin-top: 12pt; margin-bottom: 12pt;"</w:t>
            </w:r>
            <w:r>
              <w:rPr>
                <w:spacing w:val="-17"/>
                <w:sz w:val="20"/>
              </w:rPr>
              <w:t> </w:t>
            </w:r>
            <w:r>
              <w:rPr>
                <w:sz w:val="20"/>
              </w:rPr>
              <w:t>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pre-wrap;"&gt;Em paralelo, embora os pressupostos fáticos da decisão proferida no EAREsp 1.501.756-SC/STJ sejam diversos das ações revisionais de contratos bancários, não se afasta em razão disso a aplicação do art. 42, parágrafo único, do CDC. Constatada a abusividade das cláusulas contratuais, entende-se que os valores cobrados não são devidos.&lt;/span&gt;&lt;/p&gt;&lt;p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pre-wrap;"&gt;Nesse contexto, este Egrégio Tribunal de Justiça vem concluindo pela aplicação do dispositivo mesmo nas demandas envolvendo revisão de contrato bancário:&lt;/span&gt;&lt;/p&gt;&lt;p style="line-height: 1.7999999999999998; margin-left: 113pt; text-align: justify; margin-top: 12pt; margin-bottom: 12pt;" dir="ltr"&gt;&lt;span style="font- size: 12pt; font-family: 'Times New Roman',serif; color: #000000; background-color: transparent; font-weight: 400; font-style: normal; font-variant: normal; text-decoration: none; vertical-align: baseline; white-space: pre-wrap;"&gt;DIREITO CIVIL E PROCESSUAL CIVIL. AGRAVO INTERNO EM&lt;/span&gt; &lt;span style="font-size: 12pt; font-family: 'Times New Roman',serif; color: #000000; background-color: transparent; font-weight: 700; font-style: normal; font-variant: normal; text-decoration: none; vertical-align: baseline; white-space: pre-wrap;"&gt;AÇÃO REVISIONAL DE CONTRATO BANCÁRIO. JUROS REMUNERATÓRIOS. ABUSIVIDADE CONFIGURADA. REPETIÇÃO DO</w:t>
            </w:r>
          </w:p>
          <w:p>
            <w:pPr>
              <w:pStyle w:val="TableParagraph"/>
              <w:spacing w:line="208" w:lineRule="auto" w:before="0"/>
              <w:ind w:right="11"/>
              <w:rPr>
                <w:sz w:val="20"/>
              </w:rPr>
            </w:pPr>
            <w:r>
              <w:rPr>
                <w:sz w:val="20"/>
              </w:rPr>
              <w:t>INDÉBITO&lt;/span&gt;&lt;span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19"/>
              <w:rPr>
                <w:sz w:val="20"/>
              </w:rPr>
            </w:pPr>
            <w:r>
              <w:rPr>
                <w:sz w:val="20"/>
              </w:rPr>
              <w:t>RECURSO DESPROVIDO. I. CASO EM EXAME 1. Agravo Interno interposto por CREFISA S/A ¿ Crédito, Financiamento e Investimento contra decisão monocrática que conheceu e negou provimento ao recurso de apelação manejado contra sentença que julgou parcialmente procedente a ação revisional ajuizada por Francisco Praciano Neres. </w:t>
            </w:r>
            <w:r>
              <w:rPr>
                <w:spacing w:val="-18"/>
                <w:sz w:val="20"/>
              </w:rPr>
              <w:t>A </w:t>
            </w:r>
            <w:r>
              <w:rPr>
                <w:sz w:val="20"/>
              </w:rPr>
              <w:t>agravante sustenta a regularidade da cobrança dos juros remuneratórios pactuados e a impossibilidade de repetição do indébito. II. QUESTÃO EM DISCUSSÃO 2. Há duas questões em discussão: (i) definir se os juros remuneratórios pactuados são abusivos; (ii) estabelecer se é devida a restituição do indébito independentemente da má-fé da instituição financeira. III. RAZÕES DE DECIDIR 3. As instituições financeiras não estão sujeitas à limitação de juros prevista no Decreto 22.626/1933 (Lei de Usura), conforme Súmula 596 do STF, e a estipulação de juros superiores a 12% ao ano, por si só, não configura abusividade. 4. A revisão das taxas de juros é possível em hipóteses excepcionais, nas quais se verifica abusividade em prejuízo do consumidor, conforme art. 51, §1º, do CDC. 5. A constatação da abusividade deve considerar a taxa média de mercado divulgada pelo Banco Central, admitindo-se pequena variação, mas rejeitando discrepâncias substanciais. 6. No caso concreto, a taxa de juros pactuada de 837,23% ao ano é substancialmente superior à média de mercado de 51,95% ao ano, o que</w:t>
            </w:r>
            <w:r>
              <w:rPr>
                <w:spacing w:val="-18"/>
                <w:sz w:val="20"/>
              </w:rPr>
              <w:t> </w:t>
            </w:r>
            <w:r>
              <w:rPr>
                <w:sz w:val="20"/>
              </w:rPr>
              <w:t>caracteriza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2"/>
              <w:rPr>
                <w:sz w:val="20"/>
              </w:rPr>
            </w:pPr>
            <w:r>
              <w:rPr>
                <w:sz w:val="20"/>
              </w:rPr>
              <w:t>abusividade manifesta. 7. O Superior Tribunal de Justiça e o Tribunal de Justiça do Estado do Ceará têm precedentes que reconhecem a necessidade de limitação dos juros à taxa média de mercado quando constatada abusividade (REsp 1.112.880/PR; EAREsp 676.608/RS; Apelação Cível nº 0202168-34.2023.8.06.0101; Agravo Interno Cível nº 0113375-70.2019.8.06.0001). 8. A repetição do indébito é devida independentemente de demonstração de má-fé da instituição financeira, conforme entendimento do STJ no EAREsp 676.608/RS. IV. DISPOSITIVO E TESE 9. Recurso desprovido. Tese de julgamento: 1. A estipulação de juros remuneratórios substancialmente superiores à taxa média de mercado caracteriza abusividade passível de revisão judicial. 2.&lt;/span&gt; &lt;span style="font-size: 12pt; font-family: 'Times New Roman',serif; color: #000000; background- color: transparent; font-weight: 700; font-style: normal; font-variant: normal; text-decoration: none; vertical-align: baseline; white-space: pre-wrap;"&gt;A repetição do indébito, nos casos de cobrança abusiva, é devida independentemente da demonstração de má-fé da instituição financeira.&lt;/span&gt; &lt;span style="font-size: 12pt; font-family: 'Times New Roman',serif; color: #000000; background-color: transparent; font-weight: 400; font-style: normal; font-variant: normal; text-decoration: none; vertical-align: baseline; white-space: pre-wrap;"&gt;Dispositivos relevantes citados: Decreto 22.626/1933; Código de Defesa do Consumidor, art. 51, §1º. Jurisprudência relevante citada: STF, Súmula 596; STJ, REsp nº 1.112.880/PR, Rel. Min. Nancy Andrighi, Segunda Seção, j. 12.05.2010, DJe 19.05.2010; STJ, EAREsp nº 676.608/RS, Rel. Min. Og Fernandes, Corte Especial, j. 21.10.2020; TJCE, Apelação Cível nº 0202168-34.2023.8.06.0101, Rel. Desa. Cleide Alves de Aguiar, 3ª Câmara Direito Privado, j. 19.06.2024; TJCE, Agravo Interno Cível nº 0113375- 70.2019.8.06.0001, Rel. Des. José Ricardo Vidal Patrocínio, 3ª Câmara Direito Privado, j. 23.02.2022. ACÓRDÃO: Vistos, relatados e discutidos estes autos, acorda a 1ª Câmara Direito Privado do Tribunal de Justiça do Estado do Ceará, por unanimidade de votos, em CONHECER e NEGAR PROVIMENTO ao recurso interposto, nos termos do voto do Relator. Fortaleza, data da assinatura digital. DESEMBARGADOR ANTÔNIO ABELARDO BENEVIDES MORAES Presidente do Órgão Julgador DESEMBARGADOR CARLOS AUGUSTO GOMES CORREIA Relator DESEMBARGADOR CARLOS AUGUSTO GOMES</w:t>
            </w:r>
          </w:p>
          <w:p>
            <w:pPr>
              <w:pStyle w:val="TableParagraph"/>
              <w:spacing w:line="208" w:lineRule="auto" w:before="0"/>
              <w:ind w:right="99"/>
              <w:rPr>
                <w:sz w:val="20"/>
              </w:rPr>
            </w:pPr>
            <w:r>
              <w:rPr>
                <w:sz w:val="20"/>
              </w:rPr>
              <w:t>CORREIA Relator&lt;/span&gt; &lt;span style="font-size: 12pt; font-family: 'Times New Roman',serif; color: #000000; background-color: transparent; font-weight: 400; font-style: normal; font-variant: normal; text-decoration: none; vertical-align: baseline; white-space: pre-wrap;"&gt;(Agravo Interno Cível - 0050165-02.2020.8.06.0101, Rel. Desembargador(a) CARLOS AUGUSTO GOMES CORREIA, 1ª Câmara Direito Privado, data do julgamento:&amp;#160; 30/04/2025, data da publicação:&amp;#160; 02/05/2025) [Destaquei]&lt;/span&gt;&lt;/p&gt;&lt;p style="line-height: 1.7999999999999998; margin-left: 113pt; text-align: justify; margin-top: 12pt; margin-bottom: 12pt;" dir="ltr"&gt;&lt;span style="font-size: 12pt; font-family: 'Times New Roman',serif; color: #000000; background-color: </w:t>
            </w:r>
            <w:r>
              <w:rPr>
                <w:spacing w:val="-2"/>
                <w:sz w:val="20"/>
              </w:rPr>
              <w:t>transparent; </w:t>
            </w:r>
            <w:r>
              <w:rPr>
                <w:sz w:val="20"/>
              </w:rPr>
              <w:t>font-weight: 400; font-style: normal; font-variant: normal; text-decoration: none; vertical- align: baseline; white-space: pre-wrap;"&gt;DIREITO CIVIL E DO CONSUMIDOR. AGRAVO INTERNO EM AÇÃO REVISIONAL DE CONTRATO BANCÁRIO. JUROS REMUNERATÓRIOS. LIMITAÇÃO À TAXA MÉDIA DE MERCADO.&lt;/span&gt; &lt;span</w:t>
            </w:r>
          </w:p>
          <w:p>
            <w:pPr>
              <w:pStyle w:val="TableParagraph"/>
              <w:spacing w:line="208" w:lineRule="auto" w:before="0"/>
              <w:ind w:right="144"/>
              <w:rPr>
                <w:sz w:val="20"/>
              </w:rPr>
            </w:pPr>
            <w:r>
              <w:rPr>
                <w:sz w:val="20"/>
              </w:rPr>
              <w:t>style="font-size: 12pt; font-family: &amp;quot;Times New Roman&amp;quot;, serif; color: #000000; background-color: transparent; font-weight: 700; font-style: normal; font-variant: normal; text-decoration-skip-ink: none; vertical-align: baseline; white-space: pre-wrap; text- decoration: underline;"&gt;REPETIÇÃO EM DOBRO&lt;/span&gt;&lt;span style="font-size: 12pt; font-family: 'Times New Roman',serif; color: #000000; background-color: transparent; </w:t>
            </w:r>
            <w:r>
              <w:rPr>
                <w:spacing w:val="-4"/>
                <w:sz w:val="20"/>
              </w:rPr>
              <w:t>font- </w:t>
            </w:r>
            <w:r>
              <w:rPr>
                <w:sz w:val="20"/>
              </w:rPr>
              <w:t>weight: 400; font-style: normal; font-variant: normal; text-decoration: none; vertical-align: baseline; white-space: pre-wrap;"&gt;. AGRAVO INTERNO DESPROVIDO. I. CASO EM EXAME 1. Agravo interno interposto por Omni S/A ¿ Crédito, Financiamento e Investimento contra decisão monocrática que deu parcial provimento à apelação de Antônio Laerte da Silva Souza para limitar os juros remuneratórios à taxa média de</w:t>
            </w:r>
          </w:p>
          <w:p>
            <w:pPr>
              <w:pStyle w:val="TableParagraph"/>
              <w:spacing w:line="208" w:lineRule="auto" w:before="0"/>
              <w:ind w:right="52"/>
              <w:rPr>
                <w:sz w:val="20"/>
              </w:rPr>
            </w:pPr>
            <w:r>
              <w:rPr>
                <w:sz w:val="20"/>
              </w:rPr>
              <w:t>mercado, determinar a devolução em dobro dos valores pagos a maior, e adequar os ônus sucumbenciais, em ação revisional de contrato de financiamento de veículo com alienação fiduciária. II. QUESTÃO EM DISCUSSÃO 2. Há duas questões em discussão: (i) definir se é válida a estipulação dos juros remuneratórios acima da taxa média de mercado; (ii)&lt;/span&gt; &lt;span style="font-size: 12pt; font-family: &amp;quot;Times New Roman&amp;quot;, serif; color: #000000; background-color: transparent; font-weight: 700; font-style: normal; font- variant: normal; text-decoration-skip-ink: none; vertical-align: baseline; white-space: pre- wrap; text-decoration: underline;"&gt;estabelecer se é devida a devolução em dobro dos valores pagos a maior&lt;/span&gt;&lt;span style="font-size: 12pt; font-family: 'Times New Roman',serif; color: #000000; background-color: transparent; font-weight: 400; font-style: normal; font-variant: normal; text-decoration: none; vertical-align: baseline; white-space: pre-wrap;"&gt;. III. RAZÕES DE DECIDIR 3. Aplica-se o Código de Defesa do Consumidor às instituições financeiras, nos termos da Súmula 297 do STJ, permitindo a revisão das cláusulas contratuais bancárias para proteção da parte hipossuficiente. 4. A estipulação de juros remuneratórios superiores a 12% ao ano, por si só, não indica abusividade (Súmula 382/STJ), sendo necessária a demonstração de que a taxa praticada excede de forma exorbitante a média de mercado. 5. Verificada taxa de juros remuneratórios (63,46% a.a.) superior a mais de uma vez e meia a taxa média de mercado (26,14% a.a.),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caracterizando abusividade e autorizando a revisão judicial do contrato. 6. A descaracterização da mora é cabível diante da constatação de encargos abusivos durante o período de normalidade contratual, conforme entendimento firmado no REsp 1.061.530/RS. 7.&lt;/span&gt; &lt;span style="font-size: 12pt; font-family: 'Times New Roman',serif; color: #000000; background-color: transparent; font-weight: 700; font-style: normal; font-variant: normal; text-decoration: none; vertical-align: baseline; white-space: pre-wrap;"&gt;A restituição em dobro dos valores pagos a maior é aplicável independentemente de dolo do fornecedor, desde que a cobrança indevida tenha ocorrido após o julgamento do EAREsp 676608/RS, em 30/03/2021&lt;/span&gt;&lt;span style="font-size: 12pt; font-family: 'Times New Roman',serif; color: #000000; background-color: transparent; font-weight: 400; font-style: normal; font-variant: normal; text-decoration: none; vertical- align: baseline; white-space: pre-wrap;"&gt;. IV. DISPOSITIVO E TESE 8. Agravo interno desprovido. Tese de julgamento: 1. Aplica-se o Código de Defesa do Consumidor às relações contratuais bancárias, autorizando a revisão das cláusulas em caso de abusividade. 2. A estipulação de juros remuneratórios superiores à taxa média de mercado só caracteriza abusividade se exceder de forma exorbitante, configurando vantagem exagerada. 3. A constatação de encargos abusivos no período de normalidade contratual descaracteriza a mora do devedor. 4. É cabível a restituição em dobro dos valores pagos a maior em cobrança indevida realizada após 30/03/2021, independentemente de má-fé do credor. Dispositivos relevantes citados: CF/1988, art. 170; CDC, arts. 4º, III; 6º, IV e V; 47; CPC/2015, art. 98, § 3º. Jurisprudência relevante citada: STF, Súmula 596; STJ, Súmulas 297 e 382; STJ, REsp 1.061.530/RS, Rel. Min. Nancy Andrighi; STJ, EAREsp 676608/RS, Rel. Min. Og Fernandes; STJ, AgInt no AREsp 1469726/RS, Rel. Min. Maria Isabel Gallotti; TJ-CE, Apelação Cível nº 0264745-91.2022.8.06.0001, Rel. Des. Maria do Livramento Alves Magalhães. ACÓRDÃO: Vistos, relatados e discutidos estes autos, acorda a 1ª Câmara Direito Privado do Tribunal de Justiça do Estado do Ceará, por unanimidade, em conhecer do presente recurso para, no mérito, negar-lhe provimento, tudo nos termos do voto do Relator. Fortaleza, data constante no sistema. DESEMBARGADOR ANTÔNIO ABELARDO BENEVIDES MORAES Presidente do Órgão Julgador DESEMBARGADOR CARLOS AUGUSTO GOMES CORREIA Relator DESEMBARGADOR CARLOS</w:t>
            </w:r>
          </w:p>
          <w:p>
            <w:pPr>
              <w:pStyle w:val="TableParagraph"/>
              <w:spacing w:line="208" w:lineRule="auto" w:before="0"/>
              <w:ind w:right="20"/>
              <w:rPr>
                <w:sz w:val="20"/>
              </w:rPr>
            </w:pPr>
            <w:r>
              <w:rPr>
                <w:sz w:val="20"/>
              </w:rPr>
              <w:t>AUGUSTO GOMES CORREIA Relator&lt;/span&gt; &lt;span style="font-size: 12pt; font-family: 'Times New Roman',serif; color: #000000; background-color: transparent; font-weight: 400; font-style: normal; font-variant: normal; text-decoration: none; vertical-align: baseline; white- space: pre-wrap;"&gt;(Agravo Interno Cível - 0279503-41.2023.8.06.0001, Rel.</w:t>
            </w:r>
          </w:p>
          <w:p>
            <w:pPr>
              <w:pStyle w:val="TableParagraph"/>
              <w:spacing w:line="208" w:lineRule="auto" w:before="0"/>
              <w:ind w:right="55"/>
              <w:rPr>
                <w:sz w:val="20"/>
              </w:rPr>
            </w:pPr>
            <w:r>
              <w:rPr>
                <w:sz w:val="20"/>
              </w:rPr>
              <w:t>Desembargador(a) CARLOS AUGUSTO GOMES CORREIA, 1ª Câmara Direito Privado, data do julgamento:&amp;#160; 30/04/2025, data da publicação:&amp;#160; 02/05/2025) [Destaquei]&lt;/span&gt;&lt;/p&gt;&lt;p style="line-height: 1.7999999999999998; margin-left: 113pt; text-align: justify; margin-top: 12pt; margin-bottom: 12pt;" dir="ltr"&gt;&lt;span style="font-size: 12pt; font-family: 'Times New Roman',serif; color: #000000; background-color: transparent; font-weight: 400; font-style: normal; font-variant: normal; text-decoration: none; vertical- align: baseline; white-space: pre-wrap;"&gt;APELAÇÃO CÍVEL. AÇÃO REVISIONAL. SENTENÇA QUE JULGOU IMPROCEDENTE A DEMANDA. IRRESIGNAÇÃO DO AUTOR. CAPITALIZAÇÃO DE JUROS DEVIDAMENTE PREVISTA NO CONTRATO. SÚMULA Nº 541 DO STJ. TAXA DE JUROS REMUNERATÓRIOS. NÃO COMPROVADA A ABUSIVIDADE ALEGADA. MANUTENÇÃO DAS TAXAS CONTRATADAS. TARIFA DE CADASTRO E SEGURO. PRECEDENTES DO STJ. LEGALIDADE. TARIFA DE AVALIAÇÃO DO BEM. NÃO COMPROVAÇÃO DE EFETIVA PRESTAÇÃO DO </w:t>
            </w:r>
            <w:r>
              <w:rPr>
                <w:spacing w:val="-3"/>
                <w:sz w:val="20"/>
              </w:rPr>
              <w:t>SERVIÇO. </w:t>
            </w:r>
            <w:r>
              <w:rPr>
                <w:sz w:val="20"/>
              </w:rPr>
              <w:t>OCORRÊNCIA. DIREITO À REPETIÇÃO DO VALOR PAGO. RECURSO CONHECIDO E</w:t>
            </w:r>
          </w:p>
          <w:p>
            <w:pPr>
              <w:pStyle w:val="TableParagraph"/>
              <w:spacing w:line="208" w:lineRule="auto" w:before="0"/>
              <w:ind w:right="40"/>
              <w:rPr>
                <w:sz w:val="20"/>
              </w:rPr>
            </w:pPr>
            <w:r>
              <w:rPr>
                <w:sz w:val="20"/>
              </w:rPr>
              <w:t>PARCIALMENTE PROVIDO. Caso em exame: 1. Cuida-se de recurso de apelação interposto contra sentença de fls. 298/317, proferida pelo Juízo da 8ª Vara Cível da Comarca de Fortaleza/CE, que julgou improcedentes os pedidos autorais em ação revisional movida pela apelante em face de Banco Votorantim S/A. Questão em</w:t>
            </w:r>
            <w:r>
              <w:rPr>
                <w:spacing w:val="-17"/>
                <w:sz w:val="20"/>
              </w:rPr>
              <w:t> </w:t>
            </w:r>
            <w:r>
              <w:rPr>
                <w:sz w:val="20"/>
              </w:rPr>
              <w:t>discussão:</w:t>
            </w:r>
          </w:p>
          <w:p>
            <w:pPr>
              <w:pStyle w:val="TableParagraph"/>
              <w:spacing w:line="208" w:lineRule="auto" w:before="0"/>
              <w:ind w:right="18"/>
              <w:rPr>
                <w:sz w:val="20"/>
              </w:rPr>
            </w:pPr>
            <w:r>
              <w:rPr>
                <w:sz w:val="20"/>
              </w:rPr>
              <w:t>2. Cinge-se a controvérsia recursal em averiguar o acerto da decisão de primeiro grau que julgou improcedente a demanda que buscava o reconhecimento de encargos abusivos em contrato de financiamento firmado entre o autor e o banco promovido. 3. A insurgência recursal do autor-apelante concentra-se nos seguintes pontos: ilicitude da Tarifa de Cadastro - TAC; Tarifa de Avaliação; Seguro Prestamista; IOF; forma e incidência dos juros e capitalização. Razões de decidir: 4. Ausência de ilegalidade na cobrança de tarifa de cadastro e de seguro no presente caso concreto. Legítima cobrança de tarifa de cadastro nos termos da Súmula 566 do STJ. Lado outro, a cobrança de seguro no contrato também é possível, desde que aposta como facultativa ao consumidor. No presente caso não há qualquer comprovação que o consumidor fora compelido a adquirir seguro com a instituição financeira ou com seguradora, ao contrário, no contrato há opção de campo a ser assinalado positivamente ou negativamente, demonstrando a facultatividade da </w:t>
            </w:r>
            <w:r>
              <w:rPr>
                <w:spacing w:val="-3"/>
                <w:sz w:val="20"/>
              </w:rPr>
              <w:t>avença </w:t>
            </w:r>
            <w:r>
              <w:rPr>
                <w:sz w:val="20"/>
              </w:rPr>
              <w:t>e não havendo que se falar em venda casada. Precedentes do STJ. 5. No que se refere a cobrança da Tarifa de Avaliação do Bem, tal cobrança encontra amparo legal nas disposições da Resoluções nº 3.518/2007 e 3.919/2010 do Conselho Monetário Nacional. Tais resoluções, ao incluírem expressamente essa tarifa em seu rol, legitimam sua cobrança e pactuação nos contratos bancários. Inobstante, ara cobrança de tal tarifa é imprescindível que a avaliação do bem tenha sido efetivamente realizada, sob pena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cobrar do consumidor por um serviço e não o prestar, incorrendo em enriquecimento ilícito. Nesse prisma, compete ao prestador do serviço comprovar que efetivamente o fez, caso contrário estará configurada a abusividade. Tal ônus probatório recai sobre o prestador do serviço bancário, tendo em vista tal ônus ser estabelecido ope legis, conforme art. 14, §3º, do CDC. Na hipótese em análise, consta expressamente dos termos pactuados, que a operação contaria com tarifa de avaliação do bem e que foi autorizado o financiamento do valor respectivo, com expressa opção positiva (fls. 89/90). Contudo, não fora demonstrada a prestação do serviço. Observa-se, em verdade, que o campo destinado ao laudo de avaliação do bem está em branco (fl. 275). A promovida não colacionou aos autos qualquer documento prevendo que de fato a avaliação ocorreu, devendo recair sobre si as consequências da ausência de prova do serviço prestado. 6. No que tange à cobrança de IOF, sendo tributo federal, deve ser recolhido quando ocorrida hipótese de incidência, conforme entendimento sedimentado nos Resp 1.251.331-RS e 1.255.573-RS, processado junto à 2ª Seção do STJ, nos termos do art. 543-C, CPC, havendo a possibilidade de as partes convencionarem o pagamento do Imposto sobre Operações Financeiras e de Crédito (IOF) por meio de financiamento acessório ao mútuo principal, sujeitando-se aos mesmos encargos contratuais (fls. 278/279). Em suma, a cobrança pela instituição financeira no caso concreto não demonstra vantagem exagerada, não se revelando abusiva, não havendo que se falar em declaração de nulidade desta cláusula. 7. Ausência de ilegalidade nos juros remuneratórios do contrato. A jurisprudência não considera abusivos juros contratuais, até porque tal prática é permitida pelo ordenamento jurídico.</w:t>
            </w:r>
          </w:p>
          <w:p>
            <w:pPr>
              <w:pStyle w:val="TableParagraph"/>
              <w:spacing w:line="208" w:lineRule="auto" w:before="0"/>
              <w:ind w:right="20"/>
              <w:rPr>
                <w:sz w:val="20"/>
              </w:rPr>
            </w:pPr>
            <w:r>
              <w:rPr>
                <w:sz w:val="20"/>
              </w:rPr>
              <w:t>Súmula 382, STJ. Além disso, alegações genéricas sobre abusividade contratual, por si só, não caracterizam a cobrança de encargos como abusiva. Igualmente, não assiste razão ao recorrente ao sustentar a ausência de previsão contratual para a capitalização de juros ou a sua suposta vedação. A capitalização de juros é permitida nos contratos bancários, assim como já é pacífico em jurisprudência que a cobrança de juros anuais superiores em 12 (doze) vezes ou mais aos juros mensais, importa em previsão suficiente para considerar lícita a capitalização de juros. Súmula 541, STJ. Na situação posta, tem-se que na contratação houve previsão de taxa de juros anual e mensal, estipulada de forma expressa e de fácil percepção (fl. 277). 8.&lt;/span&gt;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pre-wrap;"&gt;Portanto, assiste parcial razão ao recorrente, devendo a sentença atacada ser alterada tão apenas quanto ao reconhecimento da irregularidade da tarifa de avaliação do bem, cobrada sem comprovação de prestação do serviço, e o consequente direito de repetição dos valos pagos.&lt;/span&gt;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pre-wrap;"&gt;Dispositivo: 9. Apelo conhecido e parcialmente provido. Decisão de origem alterada. ACÓRDÃO Vistos, relatados e discutidos esses autos, acorda a Terceira Câmara de Direito Privado do Egrégio Tribunal de Justiça do Ceará, por unanimidade, em CONHECER e DAR PARCIAL PROVIMENTO à presente Apelação Cível, em conformidade com o voto do Relator. Fortaleza, data registrada no sistema. CLEIDE ALVES DE AGUIAR Presidente do Órgão Julgador FRANCISCO LUCÍDIO DE QUEIROZ JÚNIOR Desembargador Relator&lt;/span&gt; &lt;span style="font-size: 12pt; font-family: 'Times New Roman',serif; color: #000000; background-color: transparent; font-weight: 400; font- style: normal; font-variant: normal; text-decoration: none; vertical-align: baseline; white- space: pre-wrap;"&gt;(Apelação Cível - 0288316-91.2022.8.06.0001, Rel. Desembargador FRANCISCO LUCÍDIO DE QUEIROZ JÚNIOR, 3ª Câmara Direito Privado, data do julgamento:&amp;#160; 30/04/2025, data da publicação:&amp;#160; 30/04/2025) [Destaquei]&lt;/span&gt;&lt;/p&gt;&lt;p style="line-height: 1.7999999999999998; margin-left: 113pt; text-align: justify; margin-top: 12pt; margin-bottom: 12pt;" dir="ltr"&gt;&lt;span style="font-size: 12pt; font-family: 'Times New Roman',serif; color: #000000; background-color: transparent; font-weight: 400; font-style: normal; font-variant: normal; text-decoration: none; vertical- align: baseline; white-space: pre-wrap;"&gt;DIREITO DO CONSUMIDOR. APELAÇÃO CÍVEL&lt;/span&gt;&lt;span style="font-size: 12pt; font-family: 'Times New Roman',serif; color: #000000; background-color: transparent; font-weight: 700; font-style: normal; font-variant: normal; text-decoration: none; vertical-align: baseline; white-space: pre-wrap;"&gt;. AÇÃO REVISIONAL DE CONTRATO. AQUISIÇÃO DE VEÍCULO&lt;/span&gt;&lt;span style="font-size: 12pt; font-family: 'Times New Roman',serif; color: #000000; background-color: transparent; font-weight: 400; font-style: normal; font-variant: normal; text-decoration: none; vertical- align: baseline; white-space: pre-wrap;"&gt;. JUROS REMUNERATÓRIOS. TAXA MÉDIA DE MERCADO. AUSENTE ABUSIVIDADE. CAPITALIZAÇÃO DE JUROS. PERIODICIDADE INFERIOR À ANUAL. CONTRATO FIRMADO APÓS 31.03.2000. PACTUAÇÃO EXPRESSA. TAXA DE JUROS ANUAL SUPERIOR AO DUODÉCUPLO DA MENSAL. INCIDÊNCIA AUTORIZADA. INTELIGÊNCIA DAS SUMULAS 539 E 541 DO STJ. SEGURO PRESTAMISTA. AUSÊNCIA DE VENDA CASADA, OPÇÕES EXISTENTES E ASSINATURA CONTRATUAL. LEGALIDADE DA CUMULAÇÃO DE COMISSÃO DE PERMANÊNCIA E AUSÊNCIA DE CUMULAÇÃO COM OUTROS ENCARGOS DE MORA. SÚMULA 472 DO STJ. AUSENTE ABUSIVIDADE DE TAXA DE JUROS E COMISSÃO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93"/>
              <w:rPr>
                <w:sz w:val="20"/>
              </w:rPr>
            </w:pPr>
            <w:r>
              <w:rPr>
                <w:sz w:val="20"/>
              </w:rPr>
              <w:t>PERMANÊNCA. ABUSIVIDADE DE UMA DAS TAXAS. RECURSO CONHECIDO E PARCIALMENTE PROVIDO. SENTENÇA REFORMADA EM PARTE. 1. Trata-se de</w:t>
            </w:r>
          </w:p>
          <w:p>
            <w:pPr>
              <w:pStyle w:val="TableParagraph"/>
              <w:spacing w:line="208" w:lineRule="auto" w:before="0"/>
              <w:ind w:right="31"/>
              <w:rPr>
                <w:sz w:val="20"/>
              </w:rPr>
            </w:pPr>
            <w:r>
              <w:rPr>
                <w:sz w:val="20"/>
              </w:rPr>
              <w:t>apelação cível interposta por Cristiane dos Santos Lima, contra sentença do Juízo da 8ª Vara Cível da Comarca de Fortaleza/CE, que julgou improcedentes os pedidos iniciais em ação revisional de contrato de financiamento para aquisição de veículo firmado com Banco Votorantim S/A. 2. A questão em discussão consiste em saber se: (i) há abusividade nos juros remuneratórios fixados em 37,15% ao ano; (ii) é válida a capitalização de juros em período inferior ao anual; (iii) é lícita a cumulação da comissão de permanência com </w:t>
            </w:r>
            <w:r>
              <w:rPr>
                <w:spacing w:val="-3"/>
                <w:sz w:val="20"/>
              </w:rPr>
              <w:t>outros </w:t>
            </w:r>
            <w:r>
              <w:rPr>
                <w:sz w:val="20"/>
              </w:rPr>
              <w:t>encargos; (iv) são legítimas as cobranças de tarifas, taxas, seguros e impostos; (v) cabe a repetição do indébito em dobro com compensação dos valores indevidamente pagos, e ainda acerca da legitimidade da consignação em pagamento; (vi) consignação em pagamento e afastamento da mora. 3. Os juros remuneratórios de 37,15% ao ano não são abusivos, a despeito de estarem mais de 10 pontos acima da taxa média praticada à época (julho/2023). 4. Como é possível constatar, a taxa de juros pactuada supera em mais de dez pontos porcentuais a taxa de juros estabelecida pelo Banco Central, gerando, a priori, uma desvantagem ao consumidor. Entretanto, analisando as particularidades do caso, embora se verifique uma discrepância entre os juros contratados e a taxa referencial do BACEN, não há disparidade significativa. Inclusive, a diferença entre as respectivas taxas de juros pode ter relação com a forma de pagamento estipulada no contrato, ao prever que as prestações mensais devem ser pagas por meio de carnê (conforme cláusula "Da Operação", constante à fl. 136), gerando, assim, um maior risco de inadimplemento se comparado a contratos albergados com pagamento mediante débito em conta, situação que justifica, em tese, a cobrança de juros remuneratórios mais elevados do que a taxa média do BACEN. 5. Diante disso, considerando que a parte requerida / apelante não trouxe elementos úteis para amparar sua tese de abusividade na cláusula que fixou a taxa de juros remuneratórios, tais como baixo risco da operação, seu histórico positivo de crédito, a situação favorável da economia na época da contratação, dentre outros fatores possíveis, não há como alterar a conclusão exposto pelo juízo singular, sob pena de intervir inadequadamente no ajuste contratual celebrado em comum acordo, quando há evidências de que o crédito foi concedido com maior risco de inadimplemento.&amp;#160; 6.</w:t>
            </w:r>
          </w:p>
          <w:p>
            <w:pPr>
              <w:pStyle w:val="TableParagraph"/>
              <w:spacing w:line="208" w:lineRule="auto" w:before="0"/>
              <w:ind w:right="51"/>
              <w:rPr>
                <w:sz w:val="20"/>
              </w:rPr>
            </w:pPr>
            <w:r>
              <w:rPr>
                <w:sz w:val="20"/>
              </w:rPr>
              <w:t>Em continuidade, sabe-se que o ordenamento jurídico pátrio não veda capitalização anual de juros, mas veda, como regra, a incidência de juros compostos com periodicidade inferior a um ano. Entretanto, os contratos bancários figuram como exceção, conforme entendimento sumulado pelo Superior Tribunal de Justiça (Enunciado 539). O entendimento adotado pelo Superior Tribunal de Justiça é o de que atende ao requisito </w:t>
            </w:r>
            <w:r>
              <w:rPr>
                <w:spacing w:val="-9"/>
                <w:sz w:val="20"/>
              </w:rPr>
              <w:t>em </w:t>
            </w:r>
            <w:r>
              <w:rPr>
                <w:sz w:val="20"/>
              </w:rPr>
              <w:t>questão a clara disposição das taxas mensais e anuais incidentes no pacto, podendo o contratante deduzir referida capitalização se restar evidente que a taxa de juros anual é mais de doze vezes superior à mensal (Súmula 541 do STJ). 7. Ao examinar a Cédula de Crédito Bancário, os contratantes celebraram, expressamente, a capitalização de juros em periodicidade inferior à anual, comportamento contratual que se amolda à compreensão jurisprudencial do STJ, vez que a taxa de juros remuneratórios mensal e anual foram fixados, respectivamente, em 2,85% e 40,10%. 8. Assim, tem-se que a cláusula do contrato referente à capitalização dos juros não viola qualquer disposição legal, pois redigida de forma clara e objetiva, de modo que o contratante teve plena ciência, no momento da pactuação, do valor das parcelas que pagaria durante toda a contratualidade, as quais são computadas em consonância com a taxa de juros capitalizada. 9. A cobrança da tarifa de avaliação do bem é indevida, pois, apesar de expressamente pactuada, não houve comprovação da efetiva prestação do serviço pela instituição financeira. 10. A contratação do seguro prestamista e seguro de terceiros é válida, pois o contrato apresenta opções de escolha (campos "sim" ou "não") e termo separado de adesão devidamente assinado pelo consumidor, não configurando venda 11. A tarifa de cadastro apresenta cobrança, sendo lícita a cobrança no início do relacionamento bancário. 12. A cobrança do IOF é legítima, conforme entendimento firmado pelo STJ no REsp 1.255.573/RS. 13.&lt;/span&gt; &lt;span style="font-size: 12pt; font-family: &amp;quot;Times New Roman&amp;quot;, serif; color: #000000; background-color: transparent; font-weight: 700; font- style: normal; font-variant: normal; text-decoration-skip-ink: none; vertical-align: baseline; white-space: pre-wrap; text-decoration: underline;"&gt;A repetição do indébito deve ocorrer em dobro, conforme entendimento do STJ firmado no EAREsp 676608/RS, considerando que o contrato foi firmado após a publicação do referido acórdão.&lt;/span&gt; &lt;span style="font-size: 12pt; font-family: 'Times New Roman',serif; color: #000000; background- color: transparent; font-weight: 400; font-style: normal; font-variant: normal; text-decoration: none; vertical-align: baseline; white-space: pre-wrap;"&gt;14. Consignação em pagamento não demonstrada pela parte autora, de modo que não há como falar em afastamento da mora. 15. Recurso conhecido e parcialmente provido. Sentença reformada em parte.</w:t>
            </w:r>
          </w:p>
          <w:p>
            <w:pPr>
              <w:pStyle w:val="TableParagraph"/>
              <w:spacing w:line="208" w:lineRule="auto" w:before="0"/>
              <w:ind w:right="103"/>
              <w:rPr>
                <w:sz w:val="20"/>
              </w:rPr>
            </w:pPr>
            <w:r>
              <w:rPr>
                <w:sz w:val="20"/>
              </w:rPr>
              <w:t>ACÓRDÃO Vistos, relatados e discutidos os autos referentes ao presente recurso apelatório, em que litigam as partes acima nominadas, ACORDA A TURMA JULGADORA DA PRIMEIRA CÂMARA DE DIREITO PRIVADO DESTE TRIBUNAL DE JUSTIÇA DO</w:t>
            </w:r>
          </w:p>
          <w:p>
            <w:pPr>
              <w:pStyle w:val="TableParagraph"/>
              <w:spacing w:line="208" w:lineRule="auto" w:before="0"/>
              <w:rPr>
                <w:sz w:val="20"/>
              </w:rPr>
            </w:pPr>
            <w:r>
              <w:rPr>
                <w:sz w:val="20"/>
              </w:rPr>
              <w:t>ESTADO DO CEARÁ, por UNANIMIDADE de votos, em conhecer do recurso, para </w:t>
            </w:r>
            <w:r>
              <w:rPr>
                <w:spacing w:val="-3"/>
                <w:sz w:val="20"/>
              </w:rPr>
              <w:t>dar-lhe </w:t>
            </w:r>
            <w:r>
              <w:rPr>
                <w:sz w:val="20"/>
              </w:rPr>
              <w:t>parcial provimento, nos termos do voto da Relatora. Fortaleza, data da assinatura digital Des. José Ricardo Vidal Patrocínio Presidente do Órgão Julgador Desa. Maria Regina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3001352-07.2025.8.06.0071</w:t>
            </w:r>
          </w:p>
        </w:tc>
      </w:tr>
      <w:tr>
        <w:trPr>
          <w:trHeight w:val="14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
              <w:rPr>
                <w:sz w:val="20"/>
              </w:rPr>
            </w:pPr>
            <w:r>
              <w:rPr>
                <w:sz w:val="20"/>
              </w:rPr>
              <w:t>Oliveira Camara Relatora.&lt;/span&gt; &lt;span style="font-size: 12pt; font-family: 'Times New Roman',serif; color: #000000; background-color: transparent; font-weight: 400; font-style: normal; font-variant: normal; text-decoration: none; vertical-align: baseline; white-space: pre-wrap;"&gt;(Apelação Cível - 0223630-22.2024.8.06.0001, Rel. Desembargador(a) MARIA REGINA OLIVEIRA CAMARA, 1ª Câmara Direito Privado, data do julgamento:&amp;#160; 16/04/2025, data da publicação:&amp;#160; 16/04/2025) [Destaquei]&lt;/span&gt;&lt;/p&gt;&lt;p style="line- height: 1.7999999999999998; text-align: justify; margin-top: 12pt; margin-bottom: 12pt;" dir="ltr"&gt; &lt;span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32"/>
              <w:rPr>
                <w:sz w:val="20"/>
              </w:rPr>
            </w:pPr>
            <w:r>
              <w:rPr>
                <w:sz w:val="20"/>
              </w:rPr>
              <w:t>&lt;span style="font-size: 12pt; font-family: 'Times New Roman',serif; color: #000000; background-color: transparent; font-weight: 400; font-style: normal; font-variant: normal; text-decoration: none; vertical-align: baseline; white-space: pre-wrap;"&gt;Portanto, não há incorreção na decisão impugnada, tendo em vista que seguiu as regras processuais atinentes ao ônus da prova, inclusive relativas à revelia.&lt;/span&gt;&lt;/p&gt;&lt;p style="line-height: 1.7999999999999998; text-indent: 56.692913385826756pt; text-align: justify; margin-top: 6pt; margin-bottom: 6pt;" dir="ltr"&gt; &lt;span style="font-size: 12pt; font-family: 'Times New Roman',serif; color: #000000; background-color: transparent; font-weight: 700; font-style: normal; font-variant: normal; text-decoration: none; vertical-align: baseline; white-space: pre-wrap;"&gt;DISPOSITIVO&lt;/span&gt;&lt;/p&gt;&lt;p style="line-height: 1.7999999999999998; text- 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pre-wrap;"&gt;Diante do que acima foi exposto e fundamentado,&lt;/span&gt; &lt;span style="font-size: 12pt; font-family: </w:t>
            </w:r>
            <w:r>
              <w:rPr>
                <w:spacing w:val="-3"/>
                <w:sz w:val="20"/>
              </w:rPr>
              <w:t>'Times </w:t>
            </w:r>
            <w:r>
              <w:rPr>
                <w:sz w:val="20"/>
              </w:rPr>
              <w:t>New Roman',serif; color: #000000; background-color: transparent; font-weight: 700; font- style: normal; font-variant: normal; text-decoration: none; vertical-align: baseline; white- space: pre-wrap;"&gt;CONHEÇO EM PARTE&lt;/span&gt; &lt;span style="font-size: 12pt; font- family: 'Times New Roman',serif; color: #000000; background-color: transparent; font- weight: 700; font-style: normal; font-variant: normal; text-decoration: none; vertical-align: baseline; white-space: pre-wrap;"&gt;DO RECURSO PARA&lt;/span&gt; &lt;span style="font-size: 12pt; font-family: 'Times New Roman',serif; color: #000000; background-color: transparent; font-weight: 700; font-style: normal; font-variant: normal; text-decoration: none; vertical- align: baseline; white-space: pre-wrap;"&gt;NEGAR-LHE PROVIMENTO,&lt;/span&gt; &lt;span style="font-size: 12pt; font-family: 'Times New Roman',serif; color: #000000; background- color: transparent; font-weight: 400; font-style: normal; font-variant: normal; text-decoration: none; vertical-align: baseline; white-space: pre-wrap;"&gt;mantendo-se a decisão apelada, pelos seus próprios fundamentos.&lt;/span&gt;&lt;/p&gt;&lt;p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pre-wrap;"&gt;Majoro os ônus sucumbenciais para 15% sobre o valor atualizado da condenação.&lt;/span&gt;&lt;/p&gt;&lt;p style="line-height: 2.4;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pre-wrap;"&gt;É como voto.&lt;/span&gt;&lt;/p&gt;&lt;p style="line-height: 2.4; text-indent: 56.692913385826756pt; text-align: justify; margin-top: 12pt; margin-bottom: 0pt;" dir="ltr"&gt;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pre-wrap;"&gt;&amp;#160;&lt;/span&gt;</w:t>
            </w:r>
          </w:p>
          <w:p>
            <w:pPr>
              <w:pStyle w:val="TableParagraph"/>
              <w:spacing w:line="208" w:lineRule="auto" w:before="0"/>
              <w:ind w:right="20"/>
              <w:rPr>
                <w:sz w:val="20"/>
              </w:rPr>
            </w:pPr>
            <w:r>
              <w:rPr>
                <w:sz w:val="20"/>
              </w:rPr>
              <w:t>&lt;span style="background-color: transparent; font-family: &amp;quot;Times New Roman&amp;quot;, serif; font-size: 12pt; white-space-collapse: preserve; text-indent: 56.6929pt;"&gt;Fortaleza, data registrada no sistema.&lt;/span&gt; &lt;span style="background-color: transparent; font- family: &amp;quot;Times New Roman&amp;quot;, serif; font-size: 12pt; white-space-collapse: preserve;"&gt;&amp;#160;&lt;/span&gt;&lt;/p&gt;&lt;p style="line-height: 1.7999999999999998; text-align: center; margin-top: 12pt; margin-bottom: 0pt;" dir="ltr"&gt;&lt;span style="font-size: 12pt; font- family: 'Times New Roman',serif; color: #000000; background-color: transparent; font- weight: 700; font-style: normal; font-variant: normal; text-decoration: none; vertical-align: baseline; white-space: pre-wrap;"&gt;FRANCISCO LUCÍDIO DE QUEIROZ JÚNIOR&lt;/span&gt;&amp;#160;&lt;/p&gt;&lt;p style="line-height: 1.7999999999999998; text-align: center; margin-top: 12pt; margin-bottom: 0pt;" dir="ltr"&gt; &lt;span style="font-size: 12pt; font-family: 'Times New Roman',serif; color: #000000; background-color: transparent; font-weight: 400; font-style: normal; font-variant: normal; text-decoration: none; vertical-align: baseline; white- space: pre-wrap;"&gt;Desembargador Relator&lt;/span&gt;&lt;/p&gt;&lt;br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L. B. D. S. S.</w:t>
            </w:r>
          </w:p>
          <w:p>
            <w:pPr>
              <w:pStyle w:val="TableParagraph"/>
              <w:spacing w:line="215" w:lineRule="exact" w:before="0"/>
              <w:rPr>
                <w:sz w:val="20"/>
              </w:rPr>
            </w:pPr>
            <w:r>
              <w:rPr>
                <w:sz w:val="20"/>
              </w:rPr>
              <w:t>MARILIA EDNA DOS SANTOS FERREIRA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EVELISE SIMONE DE MELO ANDREASSA - (MG107882-A)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UNIMED DO CARIRI - COOPERATIVA DE TRABALHO MEDICO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SHALON MICHAELLI ANGELO TAVARES - (CE24016-A)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&lt;strong&gt;PROCESSO&lt;/strong&gt;:&amp;#160;3007497-98.2025.8.06.0000 -&amp;#160;AGRAVO DE</w:t>
            </w:r>
          </w:p>
          <w:p>
            <w:pPr>
              <w:pStyle w:val="TableParagraph"/>
              <w:tabs>
                <w:tab w:pos="1439" w:val="left" w:leader="none"/>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L. B. D. S. S., MARILIA EDNA DOS SANTOS FERREIRA&lt;/span&gt; &lt;/span&gt;&lt;/p&gt;&lt;p&gt; &lt;span style="font- size: small;"&gt;</w:t>
              <w:tab/>
              <w:t>&lt;span style="font-family: &amp;quot;times new roman&amp;quot;, times;"&gt;AGRAVADO: UNIMED DO CARIRI - COOPERATIVA DE TRABALHO MEDICO</w:t>
            </w:r>
          </w:p>
          <w:p>
            <w:pPr>
              <w:pStyle w:val="TableParagraph"/>
              <w:tabs>
                <w:tab w:pos="3329" w:val="left" w:leader="none"/>
                <w:tab w:pos="4518" w:val="left" w:leader="none"/>
                <w:tab w:pos="5263" w:val="left" w:leader="none"/>
                <w:tab w:pos="6213" w:val="left" w:leader="none"/>
              </w:tabs>
              <w:spacing w:line="208" w:lineRule="auto" w:before="0"/>
              <w:ind w:right="31"/>
              <w:rPr>
                <w:sz w:val="20"/>
              </w:rPr>
            </w:pPr>
            <w:r>
              <w:rPr>
                <w:sz w:val="20"/>
              </w:rPr>
              <w:t>LTDA&lt;/span&gt;  &lt;/span&gt;&lt;/p&gt;&lt;p&gt;  &lt;span style="font-size: medium;"&gt;</w:t>
              <w:tab/>
              <w:t>&lt;span style="font- family: &amp;quot;times new roman&amp;quot;, times;"&gt;</w:t>
              <w:tab/>
              <w:t>&lt;br /&gt;</w:t>
              <w:tab/>
              <w:t>&lt;/span&gt; &lt;/span&gt;&lt;/p&gt;&lt;p style="line-height: 1.8; text-align: justify; margin-top: 12pt; margin-bottom: 0pt; padding-left: 150px;" dir="ltr"&gt; &lt;strong&gt; &lt;span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 wrap;"&gt;Direito Processual Civil. Direito do Consumidor. Agravo de Instrumento. Ação de Obrigação de Fazer. Plano de saúde. Tratamento multidisciplinar para criança diagnosticada com Transtorno do Espectro Autista. Tutela de urgência. Existência de rede credenciada em município limítrofe. Ausência de probabilidade do direito do direito do recorrente. Precedentes TJCE. Decisão&lt;/span&gt; &lt;span style="font-size: 12pt; font-family: &amp;quot;Times New Roman&amp;quot;, serif; color: #000000; background-color: transparent; font- style: italic; font-variant: normal; text-decoration: none; vertical-align: baseline; white-space: pre-wrap;"&gt;a quo&lt;/span&gt; &lt;span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 wrap;"&gt;confirmada. Inteligência do artigo 300 do CPC/2015. Recurso conhecido e não provido.&lt;/span&gt;&lt;/strong&gt;&lt;/p&gt;&lt;p style="line-height: 1.8; text-align: justify; margin-top: 12pt; margin-bottom: 0pt; padding-left: 150px;" dir="ltr"&gt; &lt;span style="font-size: 12pt; font- family: &amp;quot;Times New Roman&amp;quot;, serif; color: #000000; background-color: transparent; font-style: normal; font-variant: normal; text-decoration: none; vertical-align: baseline; white-space: pre-wrap;"&gt;</w:t>
              <w:tab/>
              <w:t>&lt;strong&gt;I. Caso em exame&lt;/strong&gt; &lt;/span&gt;&lt;/p&gt;&lt;p style="line-height: 1.8; text-align: justify; margin-top: 12pt; margin-bottom: 0pt; padding-left: 150px;" dir="ltr"&gt; &lt;span style="font-size: 12pt; font-family: 'Times New Roman',serif; color: #000000; background-color: transparent; font-weight: 400; font-style: normal; font-variant: normal; text-decoration: none; vertical-align: baseline; white-space: pre-wrap;"&gt;1. Cuida-se de Agravo de Instrumento interposto contra decisão interlocutória que indeferiu pedido de tutela de urgência em Ação de Obrigação de Fazer c/c Indenização. O recorrente, beneficiário do plano de saúde, requer a oferta de tratamentos terapêuticos em seu Município de residência, Mauriti/CE, alegando a impossibilidade de deslocamento em razão de alterações sensoriais severas, comprometimento de linguagem e socialização.&lt;/span&gt;&lt;/p&gt;&lt;p style="line-height: 1.8; text-align: justify; margin-top: 12pt; margin-bottom: 0pt; padding-left: 150px;" dir="ltr"&gt; &lt;span style="font-size: 12pt; font- family: &amp;quot;Times New Roman&amp;quot;, serif; color: #000000; background-color: transparent; font-style: normal; font-variant: normal; text-decoration: none; vertical-align: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29" w:val="left" w:leader="none"/>
              </w:tabs>
              <w:spacing w:line="215" w:lineRule="exact"/>
              <w:rPr>
                <w:sz w:val="20"/>
              </w:rPr>
            </w:pPr>
            <w:r>
              <w:rPr>
                <w:sz w:val="20"/>
              </w:rPr>
              <w:t>baseline; white-space: pre-wrap;"&gt;</w:t>
              <w:tab/>
              <w:t>&lt;strong&gt;II. Questão em discussão&lt;/strong&gt;</w:t>
            </w:r>
          </w:p>
          <w:p>
            <w:pPr>
              <w:pStyle w:val="TableParagraph"/>
              <w:tabs>
                <w:tab w:pos="3329" w:val="left" w:leader="none"/>
              </w:tabs>
              <w:spacing w:line="208" w:lineRule="auto" w:before="9"/>
              <w:ind w:right="226"/>
              <w:rPr>
                <w:sz w:val="20"/>
              </w:rPr>
            </w:pPr>
            <w:r>
              <w:rPr>
                <w:sz w:val="20"/>
              </w:rPr>
              <w:t>&lt;/span&gt;&lt;/p&gt;&lt;p style="line-height: 1.8; text-align: justify; margin-top: 12pt; margin-bottom: 0pt; padding-left: 150px;" dir="ltr"&gt; &lt;span style="font-size: 12pt; font-family: 'Times New Roman',serif; color: #000000; background-color: transparent; font-weight: 400; font-style: normal; font-variant: normal; text-decoration: none; vertical-align: baseline; white-space: pre-wrap;"&gt;2. Consiste em verificar se estão presentes os requisitos para concessão da tutela provisória de urgência em favor do consumidor (artigo 300 do CPC/2015).&lt;/span&gt;&lt;/p&gt;&lt;p style="line-height: 1.8; text-align: justify; margin-top: 12pt; margin-bottom: 0pt; padding-left: 150px;" dir="ltr"&gt; &lt;span style="font-size: 12pt; font- family: &amp;quot;Times New Roman&amp;quot;, serif; color: #000000; background-color: transparent; font-style: normal; font-variant: normal; text-decoration: none; vertical-align: baseline; white-space: pre-wrap;"&gt;</w:t>
              <w:tab/>
              <w:t>&lt;strong&gt;III. Razões de decidir&lt;/strong&gt;</w:t>
            </w:r>
          </w:p>
          <w:p>
            <w:pPr>
              <w:pStyle w:val="TableParagraph"/>
              <w:tabs>
                <w:tab w:pos="1939" w:val="left" w:leader="none"/>
              </w:tabs>
              <w:spacing w:line="208" w:lineRule="auto" w:before="0"/>
              <w:ind w:right="53"/>
              <w:rPr>
                <w:sz w:val="20"/>
              </w:rPr>
            </w:pPr>
            <w:r>
              <w:rPr>
                <w:sz w:val="20"/>
              </w:rPr>
              <w:t>&lt;/span&gt;&lt;/p&gt;&lt;p style="line-height: 1.8; text-align: justify; margin-top: 12pt; margin-bottom: 12pt; padding-left: 150px;" dir="ltr"&gt; &lt;span style="font-size: 12pt; font-family: 'Times New Roman',serif; color: #000000; background-color: transparent; font-weight: 400; font-style: normal; font-variant: normal; text-decoration: none; vertical-align: baseline; white-space: pre-wrap;"&gt;3. A legislação especializada (Lei nº 9.656/98 e Resoluções Normativas da ANS) permite que o atendimento seja prestado em municípios limítrofes quando não houver prestador disponível no município de residência do beneficiário.&lt;/span&gt;&lt;/p&gt;&lt;p style="line-height: 1.8; text-align: justify; margin-top: 12pt; margin-bottom: 0pt; padding-left: 150px;" dir="ltr"&gt; &lt;span style="font-size: 12pt; font-family: 'Times New Roman',serif; color: #000000; background-color: transparent; font-weight: 400; font-style: normal; font-variant: normal; text-decoration: none; vertical-align: baseline; white-space: pre-wrap;"&gt;4. A dificuldade de deslocamento por si só não é suficiente para obrigar a operadora a fornecer tratamento exclusivamente no município de residência do consumidor. Precedentes TJCE.&lt;/span&gt;&lt;/p&gt;&lt;p style="line-height: 1.8; text-align: justify; margin-top: 12pt; margin- bottom: 0pt; padding-left: 150px;" dir="ltr"&gt; &lt;span style="font-size: 12pt; font-family: </w:t>
            </w:r>
            <w:r>
              <w:rPr>
                <w:spacing w:val="-3"/>
                <w:sz w:val="20"/>
              </w:rPr>
              <w:t>'Times </w:t>
            </w:r>
            <w:r>
              <w:rPr>
                <w:sz w:val="20"/>
              </w:rPr>
              <w:t>New Roman',serif; color: #000000; background-color: transparent; font-weight: 400; font- style: normal; font-variant: normal; text-decoration: none; vertical-align: baseline; white- space: pre-wrap;"&gt;</w:t>
              <w:tab/>
              <w:t>&lt;strong&gt;IV. Dispositivo&lt;/strong&gt; &lt;/span&gt;</w:t>
            </w:r>
          </w:p>
          <w:p>
            <w:pPr>
              <w:pStyle w:val="TableParagraph"/>
              <w:tabs>
                <w:tab w:pos="2682" w:val="left" w:leader="none"/>
                <w:tab w:pos="3805" w:val="left" w:leader="none"/>
                <w:tab w:pos="6251" w:val="left" w:leader="none"/>
                <w:tab w:pos="6307" w:val="left" w:leader="none"/>
                <w:tab w:pos="6592" w:val="left" w:leader="none"/>
              </w:tabs>
              <w:spacing w:line="208" w:lineRule="auto" w:before="0"/>
              <w:ind w:right="81"/>
              <w:rPr>
                <w:sz w:val="20"/>
              </w:rPr>
            </w:pPr>
            <w:r>
              <w:rPr>
                <w:sz w:val="20"/>
              </w:rPr>
              <w:t>&lt;strong&gt;&amp;#160;&lt;/strong&gt;&lt;/p&gt;&lt;p style="line-height: 1.8; text-align: justify; margin-top: </w:t>
            </w:r>
            <w:r>
              <w:rPr>
                <w:spacing w:val="-4"/>
                <w:sz w:val="20"/>
              </w:rPr>
              <w:t>12pt; </w:t>
            </w:r>
            <w:r>
              <w:rPr>
                <w:sz w:val="20"/>
              </w:rPr>
              <w:t>margin-bottom: 0pt; padding-left: 150px;" dir="ltr"&gt; &lt;strong&gt; &lt;span style="font-size: 12pt; font-family: 'Times New Roman',serif; color: #000000; background-color: transparent; font- weight: 400; font-style: normal; font-variant: normal; text-decoration: none; vertical-align: baseline; white-space: pre-wrap;"&gt;5. Não demonstrada a probabilidade do direito do recorrente, a decisão&lt;/span&gt; &lt;span style="font-size: 12pt; font-family: 'Times New Roman',serif; color: #000000; background-color: transparent; font-weight: 400; font-style: italic; font-variant: normal; text-decoration: none; vertical-align: baseline; white-space: pre- wrap;"&gt;a quo&lt;/span&gt; &lt;span style="font-size: 12pt; font-family: 'Times New Roman',serif; color: #000000; background-color: transparent; font-weight: 400; font-style: normal; font- variant: normal; text-decoration: none; vertical-align: baseline; white-space: pre- wrap;"&gt;merece ser confirmada consoante parecer do Fiscal da Ordem Jurídica. Recurso conhecido e não provido.&lt;/span&gt;&lt;/strong&gt;&lt;/p&gt;&lt;p style="line-height: 1.8; text-align: justify; margin-top: 12pt; margin-bottom: 0pt; padding-left: 150px;" dir="ltr"&gt; &lt;span style="font- size: medium; font-family: &amp;quot;times new roman&amp;quot;, times;"&gt;ACÓRDÃO:&amp;#160;&lt;/span&gt; &lt;span style="background-color: transparent; font- family: &amp;quot;Times New Roman&amp;quot;, serif; font-size: 12pt; white-space-collapse: preserve;"&gt;Vistos, relatados e discutidos estes autos, acorda a Quinta Câmara Direito Privado do Tribunal de Justiça do Estado do Ceará, por unanimidade, em CONHECER do Agravo de Instrumento para NEGAR-LHE provimento, nos termos do voto do Desembargador Relator.&lt;/span&gt;&lt;/p&gt;&lt;p style="line-height: 115%; margin-bottom: 0.21cm; padding-left: 150px;" align="justify"&gt;  &lt;span style="font-size: medium;"&gt;</w:t>
              <w:tab/>
              <w:t>&lt;span style="font-family: &amp;quot;times new roman&amp;quot;, times;"&gt;F&lt;/span&gt;</w:t>
              <w:tab/>
              <w:t>&lt;span style="font- family: &amp;quot;times new roman&amp;quot;, times;"&gt;ortaleza, data registrada no sistema.&lt;/span&gt; &lt;/span&gt; &lt;span style="font-family: &amp;quot;times new roman&amp;quot;, times; font-size: medium; text-align: start;"&gt;&amp;#160;&lt;/span&gt;&lt;/p&gt;&lt;p&gt;&amp;#160;&lt;/p&gt;&lt;p style="line- height: 100%; orphans: 0; widows: 0; margin-bottom: 0.21cm;" align="center"&gt; &lt;span style="font-size: medium;"&gt;</w:t>
              <w:tab/>
              <w:t>&lt;strong&gt;</w:t>
              <w:tab/>
              <w:t>&lt;span style="font-family: &amp;quot;times new roman&amp;quot;, times;"&gt;MARIA REGINA OLIVEIRA CÂMARA&lt;/span&gt;</w:t>
              <w:tab/>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times;"&gt;Desembargadora Presidente do Órgão Julgador&lt;/span&gt;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4754"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w:t>
            </w:r>
            <w:r>
              <w:rPr>
                <w:spacing w:val="-18"/>
                <w:sz w:val="20"/>
              </w:rPr>
              <w:t> </w:t>
            </w:r>
            <w:r>
              <w:rPr>
                <w:sz w:val="20"/>
              </w:rPr>
              <w:t>&amp;quot;times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94" w:val="left" w:leader="none"/>
                <w:tab w:pos="1839" w:val="left" w:leader="none"/>
                <w:tab w:pos="2682" w:val="left" w:leader="none"/>
                <w:tab w:pos="3773" w:val="left" w:leader="none"/>
                <w:tab w:pos="3954" w:val="left" w:leader="none"/>
                <w:tab w:pos="5077" w:val="left" w:leader="none"/>
              </w:tabs>
              <w:spacing w:line="208" w:lineRule="auto" w:before="26"/>
              <w:ind w:right="48"/>
              <w:rPr>
                <w:sz w:val="20"/>
              </w:rPr>
            </w:pPr>
            <w:r>
              <w:rPr>
                <w:sz w:val="20"/>
              </w:rPr>
              <w:t>new roman&amp;quot;, times;"&gt;Desembargador Relator&lt;/span&gt; &lt;/span&gt;&lt;/p&gt;&lt;p style="line- height: 100%; orphans: 0; widows: 0; margin-bottom: 0.21cm;" align="center"&gt; &lt;span style="font-size: medium;"&gt;</w:t>
              <w:tab/>
              <w:t>&lt;span style="font-family: &amp;quot;times new roman&amp;quot;, times;"&gt;</w:t>
              <w:tab/>
              <w:t>&lt;br /&gt;</w:t>
              <w:tab/>
              <w:t>&lt;/span&gt; &lt;/span&gt;&lt;/p&gt;&lt;p align="center"&gt; &lt;span style="font-family: &amp;quot;times new roman&amp;quot;, times;"&gt;</w:t>
              <w:tab/>
              <w:t>&lt;br /&gt;  &lt;/span&gt;&lt;/p&gt;&lt;p style="text-align: center;"&gt;  &lt;span style="font-size: small;"&gt;</w:t>
              <w:tab/>
              <w:tab/>
              <w:t>&lt;strong&gt;</w:t>
              <w:tab/>
              <w:t>&lt;span style="font-size:</w:t>
            </w:r>
            <w:r>
              <w:rPr>
                <w:spacing w:val="-15"/>
                <w:sz w:val="20"/>
              </w:rPr>
              <w:t> </w:t>
            </w:r>
            <w:r>
              <w:rPr>
                <w:sz w:val="20"/>
              </w:rPr>
              <w:t>medium;"&gt;</w:t>
            </w:r>
          </w:p>
          <w:p>
            <w:pPr>
              <w:pStyle w:val="TableParagraph"/>
              <w:spacing w:line="190" w:lineRule="exact" w:before="0"/>
              <w:rPr>
                <w:sz w:val="20"/>
              </w:rPr>
            </w:pPr>
            <w:r>
              <w:rPr>
                <w:sz w:val="20"/>
              </w:rPr>
              <w:t>&lt;span style="font-family: &amp;quot;times new roman&amp;quot;, times;"&gt;RELATÓRIO&lt;/span&gt;</w:t>
            </w:r>
          </w:p>
          <w:p>
            <w:pPr>
              <w:pStyle w:val="TableParagraph"/>
              <w:tabs>
                <w:tab w:pos="985" w:val="left" w:leader="none"/>
              </w:tabs>
              <w:spacing w:line="208" w:lineRule="auto" w:before="10"/>
              <w:ind w:right="42"/>
              <w:rPr>
                <w:sz w:val="20"/>
              </w:rPr>
            </w:pPr>
            <w:r>
              <w:rPr>
                <w:sz w:val="20"/>
              </w:rPr>
              <w:t>&lt;/span&gt;</w:t>
              <w:tab/>
              <w:t>&lt;/strong&gt; &lt;/span&gt;&lt;/p&gt;&lt;p style="line-height: 1.7999999999999998; text-indent: 70.86614173228347pt;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pre-wrap;"&gt;Trata-se de&lt;/span&gt;</w:t>
            </w:r>
          </w:p>
          <w:p>
            <w:pPr>
              <w:pStyle w:val="TableParagraph"/>
              <w:spacing w:line="208" w:lineRule="auto" w:before="0"/>
              <w:ind w:right="31"/>
              <w:rPr>
                <w:sz w:val="20"/>
              </w:rPr>
            </w:pPr>
            <w:r>
              <w:rPr>
                <w:sz w:val="20"/>
              </w:rPr>
              <w:t>&lt;span style="font-size: 12pt; font-family: &amp;quot;Times New Roman&amp;quot;, serif; color: #000000; background-color: transparent; font-style: normal; font-variant: normal; text- decoration: none; vertical-align: baseline; white-space: pre-wrap;"&gt; &lt;strong&gt;Agravo de Instrumento&lt;/strong&gt;&lt;/span&gt; &lt;span style="font-size: 12pt; font-family: 'Times New Roman',serif; color: #000000; background-color: transparent; font-weight: 400; font-style: normal; font-variant: normal; text-decoration: none; vertical-align: baseline; white-space: pre-wrap;"&gt;interposto por&lt;/span&gt; &lt;span style="font-size: 12pt; font-family: &amp;quot;Times New Roman&amp;quot;, serif; color: #000000; background-color: transparent; font-style: normal; font-variant: normal; text-decoration: none; vertical-align: baseline; white-space: pre- wrap;"&gt; &lt;strong&gt;Luis Bernardo dos Santos Silva&lt;/strong&gt;&lt;/span&gt;&lt;span style="font-size: 12pt; font-family: 'Times New Roman',serif; color: #000000; background-color: transparent; font-weight: 400; font-style: normal; font-variant: normal; text-decoration: none; vertical- align: baseline; white-space: pre-wrap;"&gt;, criança representada por sua mãe,&lt;/span&gt;</w:t>
            </w:r>
          </w:p>
          <w:p>
            <w:pPr>
              <w:pStyle w:val="TableParagraph"/>
              <w:spacing w:line="208" w:lineRule="auto" w:before="0"/>
              <w:ind w:right="30"/>
              <w:rPr>
                <w:sz w:val="20"/>
              </w:rPr>
            </w:pPr>
            <w:r>
              <w:rPr>
                <w:sz w:val="20"/>
              </w:rPr>
              <w:t>&lt;span style="font-size: 12pt; font-family: &amp;quot;Times New Roman&amp;quot;, serif; color: #000000; background-color: transparent; font-style: normal; font-variant: normal; text- decoration: none; vertical-align: baseline; white-space: pre-wrap;"&gt; &lt;strong&gt;Marília Edna dos Santos Silva&lt;/strong&gt;&lt;/span&gt;&lt;span style="font-size: 12pt; font-family: 'Times New Roman',serif; color: #000000; background-color: transparent; font-weight: 400; font-style: normal; font-variant: normal; text-decoration: none; vertical-align: baseline; white-space: pre-wrap;"&gt;, com o fim de reformar decisão interlocutória prolatada pelo douto J&lt;/span&gt;&lt;span style="font-size: 12pt; font-family: &amp;quot;Times New Roman&amp;quot;, serif; color: #000000; background-color: transparent; font-style: normal; font-variant: normal; </w:t>
            </w:r>
            <w:r>
              <w:rPr>
                <w:spacing w:val="-4"/>
                <w:sz w:val="20"/>
              </w:rPr>
              <w:t>text- </w:t>
            </w:r>
            <w:r>
              <w:rPr>
                <w:sz w:val="20"/>
              </w:rPr>
              <w:t>decoration: none; vertical-align: baseline; white-space: pre-wrap;"&gt; &lt;strong&gt;uiz de Direito da Vara Única da Comarca de Mauriti,&lt;/strong&gt;&lt;/span&gt; &lt;span style="font-size: 12pt; font- family: 'Times New Roman',serif; color: #000000; background-color: transparent; font- weight: 400; font-style: normal; font-variant: normal; text-decoration: none; vertical-align: baseline; white-space: pre-wrap;"&gt;que&lt;/span&gt;&lt;span style="font-size: 12pt; font-family: &amp;quot;Times New Roman&amp;quot;, serif; color: #000000; background-color: transparent; font- style: normal; font-variant: normal; text-decoration: none; vertical-align: baseline; white- space: pre-wrap;"&gt; &lt;strong&gt;indeferiu o seu pedido de liminar&lt;/strong&gt;&lt;/span&gt;&lt;span style="font-size: 12pt; font-family: 'Times New Roman',serif; color: #000000; background- color: transparent; font-weight: 400; font-style: normal; font-variant: normal; text-decoration: none; vertical-align: baseline; white-space: pre-wrap;"&gt;, em&lt;/span&gt; &lt;span style="font-size: 12pt; font-family: &amp;quot;Times New Roman&amp;quot;, serif; color: #000000; background-color: transparent; font-style: normal; font-variant: normal; text-decoration: none; vertical-align: baseline; white-space: pre-wrap;"&gt; &lt;strong&gt;Ação de Obrigação de Fazer c/c Indenização&lt;/strong&gt;&lt;/span&gt;&lt;span style="font-size: 12pt; font-family: 'Times New Roman',serif; color: #000000; background-color: transparent; font-weight: 400; font-style: normal; font-variant: normal; text-decoration: none; vertical-align: baseline; white-space: pre-wrap;"&gt;, manejada em face da&lt;/span&gt;&lt;span style="font-size: 12pt; font-family: &amp;quot;Times New Roman&amp;quot;, serif; color: #000000; background-color: transparent; font- style: normal; font-variant: normal; text-decoration: none; vertical-align: baseline; white- space: pre-wrap;"&gt;  &lt;strong&gt;Unimed Cariri – Sociedade Cooperativa Médica Ltda (autos n° 3000476-93.2025.8.06.0122).&lt;/strong&gt;&lt;/span&gt;&lt;/p&gt;&lt;p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pre-wrap;"&gt;O agravante narra ter nascido em 08 de março de 2021, sendo diagnosticado com Transtorno do Espectro Autista – TEA, CID10 F84, nível 3 de suporte, com severo comprometimento de linguagem e socialização, conforme relatório médico da neurologista Dra. Nathália Sampaio. Diante da gravidade do diagnóstico, foram prescritas múltiplas terapias essenciais e interdependentes, incluindo Psicologia, Fonoaudiologia, Terapia Ocupacional, Psicomotricidade, Fisioterapia, Musicoterapia e Psicopedagogia. Acontece que embora inicialmente, parte das terapias tenha sido autorizada pela operadora de saúde (Unimed Cariri), estas eram prestadas em clínica localizada na Cidade de Mauriti/CE, Município de residência do menor. Todavia, após decisão liminar em outro processo que afastou a cobrança de coparticipação, a operadora unilateralmente</w:t>
            </w:r>
            <w:r>
              <w:rPr>
                <w:spacing w:val="-18"/>
                <w:sz w:val="20"/>
              </w:rPr>
              <w:t> </w:t>
            </w:r>
            <w:r>
              <w:rPr>
                <w:sz w:val="20"/>
              </w:rPr>
              <w:t>transferiu</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39" w:val="left" w:leader="none"/>
              </w:tabs>
              <w:spacing w:line="208" w:lineRule="auto" w:before="26"/>
              <w:ind w:right="20"/>
              <w:rPr>
                <w:sz w:val="20"/>
              </w:rPr>
            </w:pPr>
            <w:r>
              <w:rPr>
                <w:sz w:val="20"/>
              </w:rPr>
              <w:t>os atendimentos para o Município de Brejo Santo/CE, distante 45 km da residência da criança, dificultando o tratamento e comprometendo a adesão terapêutica. Alega que a jurisprudência consolidada dos tribunais pátrios reconhece a obrigatoriedade dos planos de saúde em custear tratamentos indicados por profissionais habilitados, não podendo limitar ou restringir a indicação médica.&lt;/span&gt;&lt;/p&gt;&lt;p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pre-wrap;"&gt;Argumenta que a própria prescrição médica indica a impossibilidade de deslocamento do menor até a clínica indicada pelo plano de saúde, situada a 45 km de sua residência, em razão de suas alterações sensoriais severas, resistência ao toque, ruídos, mudanças de ambiente, entre outros fatores. não se trata de uma mera conveniência, mas de uma barreira clínica e funcional real, que impede, de modo concreto, o acesso ao tratamento.&lt;/span&gt;&lt;/p&gt;&lt;p style="line-height: 1.7999999999999998; text- 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pre-wrap;"&gt;Finalizando, diz que diante desse contexto, mostra-se absolutamente necessária a concessão da tutela de urgência recursal, com atribuição de efeito ativo ao presente agravo de instrumento, para compelir a empresa agravada a fornecer, de forma domiciliar e integral, todas as terapias prescritas, sob pena de grave e irreversível dano à saúde do autor. Requer que seja atribuído efeito ativo ao presente agravo de instrumento, compelindo-se o plano de saúde ora agravado a fornecer imediatamente ao menor todos os tratamentos terapêuticos prescritos por profissional habilitado, quais sejam: Psicologia ABA (3x/semana), Fonoaudiologia (2x/semana), Terapia Ocupacional (2x/semana), Psicomotricidade (1x/semana), Fisioterapia motora (2x/semana), Musicoterapia (1x/semana) e Psicopedagogia (1x/semana), no domicílio do autor, em razão da comprovada impossibilidade de deslocamento do menor.&lt;/span&gt;&lt;/p&gt;&lt;p style="line-height: 1.7999999999999998; text-indent: 70.86614173228347pt; text-align: justify; margin-top: 12pt; margin-bottom: 12pt;" dir="ltr"&gt;&lt;span style="font-size: 12pt; font-family: &amp;quot;Times New Roman&amp;quot;, serif; color: #000000; background-color: transparent; font-style: normal; font-variant: normal; text-decoration: none; vertical-align: baseline; white-space: pre- wrap;"&gt; &lt;strong&gt;Por sua vez, a agravada apresentou contraminuta ao agravo de instrumento (ID 22856987).&lt;/strong&gt;&lt;/span&gt;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pre-wrap;"&gt;Afirma na oportunidade que as disposições legais que regulamentam a atividade de saúde suplementar no país estabelecem com clareza que as Operadoras de Saúde podem ofertar atendimento na rede credenciada dentro da área de abrangência do contrato (sendo os Municípios limítrofes ao da Recorrente compreendidos nesta), o que é o caso, já que o tratamento está sendo garantido em Brejo Santo/CE, cidade limítrofe à Mauriti/CE. Requer o desprovimento do recurso.&lt;/span&gt;&lt;/p&gt;&lt;p style="line-height: 1.7999999999999998; text-indent: 70.86614173228347pt; text-align: justify; margin-top: 12pt; margin-bottom: 12pt;" dir="ltr"&gt; &lt;span style="font-size: 12pt; font-family: &amp;quot;Times New Roman&amp;quot;, serif; color: #000000; background-color: transparent; font-style: normal; font-variant: normal; text-decoration: none; vertical-align: baseline; white-space: pre- wrap;"&gt;</w:t>
              <w:tab/>
              <w:t>&lt;strong&gt;Indeferido o pedido de tutela antecipada recursal (decisão de id 26777923).&lt;/strong&gt; &lt;/span&gt;&lt;/p&gt;&lt;p style="line-height: 1.7999999999999998; text-indent: 70.86614173228347pt; text-align: justify; margin-top: 12pt; margin-bottom: 12pt;" dir="ltr"&gt;</w:t>
            </w:r>
          </w:p>
          <w:p>
            <w:pPr>
              <w:pStyle w:val="TableParagraph"/>
              <w:spacing w:line="208" w:lineRule="auto" w:before="0"/>
              <w:ind w:right="93"/>
              <w:rPr>
                <w:sz w:val="20"/>
              </w:rPr>
            </w:pPr>
            <w:r>
              <w:rPr>
                <w:sz w:val="20"/>
              </w:rPr>
              <w:t>&lt;span style="font-size: 12pt; font-family: 'Times New Roman',serif; color: #000000; background-color: transparent; font-weight: 400; font-style: normal; font-variant: normal; text-decoration: none; vertical-align: baseline; white-space: pre-wrap;"&gt;A digna Procuradoria Geral de Justiça opinou para que seja conhecido o Agravo de Instrumento requestado, e se negue provimento para o propósito de ser mantido o decisório atacado em todos os seus termos (parecer de id 28855045).&lt;/span&gt; &lt;span style="font-size: </w:t>
            </w:r>
            <w:r>
              <w:rPr>
                <w:spacing w:val="-3"/>
                <w:sz w:val="20"/>
              </w:rPr>
              <w:t>small; </w:t>
            </w:r>
            <w:r>
              <w:rPr>
                <w:sz w:val="20"/>
              </w:rPr>
              <w:t>text-align: center;"&gt;&amp;#160;&lt;/span&gt;&lt;/p&gt;&lt;p style="line-height: 1.7999999999999998; text- 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text-indent: 70.86614173228347pt; text-align: justify; margin-top: 12pt; margin-bottom: 12pt;" dir="ltr"&gt;</w:t>
            </w:r>
          </w:p>
          <w:p>
            <w:pPr>
              <w:pStyle w:val="TableParagraph"/>
              <w:tabs>
                <w:tab w:pos="4756" w:val="left" w:leader="none"/>
              </w:tabs>
              <w:spacing w:line="190" w:lineRule="exact" w:before="0"/>
              <w:rPr>
                <w:sz w:val="20"/>
              </w:rPr>
            </w:pPr>
            <w:r>
              <w:rPr>
                <w:sz w:val="20"/>
              </w:rPr>
              <w:t>&lt;strong style="font-size: small; text-align: center;"&gt;</w:t>
              <w:tab/>
              <w:t>&lt;span style="font-size: medium;"&gt;</w:t>
            </w:r>
          </w:p>
          <w:p>
            <w:pPr>
              <w:pStyle w:val="TableParagraph"/>
              <w:tabs>
                <w:tab w:pos="6322" w:val="left" w:leader="none"/>
              </w:tabs>
              <w:spacing w:line="208" w:lineRule="auto" w:before="6"/>
              <w:ind w:right="350"/>
              <w:rPr>
                <w:sz w:val="20"/>
              </w:rPr>
            </w:pPr>
            <w:r>
              <w:rPr>
                <w:sz w:val="20"/>
              </w:rPr>
              <w:t>&lt;span style="font-family: &amp;quot;times new roman&amp;quot;, times;"&gt;&amp;#160; &amp;#160; </w:t>
            </w:r>
            <w:r>
              <w:rPr>
                <w:spacing w:val="-3"/>
                <w:sz w:val="20"/>
              </w:rPr>
              <w:t>&amp;#160; </w:t>
            </w:r>
            <w:r>
              <w:rPr>
                <w:sz w:val="20"/>
              </w:rPr>
              <w:t>&amp;#160; &amp;#160; &amp;#160; &amp;#160; &amp;#160; &amp;#160; &amp;#160; &amp;#160; &amp;#160; &amp;#160; &amp;#160; &amp;#160; &amp;#160; &amp;#160; &amp;#160; &amp;#160; &amp;#160; &amp;#160; &amp;#160; &amp;#160; &amp;#160; &amp;#160; &amp;#160; &amp;#160; &amp;#160; &amp;#160; &amp;#160; &amp;#160; &amp;#160;VOTO&lt;/span&gt;</w:t>
              <w:tab/>
              <w:t>&lt;/span&gt;</w:t>
            </w:r>
          </w:p>
          <w:p>
            <w:pPr>
              <w:pStyle w:val="TableParagraph"/>
              <w:spacing w:line="205" w:lineRule="exact" w:before="0"/>
              <w:rPr>
                <w:sz w:val="20"/>
              </w:rPr>
            </w:pPr>
            <w:r>
              <w:rPr>
                <w:sz w:val="20"/>
              </w:rPr>
              <w:t>&lt;/strong&gt;&lt;/p&gt;&lt;p style="line-height: 1.7999999999999998; text-indent: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70.86614173228347pt; text-align: justify; margin-top: 12pt; margin-bottom: 0pt;" dir="ltr"&gt;</w:t>
            </w:r>
          </w:p>
          <w:p>
            <w:pPr>
              <w:pStyle w:val="TableParagraph"/>
              <w:spacing w:line="208" w:lineRule="auto" w:before="9"/>
              <w:ind w:right="187"/>
              <w:rPr>
                <w:sz w:val="20"/>
              </w:rPr>
            </w:pPr>
            <w:r>
              <w:rPr>
                <w:sz w:val="20"/>
              </w:rPr>
              <w:t>&lt;span style="font-size: 12pt; font-family: 'Times New Roman',serif; color: #000000; background-color: transparent; font-weight: 400; font-style: normal; font-variant: normal; text-decoration: none; vertical-align: baseline; white-space: pre-wrap;"&gt;Conheço o </w:t>
            </w:r>
            <w:r>
              <w:rPr>
                <w:spacing w:val="-3"/>
                <w:sz w:val="20"/>
              </w:rPr>
              <w:t>agravo </w:t>
            </w:r>
            <w:r>
              <w:rPr>
                <w:sz w:val="20"/>
              </w:rPr>
              <w:t>de instrumento, por observar presentes os requisitos de admissibilidade intrínsecos e extrínsecos.&lt;/span&gt;&lt;/p&gt;&lt;p style="line-height: 1.7999999999999998; text-indent: 70.86614173228347pt; text-align: justify; margin-top: 12pt; margin-bottom: 0pt;" dir="ltr"&gt;</w:t>
            </w:r>
          </w:p>
          <w:p>
            <w:pPr>
              <w:pStyle w:val="TableParagraph"/>
              <w:spacing w:line="208" w:lineRule="auto" w:before="0"/>
              <w:ind w:right="208"/>
              <w:rPr>
                <w:sz w:val="20"/>
              </w:rPr>
            </w:pPr>
            <w:r>
              <w:rPr>
                <w:sz w:val="20"/>
              </w:rPr>
              <w:t>&lt;span style="font-size: 12pt; font-family: 'Times New Roman',serif; color: #000000; background-color: transparent; font-weight: 400; font-style: normal; font-variant: normal; text-decoration: none; vertical-align: baseline; white-space: pre-wrap;"&gt;Inicialmente, cumpre ressaltar que a análise do presente recurso encontra-se restrita à análise da presença ou não dos requisitos autorizadores para a concessão da tutela provisória de urgência, dispostos no art. 300 do Código de Processo Civil. Ademais, a concessão da tutela de urgência se insere no poder geral de cautela do magistrado, que a defere, ou não, segundo seu livre convencimento motivado. Portanto, a princípio caberia à instância revisora reformar a decisão somente nos casos de ilegalidade ou abuso de poder.&lt;/span&gt;&lt;/p&gt;&lt;p style="line-height: 1.7999999999999998; text-indent: 70.86614173228347pt; text-align: justify; margin-top: 12pt; margin-bottom: 0pt;"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pre-wrap;"&gt;A situação fática nos mostra que a criança, Luis Bernardo da Silva, representada por sua mãe, Marília Edna dos Santos Silva, beneficiária do plano de saúde promovido, foi diagnosticada com o Transtorno do Espectro Autista, CID 10 – F84 – nível 3 de suporte, com comprometimento de fala e social grave, nos termos do relatório médico elaborado pela neurologista Dra.</w:t>
            </w:r>
          </w:p>
          <w:p>
            <w:pPr>
              <w:pStyle w:val="TableParagraph"/>
              <w:spacing w:line="208" w:lineRule="auto" w:before="0"/>
              <w:ind w:right="1"/>
              <w:rPr>
                <w:sz w:val="20"/>
              </w:rPr>
            </w:pPr>
            <w:r>
              <w:rPr>
                <w:sz w:val="20"/>
              </w:rPr>
              <w:t>Nathalia Sampaio. Explica o autor na inicial que após muitas dificuldades, a parte ré concedeu parte das terapias a ele indicadas, e o direcionou à Clínica da Dra Aline Macedo, CRF 9634, na área de Fonoterapia/fonoaudiologia, localizada na Avenida Sinval Lacerda, 23, Centro, Mauriti-CE, município de residência do menor, onde as estava realizando regularmente. Informa que comparecia a todas as sessões, sendo porém os atendimentos cancelados pela Unimed Cariri, inúmeras vezes. Meses após, mais precisamente, após a concessão de medida liminar concedendo a exclusão de cobrança de coparticipação no que tange às terapias realizadas pelo menor, sua genitora fora surpreendida com notificação, transferindo a criança para realizar seu tratamento terapêutico, na área de fonoaudiologia, psicologia e terapia ocupacional, no município de Brejo Santo, município este, 45 km distante da residência do menor, sendo certo que a terapia ocupacional tem sido realizada naquela urbe, desde o início da prescrição, face a ausência de profissional especialista em Terapia Ocupacional credenciado à Unimed na localidade de residência do menor. Diante dessa situação, requer que sejam tanto as terapias prescritas ao autor, quanto as que eventualmente venham a ser fornecidas ao mesmo pela operadora requerida, em clínica próxima ao seu domicílio, e de acordo com a carga horária prescrita, seja em clínica credenciada à mesma ou seja em especialista particular, sob as expensas da ré, sob pena de causar prejuízo inestimável à saúde e ao desenvolvimento da criança.&lt;/span&gt;&lt;/p&gt;&lt;p style="line-height: 1.7999999999999998; text-indent: 70.86614173228347pt; text-align: justify; margin-top: 12pt; margin-bottom: 0pt;" dir="ltr"&gt;</w:t>
            </w:r>
          </w:p>
          <w:p>
            <w:pPr>
              <w:pStyle w:val="TableParagraph"/>
              <w:tabs>
                <w:tab w:pos="5119" w:val="left" w:leader="none"/>
              </w:tabs>
              <w:spacing w:line="208" w:lineRule="auto" w:before="0"/>
              <w:ind w:right="19"/>
              <w:rPr>
                <w:sz w:val="20"/>
              </w:rPr>
            </w:pPr>
            <w:r>
              <w:rPr>
                <w:sz w:val="20"/>
              </w:rPr>
              <w:t>&lt;span style="font-size: 12pt; font-family: 'Times New Roman',serif; color: #000000; background-color: transparent; font-weight: 400; font-style: normal; font-variant: normal; text-decoration: none; vertical-align: baseline; white-space: pre-wrap;"&gt;Argumenta ser imperiosa a necessidade do precoce tratamento do autismo, sob pena de fechamento das janelas de neuroplasticidade, a obrigatoriedade do plano de oferecer o tratamento dentro do domicílio do requerente, a intransponível barreira da distância imposta pela requerida o que impede ao autor realizar o tratamento, e as nefastas consequências que podem advir face a desobediência à prescrição médica.&lt;/span&gt;&lt;/p&gt;&lt;p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pre-wrap;"&gt;Como relatado, o JMagistrado da Vara Única da Comarca de Mauriti indeferiu o pedido de tutela de urgência requerido pelo recorrente. Consignou que: "&lt;/span&gt; &lt;span style="font-size: 12pt; font-family: 'Times New Roman',serif; color: #000000; background- color: transparent; font-weight: 400; font-style: normal; font-variant: normal; text-decoration: none; vertical-align: baseline; white-space: pre-wrap;"&gt;</w:t>
              <w:tab/>
              <w:t>&lt;em&gt;Com efeito, a documentação acostada aos autos revela que a ré disponibilizou rede credenciada para atendimento do autor no município de Brejo Santo/CE, o qual é limítrofe ao de Mauriti/CE </w:t>
            </w:r>
            <w:r>
              <w:rPr>
                <w:spacing w:val="-18"/>
                <w:sz w:val="20"/>
              </w:rPr>
              <w:t>e </w:t>
            </w:r>
            <w:r>
              <w:rPr>
                <w:sz w:val="20"/>
              </w:rPr>
              <w:t>integra a mesma região de saúde prevista no contrato. A própria parte autora reconhece, na petição inicial, que algumas das terapias já eram regularmente realizadas nesse município, inclusive com frequência. Diante disso, não se mostra razoável impor à requerida a obrigação de custear o tratamento em Mauriti com profissionais não credenciados, sobretudo quando não há demonstração de que tais profissionais estejam disponíveis na localidade e que o deslocamento comprometa de forma concreta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
              <w:rPr>
                <w:sz w:val="20"/>
              </w:rPr>
            </w:pPr>
            <w:r>
              <w:rPr>
                <w:sz w:val="20"/>
              </w:rPr>
              <w:t>continuidade ou a qualidade do tratamento. Conforme delineado pela Ministra Nancy Andrighi no julgamento do REsp n. 2.112.090/SP, o agrupamento de município se justifica, pois,“num país de proporção continental como o Brasil, não há como exigir que as operadoras de planos de saúde mantenham, em cada um dos mais de 5.500 municípios brasileiros, todas as coberturas de assistência à saúde contratadas por seus beneficiários.” Ademais, em situações semelhantes, a jurisprudência do Tribunal de Justiça do Estado do Ceará não vem reconhecendo a obrigação do plano de saúde de custear o tratamento por profissionais não credenciados do Município em que reside o paciente (…)"&lt;/em&gt;</w:t>
            </w:r>
          </w:p>
          <w:p>
            <w:pPr>
              <w:pStyle w:val="TableParagraph"/>
              <w:spacing w:line="208" w:lineRule="auto" w:before="0"/>
              <w:ind w:right="42"/>
              <w:rPr>
                <w:sz w:val="20"/>
              </w:rPr>
            </w:pPr>
            <w:r>
              <w:rPr>
                <w:sz w:val="20"/>
              </w:rPr>
              <w:t>&lt;/span&gt; &lt;span style="font-size: 12pt; font-family: 'Times New Roman',serif; color: #000000; background-color: transparent; font-weight: 400; font-style: normal; font-variant: normal; text-decoration: none; vertical-align: baseline; white-space: pre- wrap;"&gt;.&lt;/span&gt;&lt;/p&gt;&lt;p style="line-height: 1.7999999999999998; text-indent: 70.86614173228347pt; text-align: justify; margin-top: 12pt; margin-bottom: 0pt;"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pre-wrap;"&gt;A parte autora irresignou-se contra o r.&lt;/span&gt; &lt;span style="font-size: 12pt; font-family: 'Times New Roman',serif; color: #000000; background-color: transparent; font-weight: 400; font-style: normal; font-variant: normal; text-decoration: none; vertical-align: baseline; white-space: pre-wrap;"&gt; &lt;em&gt;decisum&lt;/em&gt;&lt;/span&gt;&lt;span style="font-size: 12pt; font-family: 'Times New Roman',serif; color: #000000; background-color: transparent; font-weight: 400; font- style: normal; font-variant: normal; text-decoration: none; vertical-align: baseline; white- space: pre-wrap;"&gt;, dando origem ao presente recurso.&lt;/span&gt;&lt;/p&gt;&lt;p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 pre-wrap;"&gt;O caso em apreço versa sobre contrato de plano de saúde, sendo-lhe aplicável o Código de Defesa do Consumidor, como bem dispõe a súmula 608 do Superior Tribunal de Justiça:&lt;/span&gt;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18"/>
              <w:rPr>
                <w:sz w:val="20"/>
              </w:rPr>
            </w:pPr>
            <w:r>
              <w:rPr>
                <w:sz w:val="20"/>
              </w:rPr>
              <w:t>&lt;em&gt;"aplica-se o Código de Defesa do Consumidor aos contratos de plano de saúde, salvo os administrados por entidades de autogestão."&lt;/em&gt;&lt;/span&gt;&lt;/p&gt;&lt;p style="line- height: 1.7999999999999998; text-indent: 70.86614173228347pt; text-align: justify; </w:t>
            </w:r>
            <w:r>
              <w:rPr>
                <w:spacing w:val="-3"/>
                <w:sz w:val="20"/>
              </w:rPr>
              <w:t>margin- </w:t>
            </w:r>
            <w:r>
              <w:rPr>
                <w:sz w:val="20"/>
              </w:rPr>
              <w:t>top: 12pt; margin-bottom: 0pt;" dir="ltr"&gt; &lt;span style="font-size: 12pt; font-family: 'Times New Roman',serif; color: #000000; background-color: transparent; font-weight: 400; font- style: normal; font-variant: normal; text-decoration: none; vertical-align: baseline; white- space: pre-wrap;"&gt;No entanto, além disso, os contratos de planos de saúde são regidos por legislação especial (Lei nº 9.656/98) e pelas Resoluções Normativas (RN) da Agência Nacional de Saúde Suplementar (ANS). Por sua vez, a Resolução Normativa ANS nº 566/2022 estabelece as regras para a garantia de atendimento. O Artigo 4º, inciso II, da RN 566/2022, autoriza expressamente que, na hipótese de indisponibilidade de prestador no município da demanda, a operadora garanta o atendimento em prestador integrante ou não da rede assistencial nos municípios limítrofes a este.&lt;/span&gt;&lt;/p&gt;&lt;p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pre-wrap;"&gt;Acrescenta-se que a jurisprudência deste Egrégio Tribunal de Justiça do Ceará tem se orientado no sentido de que a disponibilização de tratamento em município limítrofe, que integre a área de abrangência do produto contratado, constitui cumprimento do dever contratual de cobertura.&lt;/span&gt;&lt;/p&gt;&lt;p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 wrap;"&gt;&amp;#160;&lt;/span&gt; &lt;span style="background-color: transparent; font-family: &amp;quot;Times New Roman&amp;quot;, serif; font-size: 12pt; white-space-collapse: preserve; text- indent: 70.8661pt;"&gt;Desta forma, tem-se que em casos envolvendo a mesma operadora e municípios próximos, a dificuldade financeira ou logística de deslocamento por parte do beneficiário não constitui, por si só, motivo suficiente para obrigar a operadora a custear o tratamento no local de residência.&lt;/span&gt;&lt;/p&gt;&lt;p style="line-height: 1.7999999999999998; text-indent: 70.86614173228347pt; text-align: justify; margin-top: 12pt; margin-bottom: 0pt;" dir="ltr"&gt; &lt;span style="background-color: transparent; font-family: &amp;quot;Times New Roman&amp;quot;, serif; font-size: 12pt; white-space-collapse: preserve; text-indent: 70.8661pt;"&gt;Em parecer meritório, no mesmo sentido posicionou-se a Procuradoria de Justiça:&lt;/span&gt;&lt;/p&gt;&lt;p style="line-height: 1.7999999999999998; text-indent: 70.86614173228347pt; text-align: justify; margin-top: 12pt; margin-bottom: 0pt;" dir="ltr"&gt;</w:t>
            </w:r>
          </w:p>
          <w:p>
            <w:pPr>
              <w:pStyle w:val="TableParagraph"/>
              <w:spacing w:line="203" w:lineRule="exact" w:before="0"/>
              <w:rPr>
                <w:sz w:val="20"/>
              </w:rPr>
            </w:pPr>
            <w:r>
              <w:rPr>
                <w:sz w:val="20"/>
              </w:rPr>
              <w:t>&lt;span style="background-color: transparent; font-family: &amp;quot;Times New Roman&amp;quot;,</w:t>
            </w:r>
          </w:p>
        </w:tc>
      </w:tr>
    </w:tbl>
    <w:p>
      <w:pPr>
        <w:spacing w:after="0" w:line="203"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0"/>
              <w:rPr>
                <w:sz w:val="20"/>
              </w:rPr>
            </w:pPr>
            <w:r>
              <w:rPr>
                <w:sz w:val="20"/>
              </w:rPr>
              <w:t>serif; font-size: 12pt; white-space-collapse: preserve; text-indent: 70.8661pt;"&gt;" &lt;em&gt;(…) Consoante infere-se das informações contidas no caderno processual, restam claramente e confirmado pelo próprio agravante que o tratamento multidisciplinar prescrito está sendo disponibilizado no Município de Brejo Santo. Sabe que a Resolução da ANS 259/2011 prevê, que o tratamento fora da rede credenciada deve ocorrer quando não houve prestador disponível na área de abrangência do plano ou quando o serviço se mostrar totalmente ineficaz, assim como não for disponibilizado conforme a prescrição médica.</w:t>
            </w:r>
          </w:p>
          <w:p>
            <w:pPr>
              <w:pStyle w:val="TableParagraph"/>
              <w:spacing w:line="208" w:lineRule="auto" w:before="0"/>
              <w:ind w:right="89"/>
              <w:rPr>
                <w:sz w:val="20"/>
              </w:rPr>
            </w:pPr>
            <w:r>
              <w:rPr>
                <w:sz w:val="20"/>
              </w:rPr>
              <w:t>Outrossim, a Resolução nº 566/2022 autoriza expressamente que o atendimento pode ser realizado em municípios limítrofes, não sendo obrigação da agravada o fornecimento em município de residência do agravante, bastando que tenha localização próxima e que faça parte de sua abrangência. No caso dos autos, não houve recusa da operadora de saúde, uma vez que ela está disponibilizando o tratamento conforme a prescrição médica.</w:t>
            </w:r>
          </w:p>
          <w:p>
            <w:pPr>
              <w:pStyle w:val="TableParagraph"/>
              <w:spacing w:line="208" w:lineRule="auto" w:before="0"/>
              <w:ind w:right="20"/>
              <w:rPr>
                <w:sz w:val="20"/>
              </w:rPr>
            </w:pPr>
            <w:r>
              <w:rPr>
                <w:sz w:val="20"/>
              </w:rPr>
              <w:t>Ressaltando-se, ainda, que ao disponibilizar o tratamento no Município de Brejo Santo, a operadora de saúde está agindo em conformidade com o que dispõe a regulamentação da ANS, cumprindo seu dever contratual e normativo de cobertura. Embora seja compreensível a dificuldade relatada pela parte agravante, especialmente em razão da condição clínica do menor, o fato é que não se verifica negativa de cobertura por parte do plano de saúde, mas sim a disponibilidade do atendimento em conformidade com a legislação aplicável. Portanto, não se mostram presentes os requisitos para o deferimento da tutela recursal pleiteada, haja vista que a transferência do tratamento para município limítrofe encontra respaldo legal e não implica descumprimento contratual ou negativa do tratamento do agravante (…)".&lt;/em&gt;&lt;/span&gt;&lt;/p&gt;&lt;p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pre-wrap;"&gt;Por oportuno, colaciono os seguintes precedentes:&lt;/span&gt;&lt;/p&gt;&lt;p style="line- height: 1.7999999999999998; margin-left: 113.38582677165354pt; text-align: justify; margin-top: 12pt; margin-bottom: 0pt;" dir="ltr"&gt; &lt;span style="font-size: 12pt; font-family: 'Times New Roman',serif; color: #000000; background-color: transparent; font-weight: 400; font-style: normal; font-variant: normal; text-decoration: none; vertical-align: baseline; white- space: pre-wrap;"&gt;DIREITO DO CONSUMIDOR E PROCESSUAL CIVIL. AGRAVO DE INSTRUMENTO. PLANO DE SAÚDE. FORNECIMENTO DE TRATAMENTO NO MUNICÍPIO DE RESIDÊNCIA DO BENEFICIÁRIO. POSSIBILIDADE DE ATENDIMENTO EM MUNICÍPIO LIMÍTROFE. INEXISTÊNCIA DE NEGATIVA DE COBERTURA.</w:t>
            </w:r>
          </w:p>
          <w:p>
            <w:pPr>
              <w:pStyle w:val="TableParagraph"/>
              <w:tabs>
                <w:tab w:pos="1939" w:val="left" w:leader="none"/>
              </w:tabs>
              <w:spacing w:line="208" w:lineRule="auto" w:before="0"/>
              <w:ind w:right="53"/>
              <w:rPr>
                <w:sz w:val="20"/>
              </w:rPr>
            </w:pPr>
            <w:r>
              <w:rPr>
                <w:sz w:val="20"/>
              </w:rPr>
              <w:t>RECURSO DESPROVIDO. I. CASO EM EXAME 1. Agravo de instrumento interposto por beneficiário de plano de saúde em face de decisão interlocutória que indeferiu tutela de urgência pleiteada para que a operadora UNIMED DO CARIRI fosse compelida a custear terapias no município de residência do autor (Crato/CE), alegando dificuldades de locomoção até Juazeiro do Norte/CE, onde o tratamento havia sido autorizado. O agravante sustenta a presença dos requisitos legais para a concessão da medida antecipatória, requerendo a reforma da decisão. II. QUESTÃO EM DISCUSSÃO 2. A questão em discussão consiste em definir se a operadora de plano de saúde pode ser compelida a custear tratamento em município diverso daquele onde dispõe de rede credenciada apta à prestação do serviço, especificamente no município de residência do beneficiário, mesmo havendo possibilidade de atendimento em município limítrofe. III. RAZÕES DE DECIDIR 3. A operadora de plano de saúde cumpre com o dever contratual de cobertura quando disponibiliza o tratamento requerido em município limítrofe ao de residência do beneficiário, conforme autorizado pelas normas da ANS, que permite expressamente que a operadora garanta atendimento em município limítrofe àquele da demanda, não estabelecendo ordem de preferência entre a prestação local e a prestação em município vizinho. 4. Não há negativa de cobertura por parte do plano de saúde, que oferece o tratamento prescrito em município próximo (Juazeiro do Norte/CE), o qual integra a área de atuação e abrangência do produto contratado. 5. A dificuldade financeira ou logística de deslocamento por parte do beneficiário não constitui, por si só, motivo suficiente para obrigar a operadora a custear o tratamento no local de residência, quando há rede disponível em município limítrofe. IV. DISPOSITIVO 6. Recurso desprovido. (Agravo de Instrumento - 0631002-57.2024.8.06.0000, Rel. Desembargador(a) MARCOS WILLIAM LEITE DE OLIVEIRA,&lt;/span&gt; &lt;span style="font-size: 12pt; font-family: 'Times New Roman',serif; color: #000000; background-color: transparent; font-weight: 400; font- style: normal; font-variant: normal; text-decoration: none; vertical-align: baseline; white- space: pre-wrap;"&gt;</w:t>
              <w:tab/>
              <w:t>&lt;strong&gt;3ª Câmara Direito Privado&lt;/strong&gt; &lt;/span&gt; &lt;span style="font-size: 12pt; font-family: 'Times New Roman',serif; color: #000000; background- color: transparent; font-weight: 400; font-style: normal; font-variant: normal; text-decoration: none; vertical-align: baseline; white-space: pre-wrap;"&gt;, data do julgamento: 30/04/2025, data da publicação: 30/04/2025).&lt;/span&gt;&lt;/p&gt;&lt;p style="line-height: 1.7999999999999998; margin-left: 113.38582677165354pt; text-align: justify; margin-top: 12pt; margin-bottom: 0pt;" dir="ltr"&gt;&lt;span style="font-size: 12pt; font-family: 'Times New Roman',serif; color: #000000; background-color: transparent; font-weight: 400; font-style: normal; font-variant: normal; text-decoration: none; vertical-align: baseline; white-space: pre-wrap;"&gt;DIREITO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9"/>
              <w:rPr>
                <w:sz w:val="20"/>
              </w:rPr>
            </w:pPr>
            <w:r>
              <w:rPr>
                <w:sz w:val="20"/>
              </w:rPr>
              <w:t>DO CONSUMIDOR E PROCESSUAL CIVIL. AGRAVO DE INSTRUMENTO. PLANO DE SAÚDE. TRATAMENTO MULTIDISCIPLINAR PARA CRIANÇA COM TRANSTORNO DO ESPECTRO AUTISTA. PRETENSÃO DE REALIZAÇÃO NO MUNICÍPIO DE RESIDÊNCIA. EXISTÊNCIA DE REDE CREDENCIADA EM MUNICÍPIO LIMÍTROFE. INEXISTÊNCIA DE NEGATIVA DE COBERTURA. RECURSO CONHECIDO E</w:t>
            </w:r>
            <w:r>
              <w:rPr>
                <w:spacing w:val="6"/>
                <w:sz w:val="20"/>
              </w:rPr>
              <w:t> </w:t>
            </w:r>
            <w:r>
              <w:rPr>
                <w:spacing w:val="-3"/>
                <w:sz w:val="20"/>
              </w:rPr>
              <w:t>PROVIDO.</w:t>
            </w:r>
          </w:p>
          <w:p>
            <w:pPr>
              <w:pStyle w:val="TableParagraph"/>
              <w:numPr>
                <w:ilvl w:val="0"/>
                <w:numId w:val="2"/>
              </w:numPr>
              <w:tabs>
                <w:tab w:pos="207" w:val="left" w:leader="none"/>
              </w:tabs>
              <w:spacing w:line="208" w:lineRule="auto" w:before="0" w:after="0"/>
              <w:ind w:left="40" w:right="30" w:firstLine="0"/>
              <w:jc w:val="left"/>
              <w:rPr>
                <w:sz w:val="20"/>
              </w:rPr>
            </w:pPr>
            <w:r>
              <w:rPr>
                <w:sz w:val="20"/>
              </w:rPr>
              <w:t>CASO EM EXAME 1. Agravo de instrumento interposto por operadora de plano de </w:t>
            </w:r>
            <w:r>
              <w:rPr>
                <w:spacing w:val="-4"/>
                <w:sz w:val="20"/>
              </w:rPr>
              <w:t>saúde </w:t>
            </w:r>
            <w:r>
              <w:rPr>
                <w:sz w:val="20"/>
              </w:rPr>
              <w:t>contra decisão interlocutória que deferiu parcialmente tutela de urgência para determinar a cobertura integral de tratamento multidisciplinar a criança diagnosticada com Transtorno do Espectro Autista no Município de Trairi/CE, ainda que por prestador não integrante da rede credenciada. A agravante sustenta a regularidade da oferta de tratamento em clínica situada em município limítrofe, inexistência de cobertura obrigatória para determinadas terapias e ausência dos requisitos do art. 300 do CPC, pugnando pela reforma da decisão.</w:t>
            </w:r>
          </w:p>
          <w:p>
            <w:pPr>
              <w:pStyle w:val="TableParagraph"/>
              <w:numPr>
                <w:ilvl w:val="0"/>
                <w:numId w:val="2"/>
              </w:numPr>
              <w:tabs>
                <w:tab w:pos="263" w:val="left" w:leader="none"/>
                <w:tab w:pos="3862" w:val="left" w:leader="none"/>
              </w:tabs>
              <w:spacing w:line="208" w:lineRule="auto" w:before="0" w:after="0"/>
              <w:ind w:left="40" w:right="74" w:firstLine="0"/>
              <w:jc w:val="left"/>
              <w:rPr>
                <w:sz w:val="20"/>
              </w:rPr>
            </w:pPr>
            <w:r>
              <w:rPr>
                <w:sz w:val="20"/>
              </w:rPr>
              <w:t>QUESTÃO EM DISCUSSÃO 2. A questão em discussão consiste em definir se a operadora de plano de saúde está obrigada a custear tratamento multidisciplinar fora da rede credenciada e no município de residência do beneficiário, quando existente prestador habilitado em município limítrofe integrante da área de abrangência contratual. III. RAZÕES DE DECIDIR 3. A legislação de regência (Lei nº 9.656/98) e as Resoluções Normativas da ANS (nº 259/2011 e nº 566/2022) asseguram atendimento fora da rede credenciada apenas em hipóteses excepcionais, como a inexistência de prestador apto na área de abrangência do plano. 4. No caso, restou comprovada a disponibilidade de clínica credenciada em município vizinho, apta a fornecer integralmente o tratamento prescrito, inexistindo negativa de cobertura. 5. A mera dificuldade de deslocamento não configura, por si só, fundamento para obrigar a operadora a custear o tratamento em prestador não conveniado no município de residência. IV. DISPOSITIVO 6. Recurso provido para reformar a decisão de primeiro grau, afastando a determinação de custeio do tratamento fora da rede credenciada. (AGRAVO DE INSTRUMENTO - 06248557820258060000, Relator(a): JOSE TARCILIO SOUZA DA SILVA,&lt;/span&gt; &lt;span style="font-size: 12pt; font- family: 'Times New Roman',serif; color: #000000; background-color: transparent; font- weight: 400; font-style: normal; font-variant: normal; text-decoration: none; vertical-align: baseline; white-space: pre-wrap;"&gt; &lt;strong&gt;6ª Câmara de Direito Privado&lt;/strong&gt;&lt;/span&gt;&lt;span style="font-size: 12pt; font-family: 'Times New Roman',serif; color: #000000; background-color: transparent; font-weight: 400; font-style: normal; font-variant: normal; text-decoration: none; vertical-align: baseline; white-space: pre-wrap;"&gt;, Data do julgamento: 27/08/2025).&lt;/span&gt;&lt;/p&gt;&lt;p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pre-wrap;"&gt;Portanto, por não verificar em juízo sumário de cognição, a probabilidade do direito do recorrente, não vislumbro justificativa para modificar o que restou decidido no primeiro grau.&lt;/span&gt;&lt;/p&gt;&lt;p style="line-height: 1.7999999999999998; text-indent: 70.86614173228347pt; margin-top: 12pt; margin-bottom: 0pt;" dir="ltr"&gt; &lt;span style="font- size: 12pt; font-family: &amp;quot;Times New Roman&amp;quot;, serif; color: #000000; background- color: transparent; font-style: normal; font-variant: normal; text-decoration: none; vertical- align: baseline; white-space: pre-wrap;"&gt;</w:t>
              <w:tab/>
              <w:t>&lt;strong&gt;DISPOSITIVO&lt;/strong&gt;</w:t>
            </w:r>
          </w:p>
          <w:p>
            <w:pPr>
              <w:pStyle w:val="TableParagraph"/>
              <w:spacing w:line="208" w:lineRule="auto" w:before="0"/>
              <w:rPr>
                <w:sz w:val="20"/>
              </w:rPr>
            </w:pPr>
            <w:r>
              <w:rPr>
                <w:sz w:val="20"/>
              </w:rPr>
              <w:t>&lt;/span&gt;&lt;/p&gt;&lt;p style="line-height: 1.7999999999999998; text-indent: 70.86614173228347pt; text-align: justify; margin-top: 12pt; margin-bottom: 0pt;"</w:t>
            </w:r>
            <w:r>
              <w:rPr>
                <w:spacing w:val="-18"/>
                <w:sz w:val="20"/>
              </w:rPr>
              <w:t> </w:t>
            </w:r>
            <w:r>
              <w:rPr>
                <w:sz w:val="20"/>
              </w:rPr>
              <w:t>dir="ltr"&gt;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43"/>
              <w:rPr>
                <w:sz w:val="20"/>
              </w:rPr>
            </w:pPr>
            <w:r>
              <w:rPr>
                <w:sz w:val="20"/>
              </w:rPr>
              <w:t>&lt;span style="font-size: 12pt; font-family: 'Times New Roman',serif; color: #000000; background-color: transparent; font-weight: 400; font-style: normal; font-variant: normal; text-decoration: none; vertical-align: baseline; white-space: pre-wrap;"&gt;Diante do exposto </w:t>
            </w:r>
            <w:r>
              <w:rPr>
                <w:spacing w:val="-18"/>
                <w:sz w:val="20"/>
              </w:rPr>
              <w:t>e </w:t>
            </w:r>
            <w:r>
              <w:rPr>
                <w:sz w:val="20"/>
              </w:rPr>
              <w:t>fundamentado, CONHEÇO o agravo de instrumento para NEGAR-LHE PROVIMENTO e ratificar a decisão do juiz de conhecimento, em consonância com parecer do Fiscal da Ordem Jurídica.&lt;/span&gt; &lt;span style="text-indent: 70.8661pt;"&gt;&amp;#160;&lt;/span&gt;&lt;/p&gt;&lt;p style="line-height: 1.7999999999999998; text-indent: 70.86614173228347pt; text-align: justify; margin-top: 12pt; margin-bottom: 0pt;" dir="ltr"&gt; &lt;span style="font-size: 12pt; font- family: 'Times New Roman',serif; color: #000000; background-color: transparent; font- weight: 400; font-style: normal; font-variant: normal; text-decoration: none; vertical-align: baseline; white-space: pre-wrap;"&gt;É como voto.&lt;/span&gt;&lt;/p&gt;&lt;p style="line-height: 1.7999999999999998; text-indent: 70.86614173228347pt; text-align: justify; margin-top: 12pt; margin-bottom: 0pt;" dir="ltr"&gt;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s>
              <w:spacing w:line="208" w:lineRule="auto" w:before="0"/>
              <w:ind w:right="526"/>
              <w:rPr>
                <w:sz w:val="20"/>
              </w:rPr>
            </w:pPr>
            <w:r>
              <w:rPr>
                <w:sz w:val="20"/>
              </w:rPr>
              <w:t>&lt;/span&gt;&lt;/p&gt;&lt;p style="text-align: center;"&gt;  &lt;span style="font-size: small;"&gt;</w:t>
              <w:tab/>
              <w:t>&lt;strong style="font-size: small;"&gt;</w:t>
              <w:tab/>
              <w:t>&lt;span style="font-size: medium;"&gt;</w:t>
              <w:tab/>
              <w:t>&lt;span</w:t>
            </w:r>
            <w:r>
              <w:rPr>
                <w:spacing w:val="5"/>
                <w:sz w:val="20"/>
              </w:rPr>
              <w:t> </w:t>
            </w:r>
            <w:r>
              <w:rPr>
                <w:spacing w:val="-2"/>
                <w:sz w:val="20"/>
              </w:rPr>
              <w:t>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3007497-98.2025.8.06.0000</w:t>
            </w:r>
          </w:p>
        </w:tc>
      </w:tr>
      <w:tr>
        <w:trPr>
          <w:trHeight w:val="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375" w:val="left" w:leader="none"/>
              </w:tabs>
              <w:spacing w:line="215" w:lineRule="exact"/>
              <w:rPr>
                <w:sz w:val="20"/>
              </w:rPr>
            </w:pPr>
            <w:r>
              <w:rPr>
                <w:sz w:val="20"/>
              </w:rPr>
              <w:t>family: &amp;quot;times new roman&amp;quot;, times;"&gt;Desembargador Relator&lt;/span&gt;</w:t>
              <w:tab/>
              <w:t>&lt;/span&gt;</w:t>
            </w:r>
          </w:p>
          <w:p>
            <w:pPr>
              <w:pStyle w:val="TableParagraph"/>
              <w:tabs>
                <w:tab w:pos="5720" w:val="left" w:leader="none"/>
              </w:tabs>
              <w:spacing w:line="208" w:lineRule="auto" w:before="9"/>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UNIMED DE FORTALEZA COOPERATIVA DE TRABALHO MEDICO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G. B. G.</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BRUNA CARNEIRO PINTO DE SENA - (CE47927-A)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&lt;strong&gt;PROCESSO&lt;/strong&gt;:&amp;#160;3001786-15.2025.8.06.0000 -&amp;#160;AGRAVO DE</w:t>
            </w:r>
          </w:p>
          <w:p>
            <w:pPr>
              <w:pStyle w:val="TableParagraph"/>
              <w:tabs>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UNIMED DE FORTALEZA COOPERATIVA DE TRABALHO MEDICO LTDA&lt;/span&gt; &lt;/span&gt;&lt;/p&gt;&lt;p&gt;</w:t>
            </w:r>
          </w:p>
          <w:p>
            <w:pPr>
              <w:pStyle w:val="TableParagraph"/>
              <w:tabs>
                <w:tab w:pos="1216" w:val="left" w:leader="none"/>
                <w:tab w:pos="3044" w:val="left" w:leader="none"/>
                <w:tab w:pos="7300" w:val="left" w:leader="none"/>
              </w:tabs>
              <w:spacing w:line="208" w:lineRule="auto" w:before="0"/>
              <w:ind w:right="135"/>
              <w:rPr>
                <w:sz w:val="20"/>
              </w:rPr>
            </w:pPr>
            <w:r>
              <w:rPr>
                <w:sz w:val="20"/>
              </w:rPr>
              <w:t>&lt;span style="font-size: small;"&gt;</w:t>
              <w:tab/>
              <w:t>&lt;span style="font-family: &amp;quot;times new </w:t>
            </w:r>
            <w:r>
              <w:rPr>
                <w:spacing w:val="-2"/>
                <w:sz w:val="20"/>
              </w:rPr>
              <w:t>roman&amp;quot;, </w:t>
            </w:r>
            <w:r>
              <w:rPr>
                <w:sz w:val="20"/>
              </w:rPr>
              <w:t>times;"&gt;AGRAVADO: G. B. G.&lt;/span&gt; &lt;/span&gt;&lt;/p&gt;&lt;p&gt; &lt;span style="font-size: medium;"&gt;</w:t>
              <w:tab/>
              <w:t>&lt;span style="font-family: &amp;quot;times new roman&amp;quot;, times;"&gt;</w:t>
              <w:tab/>
              <w:t>&lt;br /&gt;</w:t>
            </w:r>
          </w:p>
          <w:p>
            <w:pPr>
              <w:pStyle w:val="TableParagraph"/>
              <w:spacing w:line="208" w:lineRule="auto" w:before="0"/>
              <w:ind w:right="35"/>
              <w:rPr>
                <w:sz w:val="20"/>
              </w:rPr>
            </w:pPr>
            <w:r>
              <w:rPr>
                <w:sz w:val="20"/>
              </w:rPr>
              <w:t>&lt;/span&gt; &lt;/span&gt;&lt;/p&gt;&lt;p style="line-height: 1.8; text-align: justify; margin-top: 12pt; margin- bottom: 12pt; padding-left: 150px;" dir="ltr"&gt;&lt;span style="font-size: 12pt; font-family: &amp;quot;Times New Roman&amp;quot;, serif; color: #1a202c; background-color: transparent; font- style: normal; font-variant: normal; text-decoration: none; vertical-align: baseline; white- space: pre-wrap;"&gt; &lt;strong&gt;Direito do Consumidor e Processual Civil. Agravo de Instrumento. Plano de Saúde. Ação de Obrigação de Fazer. Coparticipação. Tratamento multidisciplinar em paciente com&lt;/strong&gt;&lt;/span&gt; &lt;span style="font-family: &amp;quot;Times New Roman&amp;quot;, serif; font-size: 16px; white-space-collapse: preserve;"&gt;</w:t>
            </w:r>
          </w:p>
          <w:p>
            <w:pPr>
              <w:pStyle w:val="TableParagraph"/>
              <w:tabs>
                <w:tab w:pos="3329" w:val="left" w:leader="none"/>
              </w:tabs>
              <w:spacing w:line="208" w:lineRule="auto" w:before="0"/>
              <w:ind w:right="81"/>
              <w:rPr>
                <w:sz w:val="20"/>
              </w:rPr>
            </w:pPr>
            <w:r>
              <w:rPr>
                <w:sz w:val="20"/>
              </w:rPr>
              <w:t>&lt;strong&gt;Transtorno do Espectro Autista (TEA)&lt;/strong&gt;&lt;/span&gt;&lt;strong style="color: #1a202c; font-family: &amp;quot;Times New Roman&amp;quot;, serif; font-size: 16px; white-space- collapse: preserve;"&gt;.&lt;/strong&gt; &lt;strong style="background-color: transparent; color: #1a202c; font-family: &amp;quot;Times New Roman&amp;quot;, serif; font-size: 12pt; white-space- collapse: preserve;"&gt;Tutela provisória de urgência. Presentes os requisitos autorizadores em favor do autor/recorrido. Confirmada a decisão de primeiro grau. Recurso conhecido e não provido.&lt;/strong&gt;&lt;/p&gt;&lt;p style="line-height: 1.8; text-align: justify; margin-top: 12pt; margin-bottom: 12pt; padding-left: 150px;" dir="ltr"&gt; &lt;span style="font-size: 12pt; font- family: &amp;quot;Times New Roman&amp;quot;, serif; color: #000000; background-color: transparent; font-style: normal; font-variant: normal; text-decoration: none; vertical-align: baseline; white-space: pre-wrap;"&gt;</w:t>
              <w:tab/>
              <w:t>&lt;strong&gt;I. Caso em Exame&lt;/strong&gt; </w:t>
            </w:r>
            <w:r>
              <w:rPr>
                <w:spacing w:val="-2"/>
                <w:sz w:val="20"/>
              </w:rPr>
              <w:t>&lt;/span&gt;&lt;/p&gt;&lt;p </w:t>
            </w:r>
            <w:r>
              <w:rPr>
                <w:sz w:val="20"/>
              </w:rPr>
              <w:t>style="line-height: 1.8; text-align: justify; margin-top: 12pt; margin-bottom: 12pt; padding- left: 150px;" dir="ltr"&gt; &lt;span style="font-size: 12pt; font-family: 'Times New Roman',serif; color: #000000; background-color: transparent; font-weight: 400; font-style: normal; font- variant: normal; text-decoration: none; vertical-align: baseline; white-space: pre-wrap;"&gt;1. Agravo de Instrumento interposto por Unimed Fortaleza contra decisão interlocutória que deferiu tutela provisória de urgência para limitar a cláusula de coparticipação relacionada ao tratamento multidisciplinar de criança diagnosticada com Transtorno do Espectro Autista ao valor da mensalidade do plano de saúde, estabelecendo multa em caso de descumprimento.&lt;/span&gt;&lt;/p&gt;&lt;p style="line-height: 1.8; text-align: justify; margin-top: 12pt; margin-bottom: 12pt; padding-left: 150px;" dir="ltr"&gt; &lt;span style="font-size: 12pt; font- family: &amp;quot;Times New Roman&amp;quot;, serif; color: #000000; background-color: transparent; font-style: normal; font-variant: normal; text-decoration: none; vertical-align: baseline; white-space: pre-wrap;"&gt;</w:t>
              <w:tab/>
              <w:t>&lt;strong&gt;II. Questão em Discussão&lt;/strong&gt;</w:t>
            </w:r>
          </w:p>
          <w:p>
            <w:pPr>
              <w:pStyle w:val="TableParagraph"/>
              <w:spacing w:line="208" w:lineRule="auto" w:before="0"/>
              <w:ind w:right="208"/>
              <w:rPr>
                <w:sz w:val="20"/>
              </w:rPr>
            </w:pPr>
            <w:r>
              <w:rPr>
                <w:sz w:val="20"/>
              </w:rPr>
              <w:t>&lt;/span&gt;&lt;/p&gt;&lt;p style="line-height: 1.8; text-align: justify; margin-top: 12pt; margin-bottom: 12pt; padding-left: 150px;" dir="ltr"&gt; &lt;span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1"/>
              <w:rPr>
                <w:sz w:val="20"/>
              </w:rPr>
            </w:pPr>
            <w:r>
              <w:rPr>
                <w:sz w:val="20"/>
              </w:rPr>
              <w:t>Roman',serif; color: #000000; background-color: transparent; font-weight: 400; font-style: normal; font-variant: normal; text-decoration: none; vertical-align: baseline; white-space: pre-wrap;"&gt;2. Consiste em verificar a presença dos requisitos legais para concessão da tutela provisória de urgência como estabelecido no artigo 300 do CPC/15.&lt;/span&gt;&lt;/p&gt;&lt;p style="line-height: 1.8; text-align: justify; margin-top: 12pt; margin-bottom: 12pt; padding- left: 150px;" dir="ltr"&gt; &lt;span style="font-size: 12pt; font-family: &amp;quot;Times New Roman&amp;quot;, serif; color: #000000; background-color: transparent; font-style: normal; </w:t>
            </w:r>
            <w:r>
              <w:rPr>
                <w:spacing w:val="-4"/>
                <w:sz w:val="20"/>
              </w:rPr>
              <w:t>font- </w:t>
            </w:r>
            <w:r>
              <w:rPr>
                <w:sz w:val="20"/>
              </w:rPr>
              <w:t>variant: normal; text-decoration: none; vertical-align: baseline; white-space: pre-wrap;"&gt;</w:t>
            </w:r>
          </w:p>
          <w:p>
            <w:pPr>
              <w:pStyle w:val="TableParagraph"/>
              <w:tabs>
                <w:tab w:pos="4629" w:val="left" w:leader="none"/>
              </w:tabs>
              <w:spacing w:line="208" w:lineRule="auto" w:before="0"/>
              <w:ind w:right="53"/>
              <w:rPr>
                <w:sz w:val="20"/>
              </w:rPr>
            </w:pPr>
            <w:r>
              <w:rPr>
                <w:sz w:val="20"/>
              </w:rPr>
              <w:t>&lt;strong&gt;III. Razões de Decidir&lt;/strong&gt; &lt;/span&gt;&lt;/p&gt;&lt;p style="line-height: 1.8; text-align: justify; margin-top: 12pt; margin-bottom: 12pt; padding-left: 150px;" dir="ltr"&gt;&lt;span style="font-size: 12pt; font-family: 'Times New Roman',serif; color: #000000; background- color: transparent; font-weight: 400; font-style: normal; font-variant: normal; text-decoration: none; vertical-align: baseline; white-space: pre-wrap;"&gt;3.&lt;/span&gt; &lt;span style="font-size: 12pt; font-family: 'Times New Roman',serif; color: #1a202c; background-color: transparent; font-weight: 400; font-style: normal; font-variant: normal; text-decoration: none; vertical- align: baseline; white-space: pre-wrap;"&gt;O contrato de plano de saúde deve ser analisado à luz do Código de Defesa do Consumidor, conforme a súmula 608 do STJ, sendo nulas de pleno direito as cláusulas que imponham desvantagem excessiva ao consumidor.&lt;/span&gt;&lt;/p&gt;&lt;p style="line-height: 1.8; text-align: justify; margin-top: 12pt; margin-bottom: 12pt; padding-left: 150px;" dir="ltr"&gt; &lt;span style="font-size: 12pt; font- family: 'Times New Roman',serif; color: #000000; background-color: transparent; font- weight: 400; font-style: normal; font-variant: normal; text-decoration: none; vertical-align: baseline; white-space: pre-wrap;"&gt;4. A cláusula de coparticipação, embora prevista contratualmente, torna-se abusiva quando inviabiliza o acesso ao tratamento necessário, especialmente em casos de terapias contínuas e essenciais para crianças com Transtorno do Espectro Autista. Precedentes STJ e TJCE.&lt;/span&gt;&lt;/p&gt;&lt;p style="line-height: 1.8; text- align: justify; margin-top: 12pt; margin-bottom: 12pt; padding-left: 150px;" dir="ltr"&gt;&lt;span style="font-size: 12pt; font-family: &amp;quot;Times New Roman&amp;quot;, serif; color: #000000; background-color: transparent; font-style: normal; font-variant: normal; text-decoration: none; vertical-align: baseline; white-space: pre-wrap;"&gt; &lt;strong&gt;IV. Dispositivo.&lt;/strong&gt;&lt;/span&gt;&amp;#160;&lt;/p&gt;&lt;p style="line-height: 1.8; text-align: justify; margin-top: 12pt; margin-bottom: 12pt; padding-left: 150px;" dir="ltr"&gt; &lt;span style="background-color: transparent; font-family: &amp;quot;Times New Roman&amp;quot;, serif; font-size: 12pt; white-space-collapse: preserve;"&gt;</w:t>
              <w:tab/>
              <w:t>&lt;strong&gt;5. Conclui-se que a tutela de urgência concedida no primeiro grau deve ser mantida. Recurso conhecido e não provido.&lt;/strong&gt; &lt;/span&gt;&lt;/p&gt;&lt;p style="line-height: 1.8; text-align: justify; margin-top: 12pt; margin-bottom: 12pt; padding-left: 150px;" dir="ltr"&gt; &lt;span style="font-size: 12pt; font-family: 'Times New Roman',serif; color: #000000; background-color: transparent; font- weight: 400; font-style: normal; font-variant: normal; text-decoration: none; vertical-align: baseline; white-space: pre-wrap;"&gt;&amp;#160;&lt;/span&gt; &lt;span style="font-size: medium; font- family: &amp;quot;times new roman&amp;quot;, times;"&gt;ACÓRDÃO:&amp;#160;&lt;/span&gt; &lt;span style="background-color: transparent; font-family: &amp;quot;Times New Roman&amp;quot;, serif;</w:t>
            </w:r>
          </w:p>
          <w:p>
            <w:pPr>
              <w:pStyle w:val="TableParagraph"/>
              <w:tabs>
                <w:tab w:pos="1828" w:val="left" w:leader="none"/>
                <w:tab w:pos="2682" w:val="left" w:leader="none"/>
                <w:tab w:pos="7214" w:val="left" w:leader="none"/>
              </w:tabs>
              <w:spacing w:line="208" w:lineRule="auto" w:before="0"/>
              <w:ind w:right="21"/>
              <w:rPr>
                <w:sz w:val="20"/>
              </w:rPr>
            </w:pPr>
            <w:r>
              <w:rPr>
                <w:sz w:val="20"/>
              </w:rPr>
              <w:t>font-size: 12pt; white-space-collapse: preserve;"&gt;Vistos, relatados e discutidos estes </w:t>
            </w:r>
            <w:r>
              <w:rPr>
                <w:spacing w:val="-3"/>
                <w:sz w:val="20"/>
              </w:rPr>
              <w:t>autos, </w:t>
            </w:r>
            <w:r>
              <w:rPr>
                <w:sz w:val="20"/>
              </w:rPr>
              <w:t>acorda a Quinta Câmara Direito Privado do Tribunal de Justiça do Estado do Ceará, por unanimidade, em CONHECER do agravo de instrumento, para NEGAR-LHE PROVIMENTO, nos termos do voto do Desembargador Relator.&lt;/span&gt;&lt;/p&gt;&lt;p style="line- height: 115%; margin-bottom: 0.21cm; padding-left: 150px;" align="justify"&gt; &lt;span style="font-size: medium;"&gt;</w:t>
              <w:tab/>
              <w:t>&lt;span style="font-family: &amp;quot;times new roman&amp;quot;, times;"&gt;F&lt;/span&gt;</w:t>
              <w:tab/>
              <w:t>&lt;span style="font-family: &amp;quot;times new roman&amp;quot;, times;"&gt;ortaleza, data registrada no sistema.&lt;/span&gt; &lt;/span&gt; &lt;span style="font-family: &amp;quot;times new roman&amp;quot;, times; font-size: medium; text-align: start;"&gt;&amp;#160;&lt;/span&gt;&lt;/p&gt;&lt;p&gt;&amp;#160;&lt;/p&gt;&lt;p style="line-height: 100%; orphans: 0; widows: 0; margin-bottom: 0.21cm;" align="center"&gt;  &lt;span style="font-size: medium;"&gt;</w:t>
              <w:tab/>
              <w:t>&lt;strong&gt;</w:t>
            </w:r>
          </w:p>
          <w:p>
            <w:pPr>
              <w:pStyle w:val="TableParagraph"/>
              <w:tabs>
                <w:tab w:pos="1216" w:val="left" w:leader="none"/>
                <w:tab w:pos="2818" w:val="left" w:leader="none"/>
              </w:tabs>
              <w:spacing w:line="208" w:lineRule="auto" w:before="0"/>
              <w:ind w:right="219"/>
              <w:rPr>
                <w:sz w:val="20"/>
              </w:rPr>
            </w:pPr>
            <w:r>
              <w:rPr>
                <w:sz w:val="20"/>
              </w:rPr>
              <w:t>&lt;span style="font-family: &amp;quot;times new roman&amp;quot;, times;"&gt;MARIA REGINA OLIVEIRA CÂMARA&lt;/span&gt;</w:t>
              <w:tab/>
              <w:t>&lt;/strong&gt; &lt;/span&gt;&lt;/p&gt;&lt;p style="line-height: 115%; orphans: 0; widows: 0; margin-bottom: 0.21cm;" align="center"&gt; &lt;span style="font-size: medium;"&gt;</w:t>
              <w:tab/>
              <w:t>&lt;span style="font-family: &amp;quot;times new roman&amp;quot;, times;"&gt;Desembargadora Presidente do Órgão Julgador&lt;/span&gt; &lt;/span&gt;&lt;/p&gt;&lt;p style="line-height: 100%; orphans: 0; widows: 0; margin-bottom: 0.21cm;"</w:t>
            </w:r>
            <w:r>
              <w:rPr>
                <w:spacing w:val="12"/>
                <w:sz w:val="20"/>
              </w:rPr>
              <w:t> </w:t>
            </w:r>
            <w:r>
              <w:rPr>
                <w:spacing w:val="-2"/>
                <w:sz w:val="20"/>
              </w:rPr>
              <w:t>align="center"&gt;</w:t>
            </w:r>
          </w:p>
          <w:p>
            <w:pPr>
              <w:pStyle w:val="TableParagraph"/>
              <w:tabs>
                <w:tab w:pos="1683" w:val="left" w:leader="none"/>
                <w:tab w:pos="2350" w:val="left" w:leader="none"/>
                <w:tab w:pos="2806" w:val="left" w:leader="none"/>
                <w:tab w:pos="3206" w:val="left" w:leader="none"/>
                <w:tab w:pos="3288" w:val="left" w:leader="none"/>
                <w:tab w:pos="3951" w:val="left" w:leader="none"/>
                <w:tab w:pos="5850" w:val="left" w:leader="none"/>
              </w:tabs>
              <w:spacing w:line="208" w:lineRule="auto" w:before="0"/>
              <w:ind w:right="143"/>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w:t>
            </w:r>
            <w:r>
              <w:rPr>
                <w:spacing w:val="-2"/>
                <w:sz w:val="20"/>
              </w:rPr>
              <w:t>style="font- </w:t>
            </w:r>
            <w:r>
              <w:rPr>
                <w:sz w:val="20"/>
              </w:rPr>
              <w:t>size: medium;"&gt;</w:t>
              <w:tab/>
              <w:t>&lt;strong&gt;</w:t>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6883" w:val="left" w:leader="none"/>
              </w:tabs>
              <w:spacing w:line="190" w:lineRule="exact" w:before="0"/>
              <w:rPr>
                <w:sz w:val="20"/>
              </w:rPr>
            </w:pPr>
            <w:r>
              <w:rPr>
                <w:sz w:val="20"/>
              </w:rPr>
              <w:t>&lt;/span&gt;&lt;/p&gt;&lt;p style="text-align: center;"&gt;  &lt;span style="font-size: small;"&gt;</w:t>
              <w:tab/>
              <w:t>&lt;strong&gt;</w:t>
            </w:r>
          </w:p>
          <w:p>
            <w:pPr>
              <w:pStyle w:val="TableParagraph"/>
              <w:tabs>
                <w:tab w:pos="3511" w:val="left" w:leader="none"/>
              </w:tabs>
              <w:spacing w:line="215" w:lineRule="exact" w:before="0"/>
              <w:rPr>
                <w:sz w:val="20"/>
              </w:rPr>
            </w:pPr>
            <w:r>
              <w:rPr>
                <w:sz w:val="20"/>
              </w:rPr>
              <w:t>&lt;span style="font-size: medium;"&gt;</w:t>
              <w:tab/>
              <w:t>&lt;span style="font-family: &amp;quot;times new</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229" w:val="left" w:leader="none"/>
                <w:tab w:pos="5174" w:val="left" w:leader="none"/>
              </w:tabs>
              <w:spacing w:line="208" w:lineRule="auto" w:before="26"/>
              <w:ind w:right="20"/>
              <w:rPr>
                <w:sz w:val="20"/>
              </w:rPr>
            </w:pPr>
            <w:r>
              <w:rPr>
                <w:sz w:val="20"/>
              </w:rPr>
              <w:t>roman&amp;quot;, times;"&gt;RELATÓRIO&lt;/span&gt;</w:t>
              <w:tab/>
              <w:t>&lt;/span&gt;</w:t>
              <w:tab/>
              <w:t>&lt;/strong&gt; &lt;/span&gt;&lt;/p&gt;&lt;p style="line-height: 1.7999999999999998; text-indent: 70.86614173228347pt; text-align: justify; margin-top: 12pt; margin-bottom: 12pt;" dir="ltr"&gt;&lt;span style="font-size: 12pt; font- family: 'Times New Roman',serif; color: #000000; background-color: transparent; font- weight: 400; font-style: normal; font-variant: normal; text-decoration: none; vertical-align: baseline; white-space: pre-wrap;"&gt;A&lt;/span&gt;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&lt;strong&gt;Unimed Fortaleza Sociedade Cooperativa Médica Ltda&lt;/strong&gt;&lt;/span&gt;&lt;span style="font-size: 12pt; font-family: 'Times New Roman',serif; color: #000000; background-color: transparent; font-weight: 400; font-style: normal; font- variant: normal; text-decoration: none; vertical-align: baseline; white-space: pre-wrap;"&gt;. interpôs o presente&lt;/span&gt; &lt;span style="font-size: 12pt; font-family: 'Times New Roman',serif; color: #000000; background-color: transparent; font-weight: 400; font-style: normal; font-variant: normal; text-decoration: none; vertical-align: baseline; white-space: pre-wrap;"&gt; &lt;strong&gt;Agravo de Instrumento&lt;/strong&gt;&lt;/span&gt; &lt;span style="font-size:  12pt; font-family: 'Times New Roman',serif; color: #000000; background-color: transparent; font-weight: 400; font-style: normal; font-variant: normal; text-decoration: none; vertical- align: baseline; white-space: pre-wrap;"&gt;com pedido de recebimento no efeito suspensivo visando reformar a decisão interlocutória proferida pelo&lt;/span&gt; &lt;span style="font-size: 12pt; font-family: 'Times New Roman',serif; color: #000000; background-color: transparent; font-weight: 400; font-style: normal; font-variant: normal; text-decoration: none; vertical- align: baseline; white-space: pre-wrap;"&gt; &lt;strong&gt;Juízo da 2ª Vara Cível da Comarca de Aracati&lt;/strong&gt;&lt;/span&gt;&lt;span style="font-size: 12pt; font-family: 'Times New Roman',serif; color: #000000; background-color: transparent; font-weight: 400; font-style: normal; font- variant: normal; text-decoration: none; vertical-align: baseline; white-space: pre-wrap;"&gt;, nos autos da&lt;/span&gt;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27"/>
              <w:rPr>
                <w:sz w:val="20"/>
              </w:rPr>
            </w:pPr>
            <w:r>
              <w:rPr>
                <w:sz w:val="20"/>
              </w:rPr>
              <w:t>&lt;strong&gt;Ação de Obrigação de Fazer Cumulada com Indenização por Danos Materiais e Morais c/c Pedido de Tutela Provisória de Urgência&lt;/strong&gt;&lt;/span&gt; &lt;span style="font- size: 12pt; font-family: 'Times New Roman',serif; color: #000000; background-color: transparent; font-weight: 400; font-style: normal; font-variant: normal; text-decoration: none; vertical-align: baseline; white-space: pre-wrap;"&gt;movida por&lt;/span&gt; &lt;span style="font-size: 12pt; font-family: 'Times New Roman',serif; color: #000000; background-color: transparent; font-weight: 400; font-style: normal; font-variant: normal; text-decoration: none; vertical- align: baseline; white-space: pre-wrap;"&gt; &lt;strong&gt;Gustavo Barbosa Gomes, representado por sua genitora a Sra. Francisca Maria Barbosa Machado&lt;/strong&gt;&lt;/span&gt;&lt;span style="font-size: 12pt; font-family: 'Times New Roman',serif; color: #000000; background- color: transparent; font-weight: 400; font-style: normal; font-variant: normal; text-decoration: none; vertical-align: baseline; white-space: pre-wrap;"&gt;.&lt;/span&gt;&lt;/p&gt;&lt;p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pre-wrap;"&gt;Na decisão recorrida, o Juízo de origem deferiu parcialmente a tutela provisória de urgência para determinar à requerida a limitação da cláusula de coparticipação, fixando como teto o valor equivalente à mensalidade paga pelo titular do plano, a fim de viabilizar os tratamentos médicos do demandante. Restou ainda estipulada multa diária de R$ 1.000,00 pelo descumprimento da ordem, limitada a trinta dias-multa.&lt;/span&gt;&lt;/p&gt;&lt;p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pre-wrap;"&gt;A operadora do plano de saúde, ora agravante, afirma que a decisão impugnada não ponderou adequadamente os requisitos legais para a concessão da tutela de urgência, argumentando que não restaram demonstrados a probabilidade do direito e o perigo de dano ou risco ao resultado útil do processo, conforme preconizado no artigo 300 do Código de Processo Civil. Alega, ainda, a legalidade da cobrança de coparticipação prevista contratualmente, sustentando que os planos com essa característica possuem mensalidades reduzidas e que a cobrança proporcional é permitida e regulada pela Agência Nacional de Saúde Suplementar (ANS), nos termos da Lei nº 9.656/98 e de resoluções específicas do setor. A agravante fundamenta seu recurso na tese fixada pelo Superior Tribunal de Justiça no Tema Repetitivo nº 1.032, segundo a qual é válida a cláusula de coparticipação expressamente ajustada e informada ao contratante. Apresenta jurisprudência corroborando a tese de que a previsão de coparticipação não caracteriza prática abusiva, desde que respeite os limites contratuais e regulamentares. Sustenta que a redução da coparticipação imposta pela decisão recorrida poderá impactar a sustentabilidade do contrato e acarretar ônus excessivo aos demais beneficiários do plano, ressaltando que a demandante tinha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94" w:val="left" w:leader="none"/>
              </w:tabs>
              <w:spacing w:line="208" w:lineRule="auto" w:before="26"/>
              <w:ind w:right="25"/>
              <w:rPr>
                <w:sz w:val="20"/>
              </w:rPr>
            </w:pPr>
            <w:r>
              <w:rPr>
                <w:sz w:val="20"/>
              </w:rPr>
              <w:t>conhecimento prévio das condições contratuais no momento da adesão ao plano de saúde. Requer que seja recebido o recurso com efeito suspensivo e sobre mérito requer o conhecimento e provimento do Agravo de Instrumento, com a revogação da decisão liminar que limitou a cobrança da coparticipação, restabelecendo integralmente as condições contratuais previamente pactuadas.&lt;/span&gt;&lt;/p&gt;&lt;p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w:t>
              <w:tab/>
              <w:t>&lt;strong&gt;Deferido o pedido de efeito suspensivo ao agravo de instrumento para suspender até o julgamento final do presente recurso (id 18383296), os efeitos da decisão interlocutória proferida pelo Juízo da 2ª Vara Cível da Comarca de Aracati/CE.&amp;#160;&lt;/strong&gt; &lt;/span&gt;&lt;/p&gt;&lt;p style="line-height: 1.7999999999999998; </w:t>
            </w:r>
            <w:r>
              <w:rPr>
                <w:spacing w:val="-4"/>
                <w:sz w:val="20"/>
              </w:rPr>
              <w:t>text- </w:t>
            </w:r>
            <w:r>
              <w:rPr>
                <w:sz w:val="20"/>
              </w:rPr>
              <w: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pre-wrap;"&gt;Ao seu tempo, o demandante apresentou contrarrazões ao recurso (id 18863869). Aduz que a probabilidade do seu direito está devidamente comprovada pelas alegações da agravada </w:t>
            </w:r>
            <w:r>
              <w:rPr>
                <w:spacing w:val="-14"/>
                <w:sz w:val="20"/>
              </w:rPr>
              <w:t>e </w:t>
            </w:r>
            <w:r>
              <w:rPr>
                <w:sz w:val="20"/>
              </w:rPr>
              <w:t>pelos documentos anexados aos autos, como faturas, extratos de utilização e registros de coparticipação. Esses elementos demonstram que a cobrança excessiva da coparticipação, configuram um fator que restringe severamente o acesso aos serviços de saúde, reduzindo significativamente as opções de tratamento do beneficiário/agravado, prejudicando sua continuidade e o seu desenvolvimento. Ademais, a operadora de saúde tem aplicado indevidamente a coparticipação sobre cada sessão de tratamento, e não sobre o procedimento como um todo, o que representa um ônus excessivo ao beneficiário que precisa fazer múltiplas sessões. Tal prática tem dificultado, e até mesmo inviabilizado, a continuidade do tratamento da menor, sobrecarregando financeiramente sua família e impossibilitando o acesso regular às terapias essenciais. Diante da conduta abusiva da ré, requer a revisão e/ou revogação da decisão que deferiu o efeito suspensivo em favor do agravante, já que a sua permanência vem proporcionando um periculum in mora inverso em desfavor do agravado.&lt;/span&gt;&lt;/p&gt;&lt;p style="line-height: 1.7999999999999998; text- 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pre-wrap;"&gt;A digna Procuradoria Geral de Justiça opinou pelo recebimento do agravo de instrumento, e seu total improvimento, mantendo-se a decisão vergastada em todos os seus termos (parecer de id 28961902).&lt;/span&gt; &lt;span style="font-size: small; text-align: center;"&gt;&amp;#160;&lt;/span&gt;&lt;/p&gt;&lt;p style="line-height: 1.7999999999999998; text-indent: 70.86614173228347pt; text-align: justify; margin-top: 12pt; margin-bottom: 12pt;"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text-indent: 70.86614173228347pt; text-align: justify; margin-top: 12pt; margin-bottom: 12pt;"</w:t>
            </w:r>
            <w:r>
              <w:rPr>
                <w:spacing w:val="-17"/>
                <w:sz w:val="20"/>
              </w:rPr>
              <w:t> </w:t>
            </w:r>
            <w:r>
              <w:rPr>
                <w:sz w:val="20"/>
              </w:rPr>
              <w:t>dir="ltr"&gt;</w:t>
            </w:r>
          </w:p>
          <w:p>
            <w:pPr>
              <w:pStyle w:val="TableParagraph"/>
              <w:tabs>
                <w:tab w:pos="4756" w:val="left" w:leader="none"/>
              </w:tabs>
              <w:spacing w:line="190" w:lineRule="exact" w:before="0"/>
              <w:rPr>
                <w:sz w:val="20"/>
              </w:rPr>
            </w:pPr>
            <w:r>
              <w:rPr>
                <w:sz w:val="20"/>
              </w:rPr>
              <w:t>&lt;strong style="font-size: small; text-align: center;"&gt;</w:t>
              <w:tab/>
              <w:t>&lt;span style="font-size: medium;"&gt;</w:t>
            </w:r>
          </w:p>
          <w:p>
            <w:pPr>
              <w:pStyle w:val="TableParagraph"/>
              <w:tabs>
                <w:tab w:pos="7301" w:val="left" w:leader="none"/>
              </w:tabs>
              <w:spacing w:line="200" w:lineRule="exact" w:before="0"/>
              <w:rPr>
                <w:sz w:val="20"/>
              </w:rPr>
            </w:pPr>
            <w:r>
              <w:rPr>
                <w:sz w:val="20"/>
              </w:rPr>
              <w:t>&lt;span style="font-family: &amp;quot;times new roman&amp;quot;, times;"&gt;VOTO&lt;/span&gt;</w:t>
              <w:tab/>
              <w:t>&lt;/span&gt;</w:t>
            </w:r>
          </w:p>
          <w:p>
            <w:pPr>
              <w:pStyle w:val="TableParagraph"/>
              <w:spacing w:line="208" w:lineRule="auto" w:before="6"/>
              <w:ind w:right="149"/>
              <w:rPr>
                <w:sz w:val="20"/>
              </w:rPr>
            </w:pPr>
            <w:r>
              <w:rPr>
                <w:sz w:val="20"/>
              </w:rPr>
              <w:t>&lt;/strong&gt;&lt;/p&gt;&lt;p style="line-height: 1.7999999999999998; text-indent: 70.86614173228347pt; text-align: justify; margin-top: 12pt; margin-bottom: 12pt;"</w:t>
            </w:r>
            <w:r>
              <w:rPr>
                <w:spacing w:val="-17"/>
                <w:sz w:val="20"/>
              </w:rPr>
              <w:t> </w:t>
            </w:r>
            <w:r>
              <w:rPr>
                <w:sz w:val="20"/>
              </w:rPr>
              <w:t>dir="ltr"&gt;</w:t>
            </w:r>
          </w:p>
          <w:p>
            <w:pPr>
              <w:pStyle w:val="TableParagraph"/>
              <w:spacing w:line="208" w:lineRule="auto" w:before="0"/>
              <w:ind w:right="64"/>
              <w:rPr>
                <w:sz w:val="20"/>
              </w:rPr>
            </w:pPr>
            <w:r>
              <w:rPr>
                <w:sz w:val="20"/>
              </w:rPr>
              <w:t>&lt;span style="font-size: 12pt; font-family: 'Times New Roman',serif; color: #000000; background-color: transparent; font-weight: 400; font-style: normal; font-variant: normal; text-decoration: none; vertical-align: baseline; white-space: pre-wrap;"&gt;Conheço o agravo de instrumento, por observar estarem presentes os requisitos de admissibilidade intrínsecos e extrínsecos.&lt;/span&gt;&lt;/p&gt;&lt;p style="line-height: 1.7999999999999998; text- 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pre-wrap;"&gt;Cumpre ressaltar que a análise do presente recurso encontra-se restrita à análise da presença ou não dos requisitos autorizadores para a concessão da tutela provisória de urgência, dispostos no art. 300 do Código de Processo Civil.&lt;/span&gt;&lt;/p&gt;&lt;p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pre-wrap;"&gt;A situação fática nos mostra que Gustavo Barbosa Gomes, adolescente representado por sua mãe, Francisca Maria Barbosa Machado, narra que é beneficiário </w:t>
            </w:r>
            <w:r>
              <w:rPr>
                <w:spacing w:val="-9"/>
                <w:sz w:val="20"/>
              </w:rPr>
              <w:t>do </w:t>
            </w:r>
            <w:r>
              <w:rPr>
                <w:sz w:val="20"/>
              </w:rPr>
              <w:t>plano de saúde comercializado pela ré, registro sob nº 484305193, estando adimplente como demonstram os comprovantes anexados. Conforme relatório médico elaborado 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5"/>
              <w:rPr>
                <w:sz w:val="20"/>
              </w:rPr>
            </w:pPr>
            <w:r>
              <w:rPr>
                <w:sz w:val="20"/>
              </w:rPr>
              <w:t>16/04/2024 pelo neurologista Dr. Valvenarques Pedrosa – CRM/RN 4831 tem diagnóstico de TEA (Transtorno do Espectro Autista) CID10 F-84.0, nível de suporte III, e Transtorno de déficit de Atenção – (TDHA) CID 10 F-90.0, sendo não verbal agravada com apraxia da fala. Após o início do tratamento com profissionais devidamente certificados, a ré começou a cobrar mensalidades exorbitantes em coparticipação, chegando a ser até três vezes maiores que a mensalidade do plano. A genitora tentou dirimir a questão junto com a promovida, porém sem sucesso. Por se tratar de pessoa com TEAe TDHA necessita imperiosamente e sem atrasos das terapias descritas pelo médico responsável para evitar piora irreversível em seu quadro, e em razão disso, ingressou com ação judicial na qual requereu tutela provisória de urgência para garantir a isenção da cobrança de coparticipação no tratamento multidisciplinar urgente e continuo.&lt;/span&gt;&lt;/p&gt;&lt;p</w:t>
            </w:r>
          </w:p>
          <w:p>
            <w:pPr>
              <w:pStyle w:val="TableParagraph"/>
              <w:tabs>
                <w:tab w:pos="1294" w:val="left" w:leader="none"/>
              </w:tabs>
              <w:spacing w:line="208" w:lineRule="auto" w:before="0"/>
              <w:ind w:right="32"/>
              <w:rPr>
                <w:sz w:val="20"/>
              </w:rPr>
            </w:pPr>
            <w:r>
              <w:rPr>
                <w:sz w:val="20"/>
              </w:rPr>
              <w:t>style="line-height: 1.7999999999999998; text-indent: 70.86614173228347pt; text-align: justify; margin-top: 12pt; margin-bottom: 12pt;" dir="ltr"&gt;&lt;span style="font-size: 12pt; font- family: 'Times New Roman',serif; color: #000000; background-color: transparent; font- weight: 400; font-style: normal; font-variant: normal; text-decoration: none; vertical-align: baseline; white-space: pre-wrap;"&gt;A magistrada da 2ª Vara Cível da Comarca de Aracati deferiu parcialmente&lt;/span&gt; &lt;span style="font-size: 12pt; font-family: 'Times New Roman',serif; color: #000000; background-color: transparent; font-weight: 400; font-style: normal; font-variant: normal; text-decoration: none; vertical-align: baseline; white-space: pre-wrap;"&gt;a tutela provisória de urgência para determinar ao requerido a limitar a cláusula de coparticipação, com relação ao tratamento multidisciplinar ao valor equivalente à mensalidade paga pelo titular do plano, a fim de viabilizar os tratamentos médicos do demandante (decisão de id 132069748 – ação principal).&lt;/span&gt;&lt;/p&gt;&lt;p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w:t>
              <w:tab/>
              <w:t>&lt;strong&gt;Adianto que o recurso da operadora de plano de saúde não merece provimento. Explico.&lt;/strong&gt; &lt;/span&gt;&lt;/p&gt;&lt;p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pre-wrap;"&gt;Inicialmente destaca-se que contrato firmado entre as partes deve ser analisado à luz do Código de Defesa do Consumidor. Depreende-se da legislação especializada que as cláusulas que estabeleçam obrigações abusivas, que coloquem o consumidor em extrema desvantagem ou que sejam incompatíveis com a boa-fé, são nulas de pleno direito (Súmula 608 do STJ e artigo 47 do CDC).&lt;/span&gt;&lt;/p&gt;&lt;p style="line-height: 1.7999999999999998; text-indent: 70.86614173228347pt; text-align: justify; margin-top: 12pt; margin-bottom: 12pt;" dir="ltr"&gt;</w:t>
            </w:r>
          </w:p>
          <w:p>
            <w:pPr>
              <w:pStyle w:val="TableParagraph"/>
              <w:spacing w:line="208" w:lineRule="auto" w:before="0"/>
              <w:ind w:right="99"/>
              <w:rPr>
                <w:sz w:val="20"/>
              </w:rPr>
            </w:pPr>
            <w:r>
              <w:rPr>
                <w:sz w:val="20"/>
              </w:rPr>
              <w:t>&lt;span style="font-size: 12pt; font-family: 'Times New Roman',serif; color: #000000; background-color: transparent; font-weight: 400; font-style: normal; font-variant: normal; text-decoration: none; vertical-align: baseline; white-space: pre-wrap;"&gt;Sobre o tema, apesar de ser válida a previsão contratual que estabelece o regime coparticipativo, há precedentes do Tribunal da Cidadania no sentido de que o valor devido a este título não pode superar a mensalidade devida pelo usuário.&lt;/span&gt;&lt;/p&gt;&lt;p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pre-wrap;"&gt;Confira-se:&lt;/span&gt;&lt;/p&gt;&lt;p style="line-height: 1.7999999999999998; margin- left: 113.38582677165354pt; text-align: justify; margin-top: 12pt; margin-bottom: 12pt;" dir="ltr"&gt; &lt;span style="font-size: 12pt; font-family: 'Times New Roman',serif; color: #000000; background-color: transparent; font-weight: 400; font-style: normal; font-variant: normal; text-decoration: none; vertical-align: baseline; white-space: pre-wrap;"&gt;RECURSO ESPECIAL. AÇÃO REVISIONAL DE CONTRATO C/C NULIDADE DE CLÁUSULA CONTRATUAL E COMPENSAÇÃO POR DANO MORAL. PROTOCOLO PEDIASUIT. PROCEDIMENTO NÃO LISTADO NO ROL DA ANS. COBERTURA PELA OPERADORA. INCIDÊNCIA DA CLÁUSULA DE COPARTICIPAÇÃO PARA ATENDIMENTO AMBULATORIAL. ANÁLISE DA ABUSIVIDADE DO VALOR COBRADO PELA</w:t>
            </w:r>
          </w:p>
          <w:p>
            <w:pPr>
              <w:pStyle w:val="TableParagraph"/>
              <w:spacing w:line="208" w:lineRule="auto" w:before="0"/>
              <w:ind w:right="45"/>
              <w:rPr>
                <w:sz w:val="20"/>
              </w:rPr>
            </w:pPr>
            <w:r>
              <w:rPr>
                <w:sz w:val="20"/>
              </w:rPr>
              <w:t>OPERADORA. 1. Ação revisional de contrato c/c nulidade de cláusula contratual e compensação por dano moral ajuizada em 03/11/2017, da qual foi extraído o presente recurso especial, interposto em 22/02/2022 e concluso ao gabinete em 16/05/2022. 2. O propósito recursal é dizer sobre a abusividade da cobrança de coparticipação pelo tratamento com o protocolo Pediasuit. 3. O protocolo Pediasuit, é, em geral, aplicado em sessões conduzidas por fisioterapeutas, terapeutas ocupacionais e/ou fonoaudiólogos, dentro das respectivas áreas de atuação, sem a necessidade de internação ou mesmo da utilização de estrutura hospitalar, enquadrando-se, a despeito de sua complexidade, no conceito de atendimento ambulatorial estabelecido pela ANS. 4. Se a operadora atende à necessidade do beneficiário ao custear o procedimento ou evento, ainda que não listado no rol da ANS, operase o fato gerador da obrigação de pagar a coparticipação, desde que,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evidentemente, haja clara previsão contratual sobre a existência do fator moderador e sobre as condições para sua utilização, e que, concretamente, sua incidência não revele uma prática abusiva. 5. Como não há norma detalhando as condições para a utilização do fator moderador, a serem informadas ao usuário, deve ser considerada suficiente a discriminação prévia do percentual ou do valor devido para cada procedimento ou grupo de procedimentos e eventos em saúde sobre os quais incidirá a coparticipação - consultas, exames, atendimento ambulatorial, internação, etc. - tendo em conta o efetivamente pago pela operadora ao prestador do serviço.6. Para que a coparticipação não caracterize o financiamento integral do procedimento por parte do usuário ou se torne fator restritor severo de acesso aos serviços, é possível aplicar, por analogia, o disposto no art. 19, II, "b", da RN-ANS 465/2022, para limitar a cobrança "ao máximo de cinquenta por cento do valor contratado entre a operadora de planos privados de assistência à saúde e o respectivo prestador de serviços de saúde". 7. Com o fim de proteger a dignidade do usuário frente à incidência dos mecanismos financeiros de regulação, no que tange à exposição financeira do titular, mês a mês, é razoável fixar como parâmetro, para a cobrança da coparticipação, o valor equivalente à mensalidade paga, de modo que o desembolso mensal realizado por força do mecanismo financeiro de regulação não seja maior que o da contraprestação paga pelo beneficiário. 8. Hipótese em que deve ser reformado o acórdão recorrido para manter a coparticipação, limitando o valor pago a cada mês pelo beneficiário ao valor da mensalidade, até a completa quitação, respeitado, quanto ao percentual cobrado por procedimento, o limite máximo de 50% do valor contratado entre a operadora de plano de saúde e o respectivo prestador de serviço. 9.</w:t>
            </w:r>
          </w:p>
          <w:p>
            <w:pPr>
              <w:pStyle w:val="TableParagraph"/>
              <w:spacing w:line="208" w:lineRule="auto" w:before="0"/>
              <w:ind w:right="21"/>
              <w:rPr>
                <w:sz w:val="20"/>
              </w:rPr>
            </w:pPr>
            <w:r>
              <w:rPr>
                <w:sz w:val="20"/>
              </w:rPr>
              <w:t>Recurso especial conhecido e provido em parte. (REsp n. 2.001.108/MT, relatora Ministra Nancy Andrighi, Terceira Turma, julgado em 3/10/2023, DJe de 9/10/2023.).&lt;/span&gt;&lt;/p&gt;&lt;p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pre-wrap;"&gt;Além disso, posicionou-se a Procuradoria de Justiça nos seguintes termos:&lt;/span&gt;&lt;/p&gt;&lt;p style="line-height: 1.7999999999999998; text-indent: 70.86614173228347pt; text-align: justify; margin-top: 12pt; margin-bottom: 12pt;" dir="ltr"&gt;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pre-wrap;"&gt;&amp;#160;&lt;/span&gt;</w:t>
            </w:r>
          </w:p>
          <w:p>
            <w:pPr>
              <w:pStyle w:val="TableParagraph"/>
              <w:tabs>
                <w:tab w:pos="6553" w:val="left" w:leader="none"/>
              </w:tabs>
              <w:spacing w:line="208" w:lineRule="auto" w:before="0"/>
              <w:ind w:right="19"/>
              <w:rPr>
                <w:sz w:val="20"/>
              </w:rPr>
            </w:pPr>
            <w:r>
              <w:rPr>
                <w:sz w:val="20"/>
              </w:rPr>
              <w:t>&lt;span style="font-size: 12pt; font-family: 'Times New Roman',serif; color: #000000; background-color: transparent; font-weight: 400; font-style: normal; font-variant: normal; text-decoration: none; vertical-align: baseline; white-space: pre-wrap;"&gt;</w:t>
              <w:tab/>
              <w:t>&lt;em&gt;"No caso em tela — ao menos nesta fase inicial da tramitação processual —, não se mostram plausíveis, tampouco suficientemente relevantes, as razões apresentadas pelo agravante para justificar a reforma da decisão que ora se impugna. É certo que a legislação e a regulação da Agência Nacional de Saúde Suplementar (ANS) reconhecem a legalidade da cláusula contratual que prevê a coparticipação do beneficiário nos custos de determinados procedimentos médicos. Ou seja, não há, em princípio, vedação quanto à prática da coparticipação em planos de saúde, desde que previamente informada ao consumidor e contratualmente estabelecida. Contudo, essa possibilidade jurídica não é absoluta, tampouco pode ser utilizada de forma desproporcional ou em prejuízo do direito à saúde e à dignidade do beneficiário. É imperioso lembrar que a coparticipação, ainda que válida, deve observar parâmetros de razoabilidade e moderação, não podendo resultar, na prática, em obstáculo à continuidade de tratamentos essenciais ou recorrentes, sobretudo quando estes envolvem condições médicas que demandam acompanhamento prolongado ou cuidados permanentes".&lt;/em&gt;  &lt;/span&gt;&lt;/p&gt;&lt;p style="line-height: 1.7999999999999998; text-indent: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pre-wrap;"&gt;Desta forma, conclui-se que há plausibilidade do direito invocado pela parte autora, ora agravada, decorrendo o&lt;/span&gt;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&lt;em&gt;periculum in mora&lt;/em&gt;&lt;/span&gt; &lt;span style="font-size: 12pt; font-family: 'Times New Roman',serif; color: #000000; background-color: transparent; font- weight: 400; font-style: normal; font-variant: normal; text-decoration: none; vertical-align: baseline; white-space: pre-wrap;"&gt;do risco de interrupção do tratamento da criança. A medida é reversível, porque, caso revogada, o plano de saúde poderá cobrar as diferenças de coparticipação devidas pelo usuário.&lt;/span&gt;&lt;/p&gt;&lt;p style="line-height: 1.7999999999999998; text-indent: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pre-wrap;"&gt;Em arremate, transcrevo e adoto como razões de decidir fundamentação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extraída da decisão&lt;/span&gt; &lt;span style="font-size: 12pt; font-family: 'Times New Roman',serif; color: #000000; background-color: transparent; font-weight: 400; font-style: normal; font-variant: normal; text-decoration: none; vertical-align: baseline; white-space: pre-wrap;"&gt; &lt;em&gt;a quo:&lt;/em&gt;&lt;/span&gt;&lt;span style="font-size: 12pt; font-family: 'Times New Roman',serif; color: #000000; background-color: transparent; font-weight: 400; font- style: normal; font-variant: normal; text-decoration: none; vertical-align: baseline; white- space: pre-wrap;"&gt; &lt;em&gt;(…) "Com efeito, o conjunto probatório produzido até então leva a um juízo de probabilidade da pretensão autoral e, em uma análise superficial, própria deste momento processual. Verifica-se que, embora haja previsão contratual da coparticipação, a forma de sua cobrança, em que cada sessão é cobrada de forma individual, levou a valores de coparticipação em montantes variáveis, conforme documentação anexada nos autos, inviabilizando o tratamento de forma continuada e por tempo indeterminado conforme necessita o requerente. Ademais, verifica-se a desproporcionalidade entre o valor da prestação mensal&amp;#160; e os valores cobrados a título de coparticipação chegam a ultrapassar o dobro do valor regular do contrato objeto desta demanda sem as coparticipação. Em recente julgamento, o Superior Tribunal de Justiça decidiu que o valor da coparticipação deve estar expresso no contrato, não podendo superar o valor da mensalidade paga pelo beneficiário ou 50% do valor contratado entre a operadora e o prestador de serviço, a fim de viabilizar a realização do tratamento (…)".&lt;/em&gt;&lt;/span&gt;&lt;/p&gt;&lt;p style="line-height: 1.7999999999999998; text- 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pre-wrap;"&gt;Colaciono ainda os seguintes precedentes desta Corte de Justiça em casos semelhantes:&lt;/span&gt;&lt;/p&gt;&lt;p style="line-height: 1.7999999999999998; margin-left: 113.38582677165354pt;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pre-wrap;"&gt;DIREITO DO CONSUMIDOR E PROCESSUAL CIVIL. AGRAVO DE INSTRUMENTO. PLANO DE SAÚDE. TRANSTORNO DO ESPECTRO AUTISTA. TRATAMENTO MULTIDISCIPLINAR. COBRANÇA DE COPARTICIPAÇÃO. CLÁUSULA ABUSIVA. LIMITAÇÃO JUDICIAL.</w:t>
            </w:r>
          </w:p>
          <w:p>
            <w:pPr>
              <w:pStyle w:val="TableParagraph"/>
              <w:spacing w:line="208" w:lineRule="auto" w:before="0"/>
              <w:ind w:right="18"/>
              <w:rPr>
                <w:sz w:val="20"/>
              </w:rPr>
            </w:pPr>
            <w:r>
              <w:rPr>
                <w:sz w:val="20"/>
              </w:rPr>
              <w:t>RECURSO DESPROVIDO. I. CASO EM EXAME Agravo de instrumento interposto por Unimed Fortaleza Sociedade Cooperativa Médica LTDA contra decisão interlocutória da 2ª Vara Cível da Comarca de Sobral, que deferiu tutela provisória de urgência para limitar a cobrança de coparticipação sobre terapias de beneficiária diagnosticada com Transtorno do Espectro Autista (TEA). A decisão impôs à operadora a obrigação de refaturar valores excedentes à proporção de duas vezes a mensalidade do plano. A recorrente alegou que </w:t>
            </w:r>
            <w:r>
              <w:rPr>
                <w:spacing w:val="-18"/>
                <w:sz w:val="20"/>
              </w:rPr>
              <w:t>a </w:t>
            </w:r>
            <w:r>
              <w:rPr>
                <w:sz w:val="20"/>
              </w:rPr>
              <w:t>cláusula de coparticipação de 30% era contratualmente válida e previamente informada. II. QUESTÃO EM DISCUSSÃO Há duas questões em discussão: (i) definir se é válida a cláusula contratual que estabelece coparticipação de 30% nas sessões terapêuticas de paciente com TEA; (ii) estabelecer se tal cobrança, ao ultrapassar múltiplas vezes o valor da mensalidade do plano, configura abuso contratual passível de intervenção judicial para fins de limitação. III. RAZÕES DE DECIDIR A relação contratual entre beneficiária e operadora de plano de saúde está sujeita às normas do Código de Defesa do Consumidor, nos termos da Súmula 608 do STJ, devendo ser interpretada de forma mais favorável ao consumidor (art. 47 do CDC). A Lei nº 12.764/2012 e a RN nº 541/2022 da ANS garantem o direito à cobertura integral e ilimitada para o tratamento multidisciplinar de pessoas diagnosticadas com TEA, tornando inexigíveis limitações que inviabilizem o acesso ao tratamento. A jurisprudência do STJ (AgInt no REsp 2085472/MT) estabelece que cláusulas de coparticipação, embora lícitas, tornam-se abusivas quando implicam em obstáculo ao tratamento de saúde necessário, sobretudo no caso de terapias essenciais e contínuas. No caso concreto, a cobrança de valores mensais superiores a quatro vezes a mensalidade do plano (R$ 1.617,00 de coparticipação para uma mensalidade de R$ 309,69) compromete de forma desproporcional o equilíbrio contratual e o direito à saúde da menor, sendo legítima a limitação judicial da coparticipação a até duas vezes o valor da mensalidade. A cláusula em questão afronta os princípios da boa-fé objetiva e da função social do contrato, atraindo a incidência do art. 51, IV, e §1º, II, do CDC, por impor desvantagem excessiva e ameaçar o objeto contratual. A jurisprudência consolidada dos tribunais reconhece que, diante de situação análoga, é cabível a intervenção judicial para evitar a inviabilização do tratamento, conforme precedentes do STJ, TJCE, TJSP, TJMT e outros. IV. DISPOSITIVO E TESE Recurso desprovido. Tese de julgamento: É abusiva a cláusula de coparticipação em plano de saúde que, embora contratualmente prevista, compromete a continuidade de tratamento multidisciplinar essencial ao paciente com Transtorno do Espectro Autista. A limitação judicial da coparticipação a até duas vezes o valor da mensalidade do plano é medida legítima para garantir o equilíbrio contratual e a efetividade do direito à saúde do consumidor. A cobrança excessiva que inviabiliza o acesso ao tratamento configura vantagem exagerada e afronta os princípios da boa-fé e da função social do contrato, nos termos do art. 51 do Código de Defesa do Consumidor.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3"/>
              <w:rPr>
                <w:sz w:val="20"/>
              </w:rPr>
            </w:pPr>
            <w:r>
              <w:rPr>
                <w:sz w:val="20"/>
              </w:rPr>
              <w:t>Dispositivos relevantes citados: CF/1988, art. 6º; CDC, arts. 6º, 39, V, 47 e 51, IV e §1º, II; Lei nº 9.656/98, art. 16, VIII; Lei nº 12.764/2012; RN-ANS nº 541/2022. Jurisprudência relevante citada: STJ, AgInt no REsp 2085472/MT, Rel. Min. Raul Araújo, j. 20/11/2023; STJ, AgInt no AREsp 2.559.559/RJ, Rel. Min. Raul Araújo, j. 19/08/2024; STJ, AgInt no AREsp 2.542.637/SP, Rel. Min. Humberto Martins, j. 12/08/2024; TJCE, AgInt 0635597- 02.2024.8.06.0000, Rel. Des. Marcos William Leite de Oliveira, j. 21/03/2025; TJMT, AI 1003426-83.2024.8.11.0000, Rel. Des. Maria Helena Gargaglione Póvoas, j. 29/05/2024; TJSP, AI 2013613-19.2024.8.26.0000, Rel. Des. Miguel Brandi, j. 26/03/2024; TJSP, AI</w:t>
            </w:r>
          </w:p>
          <w:p>
            <w:pPr>
              <w:pStyle w:val="TableParagraph"/>
              <w:spacing w:line="208" w:lineRule="auto" w:before="0"/>
              <w:ind w:right="20"/>
              <w:rPr>
                <w:sz w:val="20"/>
              </w:rPr>
            </w:pPr>
            <w:r>
              <w:rPr>
                <w:sz w:val="20"/>
              </w:rPr>
              <w:t>2326632-19.2024.8.26.0000, Rel. Des. Alexandre Marcondes, j. 10/01/2025. (Agravo de Instrumento - 0636986-22.2024.8.06.0000, Rel. Desembargador(a) EMANUEL LEITE ALBUQUERQUE,&lt;/span&gt; &lt;span style="font-size: 12pt; font-family: 'Times New Roman',serif; color: #000000; background-color: transparent; font-weight: 700; font-style: normal; font-variant: normal; text-decoration: none; vertical-align: baseline; white-space: pre-wrap;"&gt;1ª Câmara Direito Privado&lt;/span&gt;&lt;span style="font-size: 12pt; font-family: 'Times New Roman',serif; color: #000000; background-color: transparent; font-weight: 400; font-style: normal; font-variant: normal; text-decoration: none; vertical-align: baseline; white- space: pre-wrap;"&gt;, data do julgamento: 16/04/2025, data da publicação: 16/04/2025)&lt;/span&gt;&lt;/p&gt;&lt;p style="line-height: 1.7999999999999998; margin-left: 113.38582677165354pt; text-align: justify; margin-top: 12pt; margin-bottom: 12pt;" dir="ltr"&gt;&lt;span style="font-size: 12pt; font-family: 'Times New Roman',serif; color: #000000; background-color: transparent; font-weight: 400; font-style: normal; font-variant: normal; text-decoration: none; vertical-align: baseline; white-space: pre-wrap;"&gt;DIREITO DO CONSUMIDOR E PROCESSUAL CIVIL. AGRAVO DE INSTRUMENTO. PLANO DE SAÚDE. TRANSTORNO DO ESPECTRO AUTISTA. TRATAMENTO MULTIDISCIPLINAR. COBRANÇA DE COPARTICIPAÇÃO. CLÁUSULA ABUSIVA. LIMITAÇÃO JUDICIAL.</w:t>
            </w:r>
          </w:p>
          <w:p>
            <w:pPr>
              <w:pStyle w:val="TableParagraph"/>
              <w:spacing w:line="208" w:lineRule="auto" w:before="0"/>
              <w:ind w:right="18"/>
              <w:rPr>
                <w:sz w:val="20"/>
              </w:rPr>
            </w:pPr>
            <w:r>
              <w:rPr>
                <w:sz w:val="20"/>
              </w:rPr>
              <w:t>RECURSO DESPROVIDO. I. CASO EM EXAME 1. Trata-se de recurso de Agravo de Instrumento com pedido de efeito suspensivo interposto por Unimed Fortaleza Sociedade Cooperativa Médica LTDA. contra a decisão interlocutória de fls. 116/120, proferida pelo Juízo de Direito da 2ª Vara da Comarca de Trairi, que concedeu em partes a tutela de urgência requestada pelos agravados, determinando que a operadora de saúde se abstivesse de cobrar dos autores, a título de coparticipação, valores superiores ao que é pago em mensalidade, sob pena de multa no valor de R$ 2.000,00 (dois mil reais) por cada cobrança. II. QUESTÃO EM DISCUSSÃO 2. O cerne da questão está em analisar se a cobrança de coparticipação realizada pela agravante é abusiva. III. RAZÕES DE DECIDIR 3. A relação contratual entre beneficiária e operadora de plano de saúde está sujeita às normas do Código de Defesa do Consumidor, nos termos da Súmula 608 do STJ, devendo ser interpretada de forma mais favorável ao consumidor (art. 47 do CDC). 4. A Lei nº 12.764/2012 e a RN nº 541/2022 da ANS garantem o direito à cobertura integral e ilimitada para o tratamento multidisciplinar de pessoas diagnosticadas com TEA, tornando inexigíveis limitações que inviabilizem o acesso ao tratamento. A jurisprudência do STJ (AgInt no REsp 2085472/MT) estabelece que cláusulas de coparticipação, embora lícitas, tornam-se abusivas quando implicam em obstáculo ao tratamento de saúde necessário, sobretudo no caso de terapias essenciais e contínuas. 5. No caso concreto, segundo narrou o acionante, a Unimed vem realizando a cobrança do montante referente a coparticipação de forma que considera excessiva, tendo sido surpreendida com o recebimento de uma fatura no valor de R$ 3.113,67 (três mil, cento e treze reais e sessenta e sete centavos) a título de coparticipação, com vencimento em abril de 2024, comprometendo de forma desproporcional o equilíbrio contratual e o direito à saúde do menor, sendo legítima a limitação judicial da coparticipação em apenas 1 vez o valor da mensalidade. 6. A cláusula em questão afronta os princípios da boa-fé objetiva e da </w:t>
            </w:r>
            <w:r>
              <w:rPr>
                <w:spacing w:val="-3"/>
                <w:sz w:val="20"/>
              </w:rPr>
              <w:t>função </w:t>
            </w:r>
            <w:r>
              <w:rPr>
                <w:sz w:val="20"/>
              </w:rPr>
              <w:t>social do contrato, atraindo a incidência do art. 51, IV, e §1º, II, do CDC, por impor desvantagem excessiva e ameaçar o objeto contratual. 7. A jurisprudência consolidada dos tribunais reconhece que, diante de situação análoga, é cabível a intervenção judicial para evitar a inviabilização do tratamento, conforme precedentes do STJ, TJCE, TJSP, TJMT e outros. IV. DISPOSITIVO E TESE Recurso desprovido. (Agravo de Instrumento - 0634264-15.2024.8.06.0000, Rel. Desembargador(a) PAULO AIRTON ALBUQUERQUE</w:t>
            </w:r>
          </w:p>
          <w:p>
            <w:pPr>
              <w:pStyle w:val="TableParagraph"/>
              <w:spacing w:line="208" w:lineRule="auto" w:before="0"/>
              <w:ind w:right="133"/>
              <w:rPr>
                <w:sz w:val="20"/>
              </w:rPr>
            </w:pPr>
            <w:r>
              <w:rPr>
                <w:sz w:val="20"/>
              </w:rPr>
              <w:t>FILHO,&lt;/span&gt; &lt;span style="font-size: 12pt; font-family: 'Times New Roman',serif; color: #000000; background-color: transparent; font-weight: 700; font-style: normal; font-variant: normal; text-decoration: none; vertical-align: baseline; white-space: pre-wrap;"&gt;2ª Câmara Direito Privado&lt;/span&gt;&lt;span style="font-size: 12pt; font-family: 'Times New Roman',serif; color: #000000; background-color: transparent; font-weight: 400; font-style: normal; font- variant: normal; text-decoration: none; vertical-align: baseline; white-space: pre-wrap;"&gt;, data do julgamento: 11/06/2025, data da publicação: 11/06/2025).&lt;/span&gt;&lt;/p&gt;&lt;p style="line-height: 1.7999999999999998; margin-left: 113.38582677165354pt; text-align: justify; margin-top: 12pt; margin-bottom: 12pt;" dir="ltr"&gt;&lt;span style="font-size: 12pt; font- family: 'Times New Roman',serif; color: #000000; background-color: transparent; font- weight: 400; font-style: normal; font-variant: normal; text-decoration: none; vertical-align: baseline; white-space: pre-wrap;"&gt;Direito Processual Civil. Agravo de Instrumento. Ação ORDINÁRIA. PLANO DE SAÚDE. COPARTICIPAÇÃO. LIMITAÇÃO DO VALOR PAGO </w:t>
            </w:r>
            <w:r>
              <w:rPr>
                <w:spacing w:val="-18"/>
                <w:sz w:val="20"/>
              </w:rPr>
              <w:t>À </w:t>
            </w:r>
            <w:r>
              <w:rPr>
                <w:sz w:val="20"/>
              </w:rPr>
              <w:t>TÍTULO DE COPARTICIPAÇÃO. POSSIBILIDADE. NECESSIDADE DE MANUTENÇÃO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DO TRATAMENTO MÉDICO AO PACIENTE COM TEA. RECURSO PARCIALMENTE</w:t>
            </w:r>
          </w:p>
          <w:p>
            <w:pPr>
              <w:pStyle w:val="TableParagraph"/>
              <w:spacing w:line="208" w:lineRule="auto" w:before="9"/>
              <w:ind w:right="20"/>
              <w:rPr>
                <w:sz w:val="20"/>
              </w:rPr>
            </w:pPr>
            <w:r>
              <w:rPr>
                <w:sz w:val="20"/>
              </w:rPr>
              <w:t>PROVIDO. I. Caso em exame 1. Trata-se de Agravo de Instrumento contra decisão, proferida nos autos da Ação Ordinária, que indeferiu o pedido de tutela de urgência. II. Questão em discussão 2. A questão posta em análise cinge-se em verificar se estão demonstrados dos requisitos legais do art. 300 do CPC para concessão de tutela de urgência, no sentido de excluir ou reduzir o valor da coparticipação do plano de saúde </w:t>
            </w:r>
            <w:r>
              <w:rPr>
                <w:spacing w:val="-5"/>
                <w:sz w:val="20"/>
              </w:rPr>
              <w:t>para </w:t>
            </w:r>
            <w:r>
              <w:rPr>
                <w:sz w:val="20"/>
              </w:rPr>
              <w:t>paciente com transtorno do espectro autista que necessita de tratamento contínuo multidisciplinar. III. Razões de decidir 3. Como cediço, para a concessão de tutela de urgência é necessário a demonstração da probabilidade do direito alegado e o perigo de dano grave. 4. A ANS tornou obrigatória a cobertura, pela operadora de plano de saúde, de qualquer método ou técnica indicada pelo profissional de saúde responsável para o tratamento de Transtornos Globais do Desenvolvimento, entre os quais o transtorno do espectro autista, a Síndrome de Asperger e a Síndrome de Rett. A autarquia reguladora também aprovou o fim do limite de consultas e sessões com psicólogos, fonoaudiólogos, terapeutas ocupacionais e fisioterapeutas, além de ter revogado as Diretrizes de Utilização (DU) para tais tratamentos (RN-ANS nº 541/2022). 5. A cláusula de coparticipação é válida e aplicável quando prevista contratualmente desde que não inviabilize o tratamento ou imponha ônus excessivo ao beneficiário. 6. Embora seja possível a cobrança de coparticipação pelos planos de saúde, veda-se a aplicação de fatores de coparticipação que possam limitar o acesso aos serviços de saúde, considerando a sujeição das operadoras ao Código de Defesa do Consumidor, nos termos da Súmula nº 608 do Superior Tribunal de Justiça, que veda condutas abusivas. 7. De acordo com a jurisprudência do STJ "para que a coparticipação não caracterize o financiamento integral do procedimento por parte do usuário ou se torne fator restritor severo de acesso aos serviços, é possível aplicar, por analogia, o disposto no art. 19, II, "b", da RN-ANS 465/2022, para limitar a cobrança "ao máximo de cinquenta por cento do valor contratado entre a operadora de planos privados de assistência à saúde e o respectivo prestador de serviços de saúde". Com o fim de proteger a dignidade do usuário frente à incidência dos mecanismos financeiros de regulação, no que tange à exposição financeira do titular, mês a mês, é razoável fixar como parâmetro, para a cobrança da coparticipação, o valor equivalente à mensalidade paga, de modo que o desembolso mensal realizado por força do mecanismo financeiro de regulação não seja maior que o da contraprestação paga pelo beneficiário. 8. Nessa perspectiva, estão presentes os requisitos legais para a concessão parcial da tutela antecipada requerida no sentido de limitar a cobrança da coparticipação ao valor equivalente à mensalidade paga, de modo que o desembolso mensal realizado por força do mecanismo financeiro de regulação não seja maior que o da contraprestação paga pelo beneficiário. IV. Dispositivo. 9. Recurso parcialmente provido. Dispositivos relevantes citados: CPC, art. 300 e 926; Lei nº 9.656/98, art. 16, inciso VIII; Jurisprudência relevante citada: Súmula 608, STJ; Apelação Cível - 0205960-89.2023.8.06.0167, Rel.</w:t>
            </w:r>
          </w:p>
          <w:p>
            <w:pPr>
              <w:pStyle w:val="TableParagraph"/>
              <w:spacing w:line="208" w:lineRule="auto" w:before="0"/>
              <w:ind w:right="27"/>
              <w:rPr>
                <w:sz w:val="20"/>
              </w:rPr>
            </w:pPr>
            <w:r>
              <w:rPr>
                <w:sz w:val="20"/>
              </w:rPr>
              <w:t>Desembargador(a) CLEIDE ALVES DE AGUIAR, 3ª Câmara Direito Privado, data do julgamento: 26/02/2025, data da publicação: 27/02/2025; (REsp n. 2.001.108/MT, relatora Ministra Nancy Andrighi, Terceira Turma, julgado em 3/10/2023, DJe de 9/10/2023; AgInt no REsp n. 2.085.472/MT, relator Ministro Raul Araújo, Quarta Turma, julgado em 20/11/2023, DJe de 23/11/202 (Agravo de Instrumento - 0625503-92.2024.8.06.0000, Rel. Desembargador(a) RAIMUNDO NONATO SILVA SANTOS,&lt;/span&gt; &lt;span style="font-size: 12pt; font-family: 'Times New Roman',serif; color: #000000; background-color: transparent; font-weight: 700; font-style: normal; font-variant: normal; text-decoration: none; vertical- align: baseline; white-space: pre-wrap;"&gt;3ª Câmara Direito Privado&lt;/span&gt;&lt;span style="font-size: 12pt; font-family: 'Times New Roman',serif; color: #000000; background- color: transparent; font-weight: 400; font-style: normal; font-variant: normal; text-decoration: none; vertical-align: baseline; white-space: pre-wrap;"&gt;, data do julgamento: 12/03/2025, data da publicação: 12/03/2025).&lt;/span&gt;&lt;/p&gt;&lt;p style="line-height: 1.7999999999999998; text-indent: 70.86614173228347pt; text-align: justify; margin-top: 12pt; margin-bottom: 12pt;" dir="ltr"&gt;&lt;span style="font-size: 12pt; font-family: 'Times New Roman',serif; color: #000000; background-color: transparent; font-weight: 400; font-style: normal; font-variant: normal; text-decoration: none; vertical-align: baseline; white-space: pre-wrap;"&gt;Presentes os requisitos legais para a concessão da tutela de urgência em favor da parte vulnerável da relação jurídica, a decisão&lt;/span&gt; &lt;span style="font-size: 12pt; font-family: 'Times New Roman',serif; color: #000000; background-color: transparent; font-weight: 400; font-style: normal; font-variant: normal; text-decoration: none; vertical-align: baseline; white-space: pre-wrap;"&gt; &lt;em&gt;a quo&lt;/em&gt;&lt;/span&gt; &lt;span style="font-size: 12pt; font-family: 'Times New Roman',serif; color: #000000; background-color: transparent; font-weight: 400; font- style: normal; font-variant: normal; text-decoration: none; vertical-align: baseline; white- space: pre-wrap;"&gt;deve ser mantida.&lt;/span&gt;&lt;/p&gt;&lt;p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pre-wrap;"&gt;Por último, sendo a parte autora beneficiária da justiça gratuita, desnecessária a prestação de caução, nos termos do §1º do artigo 300 do CPC/2015.&lt;/span&gt;&lt;/p&gt;&lt;p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3001786-15.2025.8.06.0000</w:t>
            </w:r>
          </w:p>
        </w:tc>
      </w:tr>
      <w:tr>
        <w:trPr>
          <w:trHeight w:val="6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29" w:val="left" w:leader="none"/>
              </w:tabs>
              <w:spacing w:line="208" w:lineRule="auto" w:before="26"/>
              <w:ind w:right="31"/>
              <w:rPr>
                <w:sz w:val="20"/>
              </w:rPr>
            </w:pPr>
            <w:r>
              <w:rPr>
                <w:sz w:val="20"/>
              </w:rPr>
              <w:t>style="line-height: 1.7999999999999998; text-indent: 70.86614173228347pt; text-align: justify; margin-top: 12pt; margin-bottom: 12pt;" dir="ltr"&gt; &lt;span style="font-size: 12pt; font- family: &amp;quot;Times New Roman&amp;quot;, serif; color: #000000; background-color: transparent; font-style: normal; font-variant: normal; text-decoration: none; vertical-align: baseline; white-space: pre-wrap;"&gt;</w:t>
              <w:tab/>
              <w:t>&lt;strong&gt;DISPOSITIVO&lt;/strong&gt; &lt;/span&gt;&lt;/p&gt;&lt;p style="line-height: 1.7999999999999998; text-indent: 70.86614173228347pt; text-align: justify; margin-top: 12pt; margin-bottom: 12pt;" dir="ltr"&gt; &lt;span style="font-size: 12pt; font- family: 'Times New Roman',serif; color: #000000; background-color: transparent; font- weight: 400; font-style: normal; font-variant: normal; text-decoration: none; vertical-align: baseline; white-space: pre-wrap;"&gt;</w:t>
              <w:tab/>
              <w:t>&lt;strong&gt;Ante o exposto e fundamentado, CONHEÇO o Recurso de Agravo de Instrumento para NEGAR-LHE provimento, em conformidade </w:t>
            </w:r>
            <w:r>
              <w:rPr>
                <w:spacing w:val="-6"/>
                <w:sz w:val="20"/>
              </w:rPr>
              <w:t>com</w:t>
            </w:r>
          </w:p>
          <w:p>
            <w:pPr>
              <w:pStyle w:val="TableParagraph"/>
              <w:spacing w:line="208" w:lineRule="auto" w:before="0"/>
              <w:ind w:right="357"/>
              <w:rPr>
                <w:sz w:val="20"/>
              </w:rPr>
            </w:pPr>
            <w:r>
              <w:rPr>
                <w:sz w:val="20"/>
              </w:rPr>
              <w:t>o parecer da Procuradoria Geral de Justiça e em consequência, revogo a decisão de id 18383296 e confirmo o que restou decidido no primeiro grau de jurisdição.&lt;/strong&gt;</w:t>
            </w:r>
          </w:p>
          <w:p>
            <w:pPr>
              <w:pStyle w:val="TableParagraph"/>
              <w:spacing w:line="208" w:lineRule="auto" w:before="0"/>
              <w:ind w:right="149"/>
              <w:rPr>
                <w:sz w:val="20"/>
              </w:rPr>
            </w:pPr>
            <w:r>
              <w:rPr>
                <w:sz w:val="20"/>
              </w:rPr>
              <w:t>&lt;/span&gt;&lt;/p&gt;&lt;p style="line-height: 1.7999999999999998; text-indent: 70.86614173228347pt; text-align: justify; margin-top: 12pt; margin-bottom: 12pt;"</w:t>
            </w:r>
            <w:r>
              <w:rPr>
                <w:spacing w:val="-17"/>
                <w:sz w:val="20"/>
              </w:rPr>
              <w:t> </w:t>
            </w:r>
            <w:r>
              <w:rPr>
                <w:sz w:val="20"/>
              </w:rPr>
              <w:t>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70.86614173228347pt; text-align: justify; margin-top: 12pt; margin-bottom: 12pt;"</w:t>
            </w:r>
            <w:r>
              <w:rPr>
                <w:spacing w:val="-17"/>
                <w:sz w:val="20"/>
              </w:rPr>
              <w:t> </w:t>
            </w:r>
            <w:r>
              <w:rPr>
                <w:sz w:val="20"/>
              </w:rPr>
              <w:t>dir="ltr"&gt;</w:t>
            </w:r>
          </w:p>
          <w:p>
            <w:pPr>
              <w:pStyle w:val="TableParagraph"/>
              <w:tabs>
                <w:tab w:pos="1327" w:val="left" w:leader="none"/>
                <w:tab w:pos="5232" w:val="left" w:leader="none"/>
                <w:tab w:pos="7522" w:val="left" w:leader="none"/>
              </w:tabs>
              <w:spacing w:line="208" w:lineRule="auto" w:before="0"/>
              <w:ind w:right="107"/>
              <w:rPr>
                <w:sz w:val="20"/>
              </w:rPr>
            </w:pPr>
            <w:r>
              <w:rPr>
                <w:sz w:val="20"/>
              </w:rPr>
              <w:t>&lt;span style="font-family: &amp;quot;times new roman&amp;quot;, times; font-size: medium; text- indent: 8%;"&gt;Fortaleza/CE, data registrada no sistema.&lt;/span&gt;&lt;/p&gt;&lt;p style="text-indent: 8%; text-align: justify;"&gt;  &lt;span style="font-size: small;"&gt;</w:t>
              <w:tab/>
              <w:t>&lt;span style="font-size: medium;"&gt;</w:t>
              <w:tab/>
              <w:t>&lt;span style="font-family: &amp;quot;times new roman&amp;quot;, times;"&gt;</w:t>
              <w:tab/>
              <w:t>&lt;br</w:t>
            </w:r>
            <w:r>
              <w:rPr>
                <w:spacing w:val="1"/>
                <w:sz w:val="20"/>
              </w:rPr>
              <w:t> </w:t>
            </w:r>
            <w:r>
              <w:rPr>
                <w:spacing w:val="-9"/>
                <w:sz w:val="20"/>
              </w:rPr>
              <w:t>/&gt;</w:t>
            </w:r>
          </w:p>
          <w:p>
            <w:pPr>
              <w:pStyle w:val="TableParagraph"/>
              <w:tabs>
                <w:tab w:pos="985" w:val="left" w:leader="none"/>
                <w:tab w:pos="2682" w:val="left" w:leader="none"/>
                <w:tab w:pos="3995" w:val="left" w:leader="none"/>
                <w:tab w:pos="4963" w:val="left" w:leader="none"/>
                <w:tab w:pos="5920" w:val="left" w:leader="none"/>
              </w:tabs>
              <w:spacing w:line="208" w:lineRule="auto" w:before="0"/>
              <w:ind w:right="49"/>
              <w:rPr>
                <w:sz w:val="20"/>
              </w:rPr>
            </w:pPr>
            <w:r>
              <w:rPr>
                <w:sz w:val="20"/>
              </w:rPr>
              <w:t>&lt;/span&gt;</w:t>
              <w:tab/>
              <w:t>&lt;/span&gt; &lt;/span&gt;&lt;/p&gt;&lt;p style="text-indent: 8%; text-align: center;"&gt; &lt;span style="font-size: medium;"&gt;</w:t>
              <w:tab/>
              <w:t>&lt;strong style="font-size: small;"&gt;</w:t>
              <w:tab/>
              <w:t>&lt;span style="font-family: &amp;quot;times new roman&amp;quot;, times;"&gt;</w:t>
              <w:tab/>
              <w:t>&lt;br /&gt;</w:t>
              <w:tab/>
              <w:t>&lt;span style="font-size: 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Honorários Periciais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MERCADO BITCOIN SERVICOS DIGITAIS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CELSO DE FARIA MONTEIRO - (SP138436-A)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MANOEL VIEIRA CORREIA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PABLO JORGE AGUIAR DO REGO - (CE31293-A)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&lt;strong&gt;PROCESSO&lt;/strong&gt;:&amp;#160;3007385-32.2025.8.06.0000 -&amp;#160;AGRAVO DE</w:t>
            </w:r>
          </w:p>
          <w:p>
            <w:pPr>
              <w:pStyle w:val="TableParagraph"/>
              <w:tabs>
                <w:tab w:pos="972" w:val="left" w:leader="none"/>
                <w:tab w:pos="7446" w:val="left" w:leader="none"/>
              </w:tabs>
              <w:spacing w:line="208" w:lineRule="auto" w:before="8"/>
              <w:ind w:right="150"/>
              <w:rPr>
                <w:sz w:val="20"/>
              </w:rPr>
            </w:pPr>
            <w:r>
              <w:rPr>
                <w:sz w:val="20"/>
              </w:rPr>
              <w:t>INSTRUMENTO (202)&lt;/span&gt;  &lt;/span&gt;&lt;/p&gt;&lt;p&gt;  &lt;span style="font-size: small;"&gt;</w:t>
              <w:tab/>
            </w:r>
            <w:r>
              <w:rPr>
                <w:spacing w:val="-3"/>
                <w:sz w:val="20"/>
              </w:rPr>
              <w:t>&lt;span </w:t>
            </w:r>
            <w:r>
              <w:rPr>
                <w:sz w:val="20"/>
              </w:rPr>
              <w:t>style="font-family: &amp;quot;times new roman&amp;quot;, times;"&gt;AGRAVANTE: MERCADO BITCOIN SERVICOS DIGITAIS LTDA.&lt;/span&gt; &lt;/span&gt;&lt;/p&gt;&lt;p&gt; &lt;span style="font-size: small;"&gt;</w:t>
              <w:tab/>
              <w:t>&lt;span style="font-family: &amp;quot;times new roman&amp;quot;, times;"&gt;AGRAVADO: MANOEL VIEIRA CORREIA&lt;/span&gt;  &lt;/span&gt;&lt;/p&gt;&lt;p&gt;  &lt;span style="font-size:</w:t>
            </w:r>
            <w:r>
              <w:rPr>
                <w:spacing w:val="-18"/>
                <w:sz w:val="20"/>
              </w:rPr>
              <w:t> </w:t>
            </w:r>
            <w:r>
              <w:rPr>
                <w:sz w:val="20"/>
              </w:rPr>
              <w:t>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tabs>
                <w:tab w:pos="939" w:val="left" w:leader="none"/>
              </w:tabs>
              <w:spacing w:line="208" w:lineRule="auto" w:before="9"/>
              <w:ind w:right="31"/>
              <w:rPr>
                <w:sz w:val="20"/>
              </w:rPr>
            </w:pPr>
            <w:r>
              <w:rPr>
                <w:sz w:val="20"/>
              </w:rPr>
              <w:t>&lt;/span&gt;&lt;/p&gt;&lt;p style="line-height: 1.8; text-align: justify; margin-top: 12pt; margin-bottom: 12pt; padding-left: 150px;" dir="ltr"&gt; &lt;span style="font-size: 12pt; font-family: &amp;quot;Times New Roman&amp;quot;, serif; color: #303030; background-color: transparent; font-style: </w:t>
            </w:r>
            <w:r>
              <w:rPr>
                <w:spacing w:val="-3"/>
                <w:sz w:val="20"/>
              </w:rPr>
              <w:t>normal; </w:t>
            </w:r>
            <w:r>
              <w:rPr>
                <w:sz w:val="20"/>
              </w:rPr>
              <w:t>font-variant: normal; text-decoration: none; vertical-align: baseline; white-space: pre- wrap;"&gt;</w:t>
              <w:tab/>
              <w:t>&lt;strong&gt;Direito Processual Civil. Agravo de Instrumento. Ação de Indenização. Custeio de perícia técnica. Prova requerida pela empresa promovida. Inteligência do artigo 95 do CPC/2015. Decisão confirmada. Recurso conhecido e desprovido.&lt;/strong&gt;</w:t>
            </w:r>
          </w:p>
          <w:p>
            <w:pPr>
              <w:pStyle w:val="TableParagraph"/>
              <w:tabs>
                <w:tab w:pos="939" w:val="left" w:leader="none"/>
                <w:tab w:pos="3862" w:val="left" w:leader="none"/>
              </w:tabs>
              <w:spacing w:line="208" w:lineRule="auto" w:before="0"/>
              <w:ind w:right="27"/>
              <w:rPr>
                <w:sz w:val="20"/>
              </w:rPr>
            </w:pPr>
            <w:r>
              <w:rPr>
                <w:sz w:val="20"/>
              </w:rPr>
              <w:t>&lt;/span&gt;&lt;/p&gt;&lt;p style="line-height: 1.8; text-align: justify; margin-top: 12pt; margin-bottom: 12pt; padding-left: 150px;" dir="ltr"&gt; &lt;span style="font-size: 12pt; font-family: &amp;quot;Times New Roman&amp;quot;, serif; color: #1a202c; background-color: transparent; font-style: normal; font-variant: normal; text-decoration: none; vertical-align: baseline; white-space: pre- wrap;"&gt;</w:t>
              <w:tab/>
              <w:t>&lt;strong&gt;I. Caso em exame&lt;/strong&gt; &lt;/span&gt;&lt;/p&gt;&lt;p style="line-height: 1.8; </w:t>
            </w:r>
            <w:r>
              <w:rPr>
                <w:spacing w:val="-4"/>
                <w:sz w:val="20"/>
              </w:rPr>
              <w:t>text- </w:t>
            </w:r>
            <w:r>
              <w:rPr>
                <w:sz w:val="20"/>
              </w:rPr>
              <w:t>align: justify; margin-top: 12pt; margin-bottom: 12pt; padding-left: 150px;" dir="ltr"&gt;&lt;span style="font-size: 12pt; font-family: 'Times New Roman',serif; color: #1a202c; background- color: transparent; font-weight: 400; font-style: normal; font-variant: normal; text-decoration: none; vertical-align: baseline; white-space: pre-wrap;"&gt;1. Agravo de Instrumento interposto por Mercado Bitcoin Serviços Digitais Ltda. contra decisão interlocutória&lt;/span&gt; &lt;span style="color: #1a202c; font-family: &amp;quot;Times New Roman&amp;quot;, serif; font-size: 16px; white-space-collapse: preserve;"&gt;em ação de indenização por danos materiais e morais,&lt;/span&gt; &lt;span style="background-color: transparent; color: #1a202c; font-family: &amp;quot;Times New Roman&amp;quot;, serif; font-size: 12pt; white-space-collapse: preserve;"&gt;que determinou a realização de perícia técnica e atribuiu o ônus financeiro exclusivamente à agravante, .&lt;/span&gt;&lt;/p&gt;&lt;p style="line-height: 1.8; text-align: justify; margin-top: 12pt; margin-bottom: 12pt; padding-left: 150px;" dir="ltr"&gt; &lt;span style="font- size: 12pt; font-family: &amp;quot;Times New Roman&amp;quot;, serif; color: #1a202c; background- color: transparent; font-style: normal; font-variant: normal; text-decoration: none; vertical- align: baseline; white-space: pre-wrap;"&gt;</w:t>
              <w:tab/>
              <w:t>&lt;strong&gt;II. Questão em discussão&lt;/strong&gt;</w:t>
            </w:r>
          </w:p>
          <w:p>
            <w:pPr>
              <w:pStyle w:val="TableParagraph"/>
              <w:spacing w:line="208" w:lineRule="auto" w:before="0"/>
              <w:ind w:right="209"/>
              <w:rPr>
                <w:sz w:val="20"/>
              </w:rPr>
            </w:pPr>
            <w:r>
              <w:rPr>
                <w:sz w:val="20"/>
              </w:rPr>
              <w:t>&lt;/span&gt;&lt;/p&gt;&lt;p style="line-height: 1.8; text-align: justify; margin-top: 12pt; margin-bottom: 12pt; padding-left: 150px;" dir="ltr"&gt; &lt;span style="font-size: 12pt; font-family: 'Times New Roman',serif; color: #1a202c; background-color: transparent; font-weight: 400; font-style: normal; font-variant: normal; text-decoration: none; vertical-align: baseline; white-space: pre-wrap;"&gt;2. Consiste em determinar se o custeio da perícia técnica deve ser atribuído integralmente à fornecedora na hipótese de inversão do ônus da prova em favor do consumidor hipossuficiente.&lt;/span&gt;&lt;/p&gt;&lt;p style="line-height: 1.8; text-align: justify;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862" w:val="left" w:leader="none"/>
              </w:tabs>
              <w:spacing w:line="208" w:lineRule="auto" w:before="26"/>
              <w:ind w:right="120"/>
              <w:rPr>
                <w:sz w:val="20"/>
              </w:rPr>
            </w:pPr>
            <w:r>
              <w:rPr>
                <w:sz w:val="20"/>
              </w:rPr>
              <w:t>margin-top: 12pt; margin-bottom: 12pt; padding-left: 150px;" dir="ltr"&gt; &lt;span style="font- size: 12pt; font-family: &amp;quot;Times New Roman&amp;quot;, serif; color: #1a202c; background- color: transparent; font-style: normal; font-variant: normal; text-decoration: none; vertical- align: baseline; white-space: pre-wrap;"&gt;</w:t>
              <w:tab/>
              <w:t>&lt;strong&gt;III. Razões de decidir&lt;/strong&gt;</w:t>
            </w:r>
          </w:p>
          <w:p>
            <w:pPr>
              <w:pStyle w:val="TableParagraph"/>
              <w:tabs>
                <w:tab w:pos="1939" w:val="left" w:leader="none"/>
              </w:tabs>
              <w:spacing w:line="208" w:lineRule="auto" w:before="0"/>
              <w:ind w:right="53"/>
              <w:rPr>
                <w:sz w:val="20"/>
              </w:rPr>
            </w:pPr>
            <w:r>
              <w:rPr>
                <w:sz w:val="20"/>
              </w:rPr>
              <w:t>&lt;/span&gt;&lt;/p&gt;&lt;p style="line-height: 1.8; text-align: justify; margin-top: 12pt; margin-bottom: 12pt; padding-left: 150px;" dir="ltr"&gt; &lt;span style="font-size: 12pt; font-family: 'Times New Roman',serif; color: #1a202c; background-color: transparent; font-weight: 400; font-style: normal; font-variant: normal; text-decoration: none; vertical-align: baseline; white-space: pre-wrap;"&gt;4. A decisão de origem considerou a inversão do ônus da prova em conjunto com a falta de interesse do autor em custear a prova, uma vez que este não reiterou o pedido após o despacho de especificação de provas, configurando preclusão/renúncia presumida.&lt;/span&gt;&lt;/p&gt;&lt;p style="line-height: 1.8; text-align: justify; margin-top: 12pt; margin-bottom: 12pt; padding-left: 150px;" dir="ltr"&gt; &lt;span style="font-size: 12pt; font- family: 'Times New Roman',serif; color: #1a202c; background-color: transparent; font- weight: 400; font-style: normal; font-variant: normal; text-decoration: none; vertical-align: baseline; white-space: pre-wrap;"&gt;5. O artigo 95 do CPC/2015 estabelece que a remuneração do perito deverá ser adiantada pela parte que requereu a prova técnica.&lt;/span&gt;&lt;/p&gt;&lt;p style="line-height: 1.8; text-align: justify; margin-top: 12pt; margin- bottom: 12pt; padding-left: 150px;" dir="ltr"&gt; &lt;span style="font-size: 12pt; font-family: &amp;quot;Times New Roman&amp;quot;, serif; color: #1a202c; background-color: transparent; </w:t>
            </w:r>
            <w:r>
              <w:rPr>
                <w:spacing w:val="-4"/>
                <w:sz w:val="20"/>
              </w:rPr>
              <w:t>font- </w:t>
            </w:r>
            <w:r>
              <w:rPr>
                <w:sz w:val="20"/>
              </w:rPr>
              <w:t>style: normal; font-variant: normal; text-decoration: none; vertical-align: baseline; white- space: pre-wrap;"&gt;</w:t>
              <w:tab/>
              <w:t>&lt;strong&gt;IV. Dispositivo&lt;/strong&gt; &lt;/span&gt;&lt;/p&gt;&lt;p style="line-height: 1.8; text-align: justify; margin-top: 12pt; margin-bottom: 12pt; padding-left: 150px;" dir="ltr"&gt;</w:t>
            </w:r>
          </w:p>
          <w:p>
            <w:pPr>
              <w:pStyle w:val="TableParagraph"/>
              <w:tabs>
                <w:tab w:pos="6164" w:val="left" w:leader="none"/>
              </w:tabs>
              <w:spacing w:line="208" w:lineRule="auto" w:before="0"/>
              <w:ind w:right="36"/>
              <w:rPr>
                <w:sz w:val="20"/>
              </w:rPr>
            </w:pPr>
            <w:r>
              <w:rPr>
                <w:sz w:val="20"/>
              </w:rPr>
              <w:t>&lt;span style="font-size: 12pt; font-family: &amp;quot;Times New Roman&amp;quot;, serif; color: #1a202c; background-color: transparent; font-style: normal; font-variant: normal; text- decoration: none; vertical-align: baseline; white-space: pre-wrap;"&gt;</w:t>
              <w:tab/>
              <w:t>&lt;strong&gt;6. Decisão confirmada. Recurso conhecido e não provido.&lt;/strong&gt; &lt;/span&gt;&lt;/p&gt;&lt;p style="line-height: 1.8; text-align: justify; margin-top: 12pt; margin-bottom: 12pt; padding-left: 150px;" dir="ltr"&gt;</w:t>
            </w:r>
          </w:p>
          <w:p>
            <w:pPr>
              <w:pStyle w:val="TableParagraph"/>
              <w:spacing w:line="208" w:lineRule="auto" w:before="0"/>
              <w:ind w:right="375"/>
              <w:rPr>
                <w:sz w:val="20"/>
              </w:rPr>
            </w:pPr>
            <w:r>
              <w:rPr>
                <w:sz w:val="20"/>
              </w:rPr>
              <w:t>&lt;span style="font-size: 12pt; font-family: 'Times New Roman',serif; color: #1a202c; background-color: transparent; font-weight: 400; font-style: normal; font-variant: normal; text-decoration: none; vertical-align: baseline; white-space: pre-wrap;"&gt;&amp;#160;&lt;/span&gt;</w:t>
            </w:r>
          </w:p>
          <w:p>
            <w:pPr>
              <w:pStyle w:val="TableParagraph"/>
              <w:tabs>
                <w:tab w:pos="2682" w:val="left" w:leader="none"/>
                <w:tab w:pos="3805" w:val="left" w:leader="none"/>
                <w:tab w:pos="6012" w:val="left" w:leader="none"/>
                <w:tab w:pos="6251" w:val="left" w:leader="none"/>
                <w:tab w:pos="6307" w:val="left" w:leader="none"/>
                <w:tab w:pos="6592" w:val="left" w:leader="none"/>
              </w:tabs>
              <w:spacing w:line="208" w:lineRule="auto" w:before="0"/>
              <w:ind w:right="124"/>
              <w:rPr>
                <w:sz w:val="20"/>
              </w:rPr>
            </w:pPr>
            <w:r>
              <w:rPr>
                <w:sz w:val="20"/>
              </w:rPr>
              <w:t>&lt;span style="font-family: &amp;quot;times new roman&amp;quot;, times;"&gt;</w:t>
              <w:tab/>
              <w:t>&lt;span style="font-size: medium;"&gt;ACÓRDÃO:&amp;#160;&lt;/span&gt; &lt;/span&gt; &lt;span style="background-color: transparent; font-family: &amp;quot;Times New Roman&amp;quot;, serif; font-size: 12pt; white- space-collapse: preserve;"&gt;Vistos, relatados e discutidos estes autos, acorda a Quinta Câmara de Direito Privado do Tribunal de Justiça do Estado do Ceará, por unanimidade, em CONHECER do Recurso para NEGAR-LHE PROVIMENTO, nos termos do voto do Desembargador Relator.&lt;/span&gt;&lt;/p&gt;&lt;p style="line-height: 115%; margin-bottom: 0.21cm; padding-left: 150px;" align="justify"&gt;  &lt;span style="font-size: medium;"&gt;</w:t>
              <w:tab/>
              <w:t>&lt;span style="font-family: &amp;quot;times new roman&amp;quot;, times;"&gt;F&lt;/span&gt;</w:t>
              <w:tab/>
              <w:t>&lt;span style="font- family: &amp;quot;times new roman&amp;quot;, times;"&gt;ortaleza, data registrada no sistema.&lt;/span&gt; &lt;/span&gt; &lt;span style="font-family: &amp;quot;times new roman&amp;quot;, times; font-size: medium; text-align: start;"&gt;&amp;#160;&lt;/span&gt;&lt;/p&gt;&lt;p&gt;&amp;#160;&lt;/p&gt;&lt;p style="line- height: 100%; orphans: 0; widows: 0; margin-bottom: 0.21cm;" align="center"&gt; &lt;span style="font-size: medium;"&gt;</w:t>
              <w:tab/>
              <w:t>&lt;strong&gt;</w:t>
              <w:tab/>
              <w:t>&lt;span style="font-family: &amp;quot;times new roman&amp;quot;, times;"&gt;MARIA REGINA OLIVEIRA CÂMARA&lt;/span&gt;</w:t>
              <w:tab/>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times;"&gt;Desembargadora Presidente do Órgão Julgador&lt;/span&gt;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6883" w:val="left" w:leader="none"/>
              </w:tabs>
              <w:spacing w:line="190" w:lineRule="exact" w:before="0"/>
              <w:rPr>
                <w:sz w:val="20"/>
              </w:rPr>
            </w:pPr>
            <w:r>
              <w:rPr>
                <w:sz w:val="20"/>
              </w:rPr>
              <w:t>&lt;/span&gt;&lt;/p&gt;&lt;p style="text-align: center;"&gt;  &lt;span style="font-size: small;"&gt;</w:t>
              <w:tab/>
              <w:t>&lt;strong&gt;</w:t>
            </w:r>
          </w:p>
          <w:p>
            <w:pPr>
              <w:pStyle w:val="TableParagraph"/>
              <w:tabs>
                <w:tab w:pos="3511" w:val="left" w:leader="none"/>
                <w:tab w:pos="4229" w:val="left" w:leader="none"/>
                <w:tab w:pos="5174" w:val="left" w:leader="none"/>
              </w:tabs>
              <w:spacing w:line="208" w:lineRule="auto" w:before="5"/>
              <w:ind w:right="272"/>
              <w:rPr>
                <w:sz w:val="20"/>
              </w:rPr>
            </w:pPr>
            <w:r>
              <w:rPr>
                <w:sz w:val="20"/>
              </w:rPr>
              <w:t>&lt;span style="font-size: medium;"&gt;</w:t>
              <w:tab/>
              <w:t>&lt;span style="font-family: &amp;quot;times new roman&amp;quot;, times;"&gt;RELATÓRIO&lt;/span&gt;</w:t>
              <w:tab/>
              <w:t>&lt;/span&gt;</w:t>
              <w:tab/>
              <w:t>&lt;/strong&gt; &lt;/span&gt;&lt;/p&gt;&lt;p style="line-height: 1.7999999999999998; text-indent: 70.86614173228347pt; text-align: justify; margin-top: 12pt; margin-bottom: 0pt;" dir="ltr"&gt;&lt;span style="font-size: 12pt; font- family: 'Times New Roman',serif; color: #000000; background-color: transparent; font- weight: 400; font-style: normal; font-variant: normal; text-decoration: none; vertical-align: baseline; white-space: pre-wrap;"&gt;Trata-se de&lt;/span&gt; &lt;span style="font-size: 12pt; </w:t>
            </w:r>
            <w:r>
              <w:rPr>
                <w:spacing w:val="-4"/>
                <w:sz w:val="20"/>
              </w:rPr>
              <w:t>font- </w:t>
            </w:r>
            <w:r>
              <w:rPr>
                <w:sz w:val="20"/>
              </w:rPr>
              <w:t>family: 'Times New Roman',serif; color: #000000; background-color: transparent; font- weight: 400; font-style: normal; font-variant: normal; text-decoration: none; vertical-align: baseline; white-space: pre-wrap;"&gt; &lt;strong&gt;Agravo de Instrumento&lt;/strong&gt;&lt;/span&gt;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8"/>
              <w:rPr>
                <w:sz w:val="20"/>
              </w:rPr>
            </w:pPr>
            <w:r>
              <w:rPr>
                <w:sz w:val="20"/>
              </w:rPr>
              <w:t>&lt;span style="font-size: 12pt; font-family: 'Times New Roman',serif; color: #000000; background-color: transparent; font-weight: 400; font-style: normal; font-variant: normal; text-decoration: none; vertical-align: baseline; white-space: pre-wrap;"&gt;interposto por&lt;/span&gt; &lt;span style="font-size: 12pt; font-family: 'Times New Roman',serif; color: #000000; background-color: transparent; font-weight: 400; font-style: normal; </w:t>
            </w:r>
            <w:r>
              <w:rPr>
                <w:spacing w:val="-2"/>
                <w:sz w:val="20"/>
              </w:rPr>
              <w:t>font-variant: </w:t>
            </w:r>
            <w:r>
              <w:rPr>
                <w:sz w:val="20"/>
              </w:rPr>
              <w:t>normal; text-decoration: none; vertical-align: baseline; white-space: pre-wrap;"&gt;</w:t>
            </w:r>
          </w:p>
          <w:p>
            <w:pPr>
              <w:pStyle w:val="TableParagraph"/>
              <w:spacing w:line="208" w:lineRule="auto" w:before="0"/>
              <w:ind w:right="53"/>
              <w:rPr>
                <w:sz w:val="20"/>
              </w:rPr>
            </w:pPr>
            <w:r>
              <w:rPr>
                <w:sz w:val="20"/>
              </w:rPr>
              <w:t>&lt;strong&gt;MERCADO BITCOIN SERVIÇOS DIGITAIS LTDA&lt;/strong&gt;&lt;/span&gt; &lt;span style="font-size: 12pt; font-family: 'Times New Roman',serif; color: #000000; background- color: transparent; font-weight: 400; font-style: normal; font-variant: normal; text-decoration: none; vertical-align: baseline; white-space: pre-wrap;"&gt;contra decisão proferida pelo&lt;/span&gt; &lt;span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53"/>
              <w:rPr>
                <w:sz w:val="20"/>
              </w:rPr>
            </w:pPr>
            <w:r>
              <w:rPr>
                <w:sz w:val="20"/>
              </w:rPr>
              <w:t>&lt;strong&gt;Juízo da 25ª Vara Cível da Comarca de Fortaleza,&lt;/strong&gt;&lt;/span&gt; &lt;span style="font-size: 12pt; font-family: 'Times New Roman',serif; color: #000000; background- color: transparent; font-weight: 400; font-style: normal; font-variant: normal; text-decoration: none; vertical-align: baseline; white-space: pre-wrap;"&gt;nos autos do&lt;/span&gt;&lt;span style="font-size: 12pt; font-family: 'Times New Roman',serif; color: #000000; background- color: transparent; font-weight: 400; font-style: normal; font-variant: normal; text-decoration: none; vertical-align: baseline; white-space: pre-wrap;"&gt; &lt;strong&gt;processo de origem 0174342-81.2019.8.06.0001 - AÇÃO INDENIZATÓRIA POR DANOS MATERIAIS E</w:t>
            </w:r>
          </w:p>
          <w:p>
            <w:pPr>
              <w:pStyle w:val="TableParagraph"/>
              <w:tabs>
                <w:tab w:pos="2651" w:val="left" w:leader="none"/>
                <w:tab w:pos="3421" w:val="left" w:leader="none"/>
                <w:tab w:pos="4229" w:val="left" w:leader="none"/>
                <w:tab w:pos="6368" w:val="left" w:leader="none"/>
              </w:tabs>
              <w:spacing w:line="208" w:lineRule="auto" w:before="0"/>
              <w:ind w:right="20"/>
              <w:rPr>
                <w:sz w:val="20"/>
              </w:rPr>
            </w:pPr>
            <w:r>
              <w:rPr>
                <w:sz w:val="20"/>
              </w:rPr>
              <w:t>MORAIS&lt;/strong&gt;&lt;/span&gt; &lt;span style="font-size: 12pt; font-family: 'Times New Roman',serif; color: #000000; background-color: transparent; font-weight: 400; font-style: normal; font-variant: normal; text-decoration: none; vertical-align: baseline; white-space: pre-wrap;"&gt;interposta por&lt;/span&gt;&lt;span style="font-size: 12pt; font-family: 'Times New Roman',serif; color: #000000; background-color: transparent; font-weight: 400; font-style: normal; font-variant: normal; text-decoration: none; vertical-align: baseline; white-space: pre-wrap;"&gt; &lt;strong&gt;MANOEL VIEIRA CORREIA&lt;/strong&gt;&lt;/span&gt;&lt;span style="font-size: 12pt; font-family: 'Times New Roman',serif; color: #000000; background-color: transparent; font-weight: 400; font-style: normal; font-variant: normal; text-decoration: none; vertical- align: baseline; white-space: pre-wrap;"&gt;, nos termos abaixo:&lt;/span&gt;&lt;/p&gt;&lt;p style="line- height: 1.8; text-indent: 70.8661pt; text-align: justify; margin-top: 12pt; margin-bottom: 0pt; padding-left: 90px;" dir="ltr"&gt;  &lt;em&gt;</w:t>
              <w:tab/>
              <w:t>&lt;span style="font-size: 12pt; font-family: 'Times New Roman',serif; color: #000000; background-color: transparent; font-weight: 400; font-style: normal; font-variant: normal; text-decoration: none; vertical-align: baseline; white-space: pre-wrap;"&gt;&amp;#160;&lt;/span&gt;</w:t>
              <w:tab/>
              <w:t>&lt;span style="text-indent: 70.8661pt;"&gt;</w:t>
              <w:tab/>
              <w:t>&lt;span style="font- size: 11pt; font-family: Arial,sans-serif; color: #000000; background-color: transparent; font- weight: 400; font-style: normal; font-variant: normal; text-decoration: none; vertical-align: baseline; white-space: pre-wrap;"&gt;“&lt;/span&gt;</w:t>
              <w:tab/>
              <w: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O ônus da realização da prova fica atribuído à parte demandada, vez que esta quem requereu a perícia, às fls. 131/137, e, ainda, com fundamento no art.</w:t>
            </w:r>
          </w:p>
          <w:p>
            <w:pPr>
              <w:pStyle w:val="TableParagraph"/>
              <w:tabs>
                <w:tab w:pos="6465" w:val="left" w:leader="none"/>
              </w:tabs>
              <w:spacing w:line="208" w:lineRule="auto" w:before="0"/>
              <w:ind w:right="86"/>
              <w:rPr>
                <w:sz w:val="20"/>
              </w:rPr>
            </w:pPr>
            <w:r>
              <w:rPr>
                <w:sz w:val="20"/>
              </w:rPr>
              <w:t>6.º, inciso VIII, do CDC, considerando que o fato em questão está afeto a direito de consumidor. Além do mais, a parte autora é hipossuficiente financeira, sem aparente condições de pagar os honorários periciais, sendo perfeitamente aplicável as previsões </w:t>
            </w:r>
            <w:r>
              <w:rPr>
                <w:spacing w:val="-9"/>
                <w:sz w:val="20"/>
              </w:rPr>
              <w:t>do </w:t>
            </w:r>
            <w:r>
              <w:rPr>
                <w:sz w:val="20"/>
              </w:rPr>
              <w:t>art. 373, § 1.º, do CPC. Intime-se o perito ora nomeado para ciência e dizer se aceita o encargo, no prazo de 05 (cinco) dias, propondo os respectivos honorários. Intimem-se também as partes para tomarem ciência desta nomeação, apresentarem quesitos e indicarem assistentes técnicos, no prazo de 15 (quinze) dias.”&lt;/span&gt;</w:t>
              <w:tab/>
              <w:t>&lt;/span&gt;</w:t>
            </w:r>
          </w:p>
          <w:p>
            <w:pPr>
              <w:pStyle w:val="TableParagraph"/>
              <w:tabs>
                <w:tab w:pos="3862" w:val="left" w:leader="none"/>
              </w:tabs>
              <w:spacing w:line="208" w:lineRule="auto" w:before="0"/>
              <w:ind w:right="41"/>
              <w:rPr>
                <w:sz w:val="20"/>
              </w:rPr>
            </w:pPr>
            <w:r>
              <w:rPr>
                <w:sz w:val="20"/>
              </w:rPr>
              <w:t>&lt;/em&gt;&lt;/p&gt;&lt;p style="line-height: 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 align: baseline; white-space: pre-wrap;"&gt;</w:t>
              <w:tab/>
              <w:t>&lt;strong&gt;Em razões recursais, ID 20347128&lt;/strong&gt; &lt;/span&gt; &lt;span style="font-size: 12pt; font-family: 'Times New Roman',serif; color: #000000; background-color: transparent; font-weight: 400; font-style: normal; font-variant: normal; text-decoration: none; vertical-align: baseline; white-space: pre-wrap;"&gt;, a parte recorrente requer a reforma da decisão recorrida, arguindo, em suma, a tese de que a decisão deve ser reformada eis que embora o Juízo tenha invertido o </w:t>
            </w:r>
            <w:r>
              <w:rPr>
                <w:spacing w:val="-5"/>
                <w:sz w:val="20"/>
              </w:rPr>
              <w:t>ônus </w:t>
            </w:r>
            <w:r>
              <w:rPr>
                <w:sz w:val="20"/>
              </w:rPr>
              <w:t>da prova nos autos originários, não implica na alteração da responsabilidade pelo custeio dos honorários periciais, nos termos do artigo 95 do CPC. Argumenta que o escopo da perícia a ser realizada é averiguar se houve falha na prestação de serviços pelo Agravante, a fim de colaborar com a instrução probatória e comprovar os fatos constitutivos do direito autoral. Afirma que os honorários devem ser suportados por ambas as partes, na medida em que o Autor, ora Agravado, também requereu a produção da referida prova conforme se verifica na petição inicial. Roga que seja dado provimento ao presente recurso, reformando-se a r. decisão agravada para determinar que o encargo pela perícia seja dividido entre as partes, tendo em vista o expresso e, não renunciado, pedido de prova pericial pelo Agravado.&lt;/span&gt;&lt;/p&gt;&lt;p style="line-height: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3"/>
              <w:rPr>
                <w:sz w:val="20"/>
              </w:rPr>
            </w:pPr>
            <w:r>
              <w:rPr>
                <w:sz w:val="20"/>
              </w:rPr>
              <w:t>1.7999999999999998; text-indent: 70.86614173228347pt; text-align: justify; margin-top: 12pt; margin-bottom: 12pt;" dir="ltr"&gt; &lt;span style="font-size: 12pt; font-family: 'Times New Roman',serif; color: #000000; background-color: transparent; font-weight: 400; font-style: normal; font-variant: normal; text-decoration: none; vertical-align: baseline; white-space: pre-wrap;"&gt;Indeferido o pleito liminar (decisão de id 24379196).&amp;#160;&lt;/span&gt;&lt;/p&gt;&lt;p style="line-height: 1.7999999999999998; text-indent: 70.86614173228347pt; text-align: justify; margin-top: 12pt; margin-bottom: 12pt;" dir="ltr"&gt; &lt;span style="font-size: 12pt; </w:t>
            </w:r>
            <w:r>
              <w:rPr>
                <w:spacing w:val="-4"/>
                <w:sz w:val="20"/>
              </w:rPr>
              <w:t>font- </w:t>
            </w:r>
            <w:r>
              <w:rPr>
                <w:sz w:val="20"/>
              </w:rPr>
              <w:t>family: 'Times New Roman',serif; color: #000000; background-color: transparent; font- weight: 400; font-style: normal; font-variant: normal; text-decoration: none; vertical-align: baseline; white-space: pre-wrap;"&gt;Devidamente intimada a parte recorrida não se manifestou.&amp;#160;&lt;/span&gt; &lt;span style="font-size: small; text-align: center;"&gt;&amp;#160;&lt;/span&gt;&lt;/p&gt;&lt;p style="line-height: 1.7999999999999998; text-indent: 70.86614173228347pt; text-align: justify; margin-top: 12pt; margin-bottom: 12pt;"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text-indent: 70.86614173228347pt; text-align: justify; margin-top: 12pt; margin-bottom: 12pt;"</w:t>
            </w:r>
            <w:r>
              <w:rPr>
                <w:spacing w:val="-17"/>
                <w:sz w:val="20"/>
              </w:rPr>
              <w:t> </w:t>
            </w:r>
            <w:r>
              <w:rPr>
                <w:sz w:val="20"/>
              </w:rPr>
              <w:t>dir="ltr"&gt;</w:t>
            </w:r>
          </w:p>
          <w:p>
            <w:pPr>
              <w:pStyle w:val="TableParagraph"/>
              <w:tabs>
                <w:tab w:pos="6553" w:val="left" w:leader="none"/>
              </w:tabs>
              <w:spacing w:line="208" w:lineRule="auto" w:before="0"/>
              <w:ind w:right="375"/>
              <w:rPr>
                <w:sz w:val="20"/>
              </w:rPr>
            </w:pPr>
            <w:r>
              <w:rPr>
                <w:sz w:val="20"/>
              </w:rPr>
              <w:t>&lt;span style="font-size: 12pt; font-family: 'Times New Roman',serif; color: #000000; background-color: transparent; font-weight: 400; font-style: normal; font-variant: </w:t>
            </w:r>
            <w:r>
              <w:rPr>
                <w:spacing w:val="-3"/>
                <w:sz w:val="20"/>
              </w:rPr>
              <w:t>normal; </w:t>
            </w:r>
            <w:r>
              <w:rPr>
                <w:sz w:val="20"/>
              </w:rPr>
              <w:t>text-decoration: none; vertical-align: baseline; white-space: pre-wrap;"&gt;</w:t>
              <w:tab/>
              <w:t>&lt;strong&gt;</w:t>
            </w:r>
          </w:p>
          <w:p>
            <w:pPr>
              <w:pStyle w:val="TableParagraph"/>
              <w:tabs>
                <w:tab w:pos="4311" w:val="left" w:leader="none"/>
              </w:tabs>
              <w:spacing w:line="208" w:lineRule="auto" w:before="0"/>
              <w:ind w:right="18"/>
              <w:rPr>
                <w:sz w:val="20"/>
              </w:rPr>
            </w:pPr>
            <w:r>
              <w:rPr>
                <w:sz w:val="20"/>
              </w:rPr>
              <w:t>&lt;span style="font-size: large;"&gt;VOTO&lt;/span&gt;</w:t>
              <w:tab/>
              <w:t>&lt;/strong&gt; &lt;/span&gt;&lt;/p&gt;&lt;p style="line- height: 1.7999999999999998; text-indent: 70.86614173228347pt; text-align: justify; </w:t>
            </w:r>
            <w:r>
              <w:rPr>
                <w:spacing w:val="-3"/>
                <w:sz w:val="20"/>
              </w:rPr>
              <w:t>margin- </w:t>
            </w:r>
            <w:r>
              <w:rPr>
                <w:sz w:val="20"/>
              </w:rPr>
              <w:t>top: 12pt; margin-bottom: 0pt;" dir="ltr"&gt; &lt;span style="font-size: 12pt; font-family: 'Times New Roman',serif; color: #000000; background-color: transparent; font-weight: 700; font- style: normal; font-variant: normal; text-decoration: none; vertical-align: baseline; white- space: pre-wrap;"&gt;Admissibilidade.&lt;/span&gt;&lt;/p&gt;&lt;p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pre-wrap;"&gt;O recurso é conhecido, dado que a discussão sobre o custeio de prova técnica, quando implica risco de oneração excessiva e inutilidade da discussão em apelação, tem sido admitida por esta Corte sob a égide da taxatividade mitigada do Art. 1.015 do CPC (Tema 988/STJ).&lt;/span&gt;&lt;/p&gt;&lt;p style="line-height: 1.7999999999999998; text-indent: 70.86614173228347pt; text-align: justify; margin-top: 12pt; margin-bottom: 0pt;" dir="ltr"&gt;</w:t>
            </w:r>
          </w:p>
          <w:p>
            <w:pPr>
              <w:pStyle w:val="TableParagraph"/>
              <w:spacing w:line="208" w:lineRule="auto" w:before="0"/>
              <w:ind w:right="262"/>
              <w:rPr>
                <w:sz w:val="20"/>
              </w:rPr>
            </w:pPr>
            <w:r>
              <w:rPr>
                <w:sz w:val="20"/>
              </w:rPr>
              <w:t>&lt;span style="font-size: 12pt; font-family: 'Times New Roman',serif; color: #000000; background-color: transparent; font-weight: 700; font-style: normal; font-variant: normal; text-decoration: none; vertical-align: baseline; white-space: pre- wrap;"&gt;Mérito.&lt;/span&gt;&lt;/p&gt;&lt;p style="line-height: 1.7999999999999998; text-indent: 70.86614173228347pt; text-align: justify; margin-top: 12pt; margin-bottom: 0pt;"</w:t>
            </w:r>
            <w:r>
              <w:rPr>
                <w:spacing w:val="-18"/>
                <w:sz w:val="20"/>
              </w:rPr>
              <w:t> </w:t>
            </w:r>
            <w:r>
              <w:rPr>
                <w:sz w:val="20"/>
              </w:rPr>
              <w:t>dir="ltr"&gt;</w:t>
            </w:r>
          </w:p>
          <w:p>
            <w:pPr>
              <w:pStyle w:val="TableParagraph"/>
              <w:spacing w:line="208" w:lineRule="auto" w:before="0"/>
              <w:ind w:right="63"/>
              <w:rPr>
                <w:sz w:val="20"/>
              </w:rPr>
            </w:pPr>
            <w:r>
              <w:rPr>
                <w:sz w:val="20"/>
              </w:rPr>
              <w:t>&lt;span style="font-size: 12pt; font-family: 'Times New Roman',serif; color: #000000; background-color: transparent; font-weight: 400; font-style: normal; font-variant: normal; text-decoration: none; vertical-align: baseline; white-space: pre-wrap;"&gt;É imperativo reconhecer que, em ações consumeristas, como a presente (Ação de Indenização contra Mercado Bitcoin), a relação é regida pelo Código de Defesa do Consumidor. A inversão </w:t>
            </w:r>
            <w:r>
              <w:rPr>
                <w:spacing w:val="-9"/>
                <w:sz w:val="20"/>
              </w:rPr>
              <w:t>do </w:t>
            </w:r>
            <w:r>
              <w:rPr>
                <w:sz w:val="20"/>
              </w:rPr>
              <w:t>ônus da prova (ônus probatório) em favor do consumidor (Agravado) é uma faculdade do juiz quando há hipossuficiência (que pode ser técnica e informativa, e não apenas econômica) ou verossimilhança das alegações.&lt;/span&gt;&lt;/p&gt;&lt;p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pre-wrap;"&gt;Neste caso, a perícia técnica é essencial para a agravante (fornecedora) se desincumbir do ônus de provar a inexistência de falha no serviço ou a culpa exclusiva do consumidor/terceiro, afastando a responsabilidade objetiva que lhe é imputada. A hipossuficiência técnica do consumidor (agravado), que desconhece os aspectos intrínsecos de segurança da plataforma, justifica a inversão probatória.&lt;/span&gt;&lt;/p&gt;&lt;p style="line-height: 1.7999999999999998; text-indent: 70.86614173228347pt; text-align: justify; margin-top: 12pt; margin-bottom: 0pt;" dir="ltr"&gt; &lt;span style="font-size: 12pt; font- family: 'Times New Roman',serif; color: #000000; background-color: transparent; font- weight: 400; font-style: normal; font-variant: normal; text-decoration: none; vertical-align: baseline; white-space: pre-wrap;"&gt;Embora a jurisprudência promova a distinção entre o ônus da prova do ônus financeiro (custeio), a imposição integral do custeio ao fornecedor no âmbito da proteção consumerista deve ser analisada sob a ótica da efetividade do processo e das peculiaridades procedimentais da causa.&lt;/span&gt;&lt;/p&gt;&lt;p style="line-height: 1.7999999999999998; text-indent: 70.86614173228347pt; text-align: justify; margin-top: 12pt; margin-bottom: 0pt;" dir="ltr"&gt;&lt;span style="font-size: 12pt; font-family: 'Times New Roman',serif; color: #000000; background-color: transparent; font-weight: 400; font-style: normal; font-variant: normal; text-decoration: none; vertical-align: baseline; white-space: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3007385-32.2025.8.06.0000</w:t>
            </w:r>
          </w:p>
        </w:tc>
      </w:tr>
      <w:tr>
        <w:trPr>
          <w:trHeight w:val="11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3"/>
              <w:rPr>
                <w:sz w:val="20"/>
              </w:rPr>
            </w:pPr>
            <w:r>
              <w:rPr>
                <w:sz w:val="20"/>
              </w:rPr>
              <w:t>pre-wrap;"&gt;O juízo&lt;/span&gt; &lt;span style="font-size: 12pt; font-family: 'Times New Roman',serif; color: #000000; background-color: transparent; font-weight: 400; font-style: italic; font-variant: normal; text-decoration: none; vertical-align: baseline; white-space: pre- wrap;"&gt;a quo&lt;/span&gt; &lt;span style="font-size: 12pt; font-family: 'Times New Roman',serif; color: #000000; background-color: transparent; font-weight: 400; font-style: normal; font- variant: normal; text-decoration: none; vertical-align: baseline; white-space: pre- wrap;"&gt;fundamentou a imposição do custo à Mercado Bitcoin não apenas na inversão do Art. 6º, VIII, do CDC, mas também no fato de a prova ter sido especificamente requerida pela agravante, em conjunto com a presumida renúncia do autor ao não reiterá-la após o despacho de especificação de provas.&lt;/span&gt;&lt;/p&gt;&lt;p style="line-height: 1.7999999999999998; text-indent: 70.86614173228347pt; text-align: justify; margin-top: 12pt; margin-bottom: 0pt;" dir="ltr"&gt; &lt;span style="font-size: 12pt; font-family: 'Times New Roman',serif; color: #000000; background-color: transparent; font-weight: 400; font-style: normal; font-variant: normal; text-decoration: none; vertical-align: baseline; white-space: pre-wrap;"&gt;Considerando que a decisão agravada se baseia numa análise processual de preclusão/renúncia do consumidor, e visando garantir a efetividade da inversão do ônus probatório – cuja finalidade é fazer com que a parte que tem melhores condições de produzir a prova o faça –, a decisão que imputou o encargo financeiro à parte que efetivamente necessita provar um fato impeditivo de sua responsabilidade, e que demonstrou interesse expresso e não renunciado na prova deve ser mantida.&lt;/span&gt;&lt;/p&gt;&lt;p style="line-height: 1.7999999999999998; text-indent: 70.86614173228347pt; text-align: justify; margin-top: 12pt; margin-bottom: 0pt;" dir="ltr"&gt;</w:t>
            </w:r>
          </w:p>
          <w:p>
            <w:pPr>
              <w:pStyle w:val="TableParagraph"/>
              <w:tabs>
                <w:tab w:pos="6164" w:val="left" w:leader="none"/>
              </w:tabs>
              <w:spacing w:line="208" w:lineRule="auto" w:before="0"/>
              <w:ind w:right="20"/>
              <w:rPr>
                <w:sz w:val="20"/>
              </w:rPr>
            </w:pPr>
            <w:r>
              <w:rPr>
                <w:sz w:val="20"/>
              </w:rPr>
              <w:t>&lt;span style="background-color: transparent; font-family: &amp;quot;Times New Roman&amp;quot;, serif; font-size: 12pt; font-weight: 700; white-space-collapse: preserve; text-indent: 70.8661pt;"&gt;Dispositivo.&lt;/span&gt; &lt;span style="background-color: transparent; font-family: &amp;quot;Times New Roman&amp;quot;, serif; font-size: 12pt; white-space-collapse: preserve; text- indent: 70.8661pt;"&gt;&amp;#160;&lt;/span&gt;&lt;/p&gt;&lt;p style="line-height: 1.7999999999999998; text- indent: 70.86614173228347pt; text-align: justify; margin-top: 12pt; margin-bottom: 0pt;" dir="ltr"&gt; &lt;span style="font-size: 12pt; font-family: &amp;quot;Times New Roman&amp;quot;, serif; color: #000000; background-color: transparent; font-style: normal; font-variant: normal; text- decoration: none; vertical-align: baseline; white-space: pre-wrap;"&gt;</w:t>
              <w:tab/>
              <w:t>&lt;strong&gt;Por tais fundamentos, me manifesto no sentido de CONHECER o Recurso de Agravo de Instrumento para NEGAR-LHE PROVIMENTO, mantendo a decisão agravada que </w:t>
            </w:r>
            <w:r>
              <w:rPr>
                <w:spacing w:val="-3"/>
                <w:sz w:val="20"/>
              </w:rPr>
              <w:t>imputou </w:t>
            </w:r>
            <w:r>
              <w:rPr>
                <w:sz w:val="20"/>
              </w:rPr>
              <w:t>o ônus financeiro da perícia exclusivamente à agravante, por ser medida compatível com a efetividade da proteção processual do consumidor hipossuficiente.&lt;/strong&gt;</w:t>
            </w:r>
          </w:p>
          <w:p>
            <w:pPr>
              <w:pStyle w:val="TableParagraph"/>
              <w:spacing w:line="208" w:lineRule="auto" w:before="0"/>
              <w:rPr>
                <w:sz w:val="20"/>
              </w:rPr>
            </w:pPr>
            <w:r>
              <w:rPr>
                <w:sz w:val="20"/>
              </w:rPr>
              <w:t>&lt;/span&gt;&lt;/p&gt;&lt;p style="line-height: 1.7999999999999998; text-indent: 70.86614173228347pt; text-align: justify; margin-top: 12pt; margin-bottom: 0pt;"</w:t>
            </w:r>
            <w:r>
              <w:rPr>
                <w:spacing w:val="-18"/>
                <w:sz w:val="20"/>
              </w:rPr>
              <w:t> </w:t>
            </w:r>
            <w:r>
              <w:rPr>
                <w:sz w:val="20"/>
              </w:rPr>
              <w:t>dir="ltr"&gt;</w:t>
            </w:r>
          </w:p>
          <w:p>
            <w:pPr>
              <w:pStyle w:val="TableParagraph"/>
              <w:spacing w:line="208" w:lineRule="auto" w:before="0"/>
              <w:ind w:right="262"/>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70.86614173228347pt; text-align: justify; margin-top: 12pt; margin-bottom: 0pt;"</w:t>
            </w:r>
            <w:r>
              <w:rPr>
                <w:spacing w:val="-18"/>
                <w:sz w:val="20"/>
              </w:rPr>
              <w:t> </w:t>
            </w:r>
            <w:r>
              <w:rPr>
                <w:sz w:val="20"/>
              </w:rPr>
              <w:t>dir="ltr"&gt;</w:t>
            </w:r>
          </w:p>
          <w:p>
            <w:pPr>
              <w:pStyle w:val="TableParagraph"/>
              <w:tabs>
                <w:tab w:pos="2682" w:val="left" w:leader="none"/>
                <w:tab w:pos="3995" w:val="left" w:leader="none"/>
                <w:tab w:pos="4963" w:val="left" w:leader="none"/>
                <w:tab w:pos="5920" w:val="left" w:leader="none"/>
              </w:tabs>
              <w:spacing w:line="208" w:lineRule="auto" w:before="0"/>
              <w:ind w:right="49"/>
              <w:rPr>
                <w:sz w:val="20"/>
              </w:rPr>
            </w:pPr>
            <w:r>
              <w:rPr>
                <w:sz w:val="20"/>
              </w:rPr>
              <w:t>&lt;span style="font-size: 12pt; font-family: 'Times New Roman',serif; color: #000000; background-color: transparent; font-weight: 400; font-style: normal; font-variant: normal; text-decoration: none; vertical-align: baseline; white-space: pre-wrap;"&gt;Fortaleza, data registrada no sistema.&lt;/span&gt;&lt;/p&gt;&lt;p style="text-indent: 8%; text-align: center;"&gt; &lt;span style="font-size: medium;"&gt;</w:t>
              <w:tab/>
              <w:t>&lt;strong style="font-size: small;"&gt;</w:t>
              <w:tab/>
              <w:t>&lt;span style="font-family: &amp;quot;times new roman&amp;quot;, times;"&gt;</w:t>
              <w:tab/>
              <w:t>&lt;br /&gt;</w:t>
              <w:tab/>
              <w:t>&lt;span style="font-size: 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ANASTESIA FERREIRA DAS SILVA SANTOS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LUIZ VALDEMIRO SOARES COSTA - (CE14458-A)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DAYCOVAL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438"/>
              <w:rPr>
                <w:sz w:val="20"/>
              </w:rPr>
            </w:pPr>
            <w:r>
              <w:rPr>
                <w:sz w:val="20"/>
              </w:rPr>
              <w:t>MARINA BASTOS DA PORCIUNCULA BENGHI - (CE32401-A) ROBERTA DA CAMARA LIMA CAVALCANTI - (CE54140-A)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&lt;strong&gt;PROCESSO&lt;/strong&gt;:&amp;#160;0007460-87.2015.8.06.0028 -&amp;#160;APELAÇÃO</w:t>
            </w:r>
          </w:p>
          <w:p>
            <w:pPr>
              <w:pStyle w:val="TableParagraph"/>
              <w:tabs>
                <w:tab w:pos="1094" w:val="left" w:leader="none"/>
                <w:tab w:pos="1839" w:val="left" w:leader="none"/>
                <w:tab w:pos="2682" w:val="left" w:leader="none"/>
                <w:tab w:pos="4945" w:val="left" w:leader="none"/>
                <w:tab w:pos="6557" w:val="left" w:leader="none"/>
              </w:tabs>
              <w:spacing w:line="208" w:lineRule="auto" w:before="8"/>
              <w:ind w:right="66"/>
              <w:rPr>
                <w:sz w:val="20"/>
              </w:rPr>
            </w:pPr>
            <w:r>
              <w:rPr>
                <w:sz w:val="20"/>
              </w:rPr>
              <w:t>CÍVEL (198)&lt;/span&gt;  &lt;/span&gt;&lt;/p&gt;&lt;p&gt;  &lt;span style="font-size: small;"&gt;</w:t>
              <w:tab/>
              <w:t>&lt;span style="font-family: &amp;quot;times new roman&amp;quot;, times;"&gt;APELANTE: ANASTESIA FERREIRA DAS SILVA SANTOS e&amp;#160;&lt;/span&gt; &lt;/span&gt; &lt;span style="font-family: &amp;quot;times new roman&amp;quot;, times; font-size: small;"&gt;BANCO DAYCOVAL S/A&lt;/span&gt;&lt;/p&gt;&lt;p&gt;  &lt;span style="font-size: small;"&gt;</w:t>
              <w:tab/>
              <w:t>&lt;span style="font-family: &amp;quot;times new roman&amp;quot;, times;"&gt;APELADO: BANCO DAYCOVAL S/A e&amp;#160;&lt;/span&gt; &lt;/span&gt; &lt;span style="font-family: &amp;quot;times new roman&amp;quot;, times; font-size: small;"&gt;ANASTESIA FERREIRA DAS SILVA SANTOS&lt;/span&gt;&lt;/p&gt;&lt;p&gt; &lt;span style="font-size: medium;"&gt;</w:t>
              <w:tab/>
              <w:t>&lt;span style="font-family: &amp;quot;times new roman&amp;quot;, times;"&gt;</w:t>
              <w:tab/>
              <w:t>&lt;br /&gt;</w:t>
              <w:tab/>
              <w:t>&lt;/span&gt; &lt;/span&gt;&lt;/p&gt;&lt;p style="line-height: 1.7999999999999998; text-align: justify; margin-top: 12pt; margin-bottom: 0pt;" dir="ltr"&gt; &lt;span style="font-size: 12pt; font-family: 'Times New Roman',serif; color: #000000; background-color: transparent; font-weight: 700; font-style: normal; font-variant: normal; text-decoration: none; vertical- align: baseline; white-space: pre-wrap;"&gt;APELAÇÕES CÍVEIS. DIREITO DO CONSUMIDOR. EMPRÉSTIMO CONSIGNADO. AUTORA ANALFABETA. IRREGULARIDADE CONTRATUAL. INOBSERVÂNCIA DO ART. 595 DO CC E DO IRDR Nº 0630366-67.2019.8.06.0000 (TJCE). NULIDADE. REPETIÇÃO DO INDÉBITO SIMPLES E EM DOBRO (EAREsp 600.663/RS, STJ). COMPENSAÇÃO E ATUALIZAÇÃO DOS VALORES. DANO MORAL CONFIGURADO. RECURSOS CONHECIDOS E</w:t>
            </w:r>
          </w:p>
          <w:p>
            <w:pPr>
              <w:pStyle w:val="TableParagraph"/>
              <w:spacing w:line="208" w:lineRule="auto" w:before="0"/>
              <w:ind w:right="19"/>
              <w:rPr>
                <w:sz w:val="20"/>
              </w:rPr>
            </w:pPr>
            <w:r>
              <w:rPr>
                <w:sz w:val="20"/>
              </w:rPr>
              <w:t>PARCIALMENTE PROVIDOS.&lt;/span&gt;&lt;/p&gt;&lt;p style="line-height: 1.38; text-align: justify; margin-top: 12pt; margin-bottom: 12pt;" dir="ltr"&gt; &lt;span style="font-size: 12pt; font-family: 'Times New Roman',serif; color: #000000; background-color: transparent; font-weight: 700; font-style: normal; font-variant: normal; text-decoration: none; vertical-align: baseline; white- space: pre-wrap;"&gt;Caso em exame:&lt;/span&gt;&lt;/p&gt;&lt;p style="line-height: 1.38; text-align: justify; margin-top: 12pt; margin-bottom: 12pt;" dir="ltr"&gt; &lt;span style="font-size: 12pt; font- family: 'Times New Roman',serif; color: #000000; background-color: transparent; font- weight: 400; font-style: normal; font-variant: normal; text-decoration: none; vertical-align: baseline; white-space: pre-wrap;"&gt;1. Trata-se de Apelações Cíveis interpostas por BANCO DAYCOVAL S/A e pela autora em face de sentença do Juízo da 2ª Vara Cível da Comarca de Acaraú/CE, que julgou parcialmente procedentes os pedidos autorais e reconvencionais em ação de nulidade contratual, repetição do indébito e indenização por danos morais.&lt;/span&gt;&lt;/p&gt;&lt;p style="line-height: 1.38; text-align: justify; margin-top: 12pt; margin- bottom: 12pt;" dir="ltr"&gt; &lt;span style="font-size: 12pt; font-family: 'Times New Roman',serif; color: #000000; background-color: transparent; font-weight: 700; font-style: normal; font- variant: normal; text-decoration: none; vertical-align: baseline; white-space: pre- wrap;"&gt;Questão em discussão:&lt;/span&gt;&lt;/p&gt;&lt;p style="line-height: 1.38; text-align: justify; margin-top: 12pt; margin-bottom: 12pt;" dir="ltr"&gt; &lt;span style="font-size: 12pt; font-family: 'Times New Roman',serif; color: #000000; background-color: transparent; font-weight: 400; font-style: normal; font-variant: normal; text-decoration: none; vertical-align: baseline; white- space: pre-wrap;"&gt;2. Cinge-se a controvérsia em verificar a correção da sentença que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7"/>
              <w:rPr>
                <w:sz w:val="20"/>
              </w:rPr>
            </w:pPr>
            <w:r>
              <w:rPr>
                <w:sz w:val="20"/>
              </w:rPr>
              <w:t>reconheceu a nulidade do contrato de empréstimo consignado, determinou a devolução dos valores descontados e compensação de quantias eventualmente disponibilizadas, bem como analisar o cabimento de indenização por dano moral.&lt;/span&gt;&lt;/p&gt;&lt;p </w:t>
            </w:r>
            <w:r>
              <w:rPr>
                <w:spacing w:val="-2"/>
                <w:sz w:val="20"/>
              </w:rPr>
              <w:t>style="line- </w:t>
            </w:r>
            <w:r>
              <w:rPr>
                <w:sz w:val="20"/>
              </w:rPr>
              <w:t>height: 1.38; text-align: justify; margin-top: 12pt; margin-bottom: 12pt;" dir="ltr"&gt; &lt;span style="font-size: 12pt; font-family: 'Times New Roman',serif; color: #000000; background- color: transparent; font-weight: 700; font-style: normal; font-variant: normal; text-decoration: none; vertical-align: baseline; white-space: pre-wrap;"&gt;Razões de decidir:&lt;/span&gt;&lt;/p&gt;&lt;p style="line-height: 1.38; text-align: justify; margin-top: 12pt; margin-bottom: 12pt;"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pre-wrap;"&gt;3. Rejeita-se a preliminar de litispendência, pois as demandas envolvem contratos distintos, inexistindo identidade de causa de pedir. Igualmente, afastam-se as prejudiciais de decadência e prescrição, afastando o prazo trienal alegado e reconhecendo-se a natureza de trato sucessivo da relação.&lt;/span&gt;&lt;/p&gt;&lt;p style="line-height: 1.38; text-align: justify; margin-top: 12pt; margin-bottom: 12pt;" dir="ltr"&gt; &lt;span style="font-size: 12pt; font-family: 'Times New Roman',serif; color: #000000; background-color: transparent; font-weight: 400; font-style: normal; font-variant: normal; text-decoration: none; vertical-align: baseline; white-space: pre-wrap;"&gt;4. No mérito, constatada a nulidade do contrato, ante a ausência de assinatura a rogo e de duas testemunhas, conforme exigem o art. 595 do CC e o IRDR nº 0630366- 67.2019.8.06.0000 (TJCE). A aposição de impressão digital, por si só, não supre tais requisitos, configurando vício formal insanável e conduta abusiva da instituição financeira.&lt;/span&gt;&lt;/p&gt;&lt;p style="line-height: 1.38; text-align: justify; margin-top: 12pt; margin-bottom: 12pt;" dir="ltr"&gt; &lt;span style="font-size: 12pt; font-family: 'Times New Roman',serif; color: #000000; background-color: transparent; font-weight: 400; font-style: normal; font-variant: normal; text-decoration: none; vertical-align: baseline; white-space: pre-wrap;"&gt;5. Quanto à restituição dos valores descontados, aplica-se o entendimento firmado pelo STJ no EAREsp 600.663/RS: repetição em dobro apenas para pagamentos indevidos posteriores a 30/03/2021, e simples para os anteriores. A compensação com valores efetivamente disponibilizados deve observar correção monetária pelo IPCA, a fim de evitar enriquecimento sem causa.&lt;/span&gt;&lt;/p&gt;&lt;p style="line-height: 1.38; text-align: justify; margin-top: 12pt; margin-bottom: 12pt;" dir="ltr"&gt; &lt;span style="font-size: 12pt; font- family: 'Times New Roman',serif; color: #000000; background-color: transparent; font- weight: 400; font-style: normal; font-variant: normal; text-decoration: none; vertical-align: baseline; white-space: pre-wrap;"&gt;6. Configura-se o dano moral diante da violação à dignidade da consumidora idosa e analfabeta, submetida a descontos indevidos em seu benefício previdenciário. Indenização fixada em R$ 3.000,00 (três mil reais), valor compatível com precedentes do TJCE em casos análogos.&lt;/span&gt;&lt;/p&gt;&lt;p style="line- height: 1.38; text-align: justify; margin-top: 12pt; margin-bottom: 12pt;" dir="ltr"&gt; &lt;span style="font-size: 12pt; font-family: 'Times New Roman',serif; color: #000000; background- color: transparent; font-weight: 700; font-style: normal; font-variant: normal; text-decoration: none; vertical-align: baseline; white-space: pre-wrap;"&gt;Dispositivo:&lt;/span&gt;&lt;/p&gt;&lt;p style="line-height: 1.38; text-align: justify; margin-top: 12pt; margin-bottom: 12pt;" dir="ltr"&gt;</w:t>
            </w:r>
          </w:p>
          <w:p>
            <w:pPr>
              <w:pStyle w:val="TableParagraph"/>
              <w:spacing w:line="208" w:lineRule="auto" w:before="0"/>
              <w:ind w:right="107"/>
              <w:rPr>
                <w:sz w:val="20"/>
              </w:rPr>
            </w:pPr>
            <w:r>
              <w:rPr>
                <w:sz w:val="20"/>
              </w:rPr>
              <w:t>&lt;span style="font-size: 12pt; font-family: 'Times New Roman',serif; color: #000000; background-color: transparent; font-weight: 400; font-style: normal; font-variant: normal; text-decoration: none; vertical-align: baseline; white-space: pre-wrap;"&gt;7. Recursos conhecidos e parcialmente providos, para determinar a atualização monetária dos valores compensáveis e condenar o banco ao pagamento de indenização por dano moral no </w:t>
            </w:r>
            <w:r>
              <w:rPr>
                <w:spacing w:val="-4"/>
                <w:sz w:val="20"/>
              </w:rPr>
              <w:t>valor </w:t>
            </w:r>
            <w:r>
              <w:rPr>
                <w:sz w:val="20"/>
              </w:rPr>
              <w:t>de R$ 3.000,00 (três mil reais). Sentença parcialmente reformada.&lt;/span&gt;&lt;/p&gt;&lt;p style="line-height: 2.4; text-align: center; margin-top: 12pt; margin-bottom: 0pt;" dir="ltr"&gt;</w:t>
            </w:r>
          </w:p>
          <w:p>
            <w:pPr>
              <w:pStyle w:val="TableParagraph"/>
              <w:tabs>
                <w:tab w:pos="3329" w:val="left" w:leader="none"/>
                <w:tab w:pos="4073" w:val="left" w:leader="none"/>
              </w:tabs>
              <w:spacing w:line="208" w:lineRule="auto" w:before="0"/>
              <w:ind w:right="53"/>
              <w:rPr>
                <w:sz w:val="20"/>
              </w:rPr>
            </w:pPr>
            <w:r>
              <w:rPr>
                <w:sz w:val="20"/>
              </w:rPr>
              <w:t>&lt;span style="font-size: 13.999999999999998pt; font-family: 'Times New Roman',serif; color: #000000; background-color: transparent; font-weight: 700; font-style: normal; font- variant: normal; text-decoration: none; vertical-align: baseline; white-space: pre- wrap;"&gt;ACÓRDÃO&lt;/span&gt;&lt;/p&gt;&lt;p style="line-height: 1.2; text-align: center; margin-top: 1pt; margin-bottom: 0pt;" dir="ltr"&gt; &lt;span style="font-size: 13.999999999999998pt; font- family: 'Times New Roman',serif; color: #000000; background-color: transparent; font- weight: 700; font-style: normal; font-variant: normal; text-decoration: none; vertical-align: baseline; white-space: pre-wrap;"&gt;</w:t>
              <w:tab/>
              <w:t>&lt;br /&gt;</w:t>
              <w:tab/>
              <w:t>&lt;br /&gt; &lt;/span&gt;&lt;/p&gt;&lt;p style="line-height: 1.7999999999999998; text-indent: 56.692913385826756pt; text-align: justify; margin-top: 6pt; margin-bottom: 0pt;" dir="ltr"&gt;&lt;span style="font-size: 12pt; font-family: 'Times New Roman',serif; color: #000000; background-color: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 &lt;span style="font-size: 12pt; font-family: 'Times New Roman',serif; color: #000000; background- color: transparent; font-weight: 700; font-style: normal; font-variant: normal; text-decoration: none; vertical-align: baseline; white-space: pre-wrap;"&gt;CONHECER&lt;/span&gt; &lt;span style="font-size: 12pt; font-family: 'Times New Roman',serif; color: #000000; background- color: transparent; font-weight: 400; font-style: normal; font-variant: normal; text-decoration: none; vertical-align: baseline; white-space: pre-wrap;"&gt;e&lt;/span&gt; &lt;span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3"/>
              <w:rPr>
                <w:sz w:val="20"/>
              </w:rPr>
            </w:pPr>
            <w:r>
              <w:rPr>
                <w:sz w:val="20"/>
              </w:rPr>
              <w:t>12pt; font-family: 'Times New Roman',serif; color: #000000; background-color: transparent; font-weight: 700; font-style: normal; font-variant: normal; text-decoration: none; vertical- align: baseline; white-space: pre-wrap;"&gt;DAR PARCIAL PROVIMENTO&lt;/span&gt; &lt;span style="font-size: 12pt; font-family: 'Times New Roman',serif; color: #000000; background- color: transparent; font-weight: 400; font-style: normal; font-variant: normal; text-decoration: none; vertical-align: baseline; white-space: pre-wrap;"&gt;às presentes Apelações Cíveis, em conformidade com o voto do Relator.&lt;/span&gt;&lt;/p&gt;&lt;p style="line-height: 1.7999999999999998; text-indent: 56.692913385826756pt; text-align: justify; margin-top: 6pt; margin-bottom: 0pt;" dir="ltr"&gt; &lt;span style="font-size: 12pt; font-family: 'Times New Roman',serif; color: #000000; background-color: transparent; font-weight: 400; font-style: normal; font-variant: normal; text-decoration: none; vertical-align: baseline; white-space: pre-wrap;"&gt;Fortaleza, data registrada no sistema.&lt;/span&gt;&lt;/p&gt;&lt;p style="line-height: 1.7999999999999998; text-align: center; margin-top: 12pt; margin-bottom: 0pt;" dir="ltr"&gt;</w:t>
            </w:r>
          </w:p>
          <w:p>
            <w:pPr>
              <w:pStyle w:val="TableParagraph"/>
              <w:tabs>
                <w:tab w:pos="1294" w:val="left" w:leader="none"/>
                <w:tab w:pos="4654" w:val="left" w:leader="none"/>
                <w:tab w:pos="5888" w:val="left" w:leader="none"/>
                <w:tab w:pos="6744"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medium;"&gt;</w:t>
              <w:tab/>
              <w:t>&lt;strong&gt;</w:t>
              <w:tab/>
              <w:t>&lt;br /&gt;</w:t>
              <w:tab/>
              <w:t>&lt;/strong&gt;</w:t>
            </w:r>
          </w:p>
          <w:p>
            <w:pPr>
              <w:pStyle w:val="TableParagraph"/>
              <w:spacing w:line="208" w:lineRule="auto" w:before="0"/>
              <w:ind w:right="647"/>
              <w:rPr>
                <w:sz w:val="20"/>
              </w:rPr>
            </w:pPr>
            <w:r>
              <w:rPr>
                <w:sz w:val="20"/>
              </w:rPr>
              <w:t>&lt;/span&gt; &lt;/span&gt;&lt;/p&gt;&lt;p style="line-height: 1.7999999999999998; text-align: center; margin-top: 12pt; margin-bottom: 0pt;" dir="ltr"&gt; &lt;span style="font-size: medium;"&gt;</w:t>
            </w:r>
          </w:p>
          <w:p>
            <w:pPr>
              <w:pStyle w:val="TableParagraph"/>
              <w:tabs>
                <w:tab w:pos="1162" w:val="left" w:leader="none"/>
                <w:tab w:pos="1752" w:val="left" w:leader="none"/>
                <w:tab w:pos="3773" w:val="left" w:leader="none"/>
                <w:tab w:pos="4164" w:val="left" w:leader="none"/>
                <w:tab w:pos="4275" w:val="left" w:leader="none"/>
                <w:tab w:pos="5287" w:val="left" w:leader="none"/>
              </w:tabs>
              <w:spacing w:line="208" w:lineRule="auto" w:before="0"/>
              <w:ind w:right="36"/>
              <w:rPr>
                <w:sz w:val="20"/>
              </w:rPr>
            </w:pPr>
            <w:r>
              <w:rPr>
                <w:sz w:val="20"/>
              </w:rPr>
              <w:t>&lt;strong&gt;</w:t>
              <w:tab/>
              <w:t>&lt;span style="font-family: &amp;quot;times new roman&amp;quot;, times;"&gt;MARIA REGINA OLIVEIRA CÂMARA&amp;#160;&lt;/span&gt;</w:t>
              <w:tab/>
              <w:tab/>
              <w:t>&lt;/strong&gt; &lt;/span&gt;&lt;/p&gt;&lt;p style="line- height: 1.7999999999999998; text-align: center; margin-top: 12pt; margin-bottom: 0pt;" dir="ltr"&gt;  &lt;span style="font-size: medium;"&gt;</w:t>
              <w:tab/>
              <w:t>&lt;strong&gt;</w:t>
              <w:tab/>
              <w:t>&lt;span style="font-family: &amp;quot;times new roman&amp;quot;, times;"&gt;Desembargadora e Presidente do Órgão Julgador&lt;/span&gt;</w:t>
              <w:tab/>
              <w:t>&lt;/strong&gt; &lt;/span&gt;&lt;/p&gt;&lt;p style="line-height: 1.7999999999999998; text-align: center; margin-top: 12pt; margin-bottom: 0pt;" dir="ltr"&gt; &lt;span style="font-family: &amp;quot;times new roman&amp;quot;, times;"&gt;</w:t>
              <w:tab/>
              <w:t>&lt;br /&gt; &lt;/span&gt;&lt;/p&gt;&lt;p style="line-height: 1.7999999999999998; text-align: center; margin-top: 12pt; margin-bottom: 0pt;" dir="ltr"&gt;</w:t>
            </w:r>
          </w:p>
          <w:p>
            <w:pPr>
              <w:pStyle w:val="TableParagraph"/>
              <w:tabs>
                <w:tab w:pos="4562" w:val="left" w:leader="none"/>
                <w:tab w:pos="6012" w:val="left" w:leader="none"/>
              </w:tabs>
              <w:spacing w:line="208" w:lineRule="auto" w:before="0"/>
              <w:ind w:right="42"/>
              <w:rPr>
                <w:sz w:val="20"/>
              </w:rPr>
            </w:pPr>
            <w:r>
              <w:rPr>
                <w:sz w:val="20"/>
              </w:rPr>
              <w:t>&lt;span style="font-family: &amp;quot;times new roman&amp;quot;, times;"&gt;</w:t>
              <w:tab/>
              <w:t>&lt;br /&gt; &lt;/span&gt;&lt;/p&gt;&lt;p style="line-height: 1.7999999999999998; text-align: center; margin-top: 12pt; margin- bottom: 0pt;" dir="ltr"&gt; &lt;span style="font-size: 12pt; color: #000000; background-color: transparent; font-weight: 700; font-style: normal; font-variant: normal; text-decoration: </w:t>
            </w:r>
            <w:r>
              <w:rPr>
                <w:spacing w:val="-4"/>
                <w:sz w:val="20"/>
              </w:rPr>
              <w:t>none; </w:t>
            </w:r>
            <w:r>
              <w:rPr>
                <w:sz w:val="20"/>
              </w:rPr>
              <w:t>vertical-align: baseline; white-space: pre-wrap;"&gt;</w:t>
              <w:tab/>
              <w:t>&lt;span style="font-family: &amp;quot;times new roman&amp;quot;, times;"&gt;FRANCISCO LUCÍDIO DE QUEIROZ JÚNIOR&lt;/span&gt;</w:t>
            </w:r>
          </w:p>
          <w:p>
            <w:pPr>
              <w:pStyle w:val="TableParagraph"/>
              <w:tabs>
                <w:tab w:pos="6553" w:val="left" w:leader="none"/>
              </w:tabs>
              <w:spacing w:line="208" w:lineRule="auto" w:before="0"/>
              <w:ind w:right="111"/>
              <w:rPr>
                <w:sz w:val="20"/>
              </w:rPr>
            </w:pPr>
            <w:r>
              <w:rPr>
                <w:sz w:val="20"/>
              </w:rPr>
              <w:t>&lt;/span&gt;&lt;/p&gt;&lt;p style="line-height: 1.7999999999999998; text-align: center; margin-top: 12pt; margin-bottom: 0pt;" dir="ltr"&gt; &lt;span style="font-size: 12pt; color: #000000; background-color: transparent; font-weight: 400; font-style: normal; font-variant: normal; text-decoration: none; vertical-align: baseline; white-space: pre-wrap;"&gt;</w:t>
              <w:tab/>
              <w:t>&lt;span style="font-family: &amp;quot;times new roman&amp;quot;, times;"&gt;Desembargador</w:t>
            </w:r>
            <w:r>
              <w:rPr>
                <w:spacing w:val="-17"/>
                <w:sz w:val="20"/>
              </w:rPr>
              <w:t> </w:t>
            </w:r>
            <w:r>
              <w:rPr>
                <w:sz w:val="20"/>
              </w:rPr>
              <w:t>Relator&lt;/span&gt;</w:t>
            </w:r>
          </w:p>
          <w:p>
            <w:pPr>
              <w:pStyle w:val="TableParagraph"/>
              <w:tabs>
                <w:tab w:pos="2805" w:val="left" w:leader="none"/>
              </w:tabs>
              <w:spacing w:line="208" w:lineRule="auto" w:before="0"/>
              <w:ind w:right="222"/>
              <w:rPr>
                <w:sz w:val="20"/>
              </w:rPr>
            </w:pPr>
            <w:r>
              <w:rPr>
                <w:sz w:val="20"/>
              </w:rPr>
              <w:t>&lt;/span&gt;&lt;/p&gt;&lt;p style="line-height: 100%; orphans: 0; widows: 0; margin-bottom: </w:t>
            </w:r>
            <w:r>
              <w:rPr>
                <w:spacing w:val="-3"/>
                <w:sz w:val="20"/>
              </w:rPr>
              <w:t>0.21cm;" </w:t>
            </w:r>
            <w:r>
              <w:rPr>
                <w:sz w:val="20"/>
              </w:rPr>
              <w:t>align="justify"&gt; &lt;strong id="docs-internal-guid-afebb5a6-7fff-321d-d5bc-24aef9d96d9c" style="font-weight: normal;"&gt;</w:t>
              <w:tab/>
              <w:t>&lt;br /&gt; &lt;/strong&gt;&lt;/p&gt;&lt;p style="line-height: 1.7999999999999998; text-align: center; margin-top: 12pt; margin-bottom: 0pt;" dir="ltr"&gt;</w:t>
            </w:r>
          </w:p>
          <w:p>
            <w:pPr>
              <w:pStyle w:val="TableParagraph"/>
              <w:tabs>
                <w:tab w:pos="6553" w:val="left" w:leader="none"/>
                <w:tab w:pos="7297" w:val="left" w:leader="none"/>
              </w:tabs>
              <w:spacing w:line="208" w:lineRule="auto" w:before="0"/>
              <w:ind w:right="332"/>
              <w:rPr>
                <w:sz w:val="20"/>
              </w:rPr>
            </w:pPr>
            <w:r>
              <w:rPr>
                <w:sz w:val="20"/>
              </w:rPr>
              <w:t>&lt;span style="font-size: 12pt; font-family: 'Times New Roman',serif; color: #000000; background-color: transparent; font-weight: 400; font-style: normal; font-variant: normal; text-decoration: none; vertical-align: baseline; white-space: pre-wrap;"&gt;</w:t>
              <w:tab/>
              <w:t>&lt;br /&gt;</w:t>
              <w:tab/>
              <w:t>&lt;br</w:t>
            </w:r>
            <w:r>
              <w:rPr>
                <w:spacing w:val="1"/>
                <w:sz w:val="20"/>
              </w:rPr>
              <w:t> </w:t>
            </w:r>
            <w:r>
              <w:rPr>
                <w:spacing w:val="-9"/>
                <w:sz w:val="20"/>
              </w:rPr>
              <w:t>/&gt;</w:t>
            </w:r>
          </w:p>
          <w:p>
            <w:pPr>
              <w:pStyle w:val="TableParagraph"/>
              <w:spacing w:line="208" w:lineRule="auto" w:before="0"/>
              <w:ind w:right="39"/>
              <w:rPr>
                <w:sz w:val="20"/>
              </w:rPr>
            </w:pPr>
            <w:r>
              <w:rPr>
                <w:sz w:val="20"/>
              </w:rPr>
              <w:t>&lt;/span&gt;&lt;/p&gt;&lt;p style="line-height: 1.7999999999999998; text-align: center; margin-top: 12pt; margin-bottom: 0pt;" dir="ltr"&gt; &lt;span style="font-size: 12pt; font-family: 'Times New Roman',serif; color: #000000; background-color: transparent; font-weight: 700; font-style: normal; font-variant: normal; text-decoration: none; vertical-align: baseline; white-space: pre-wrap;"&gt;RELATÓRIO&lt;/span&gt;&lt;/p&gt;&lt;p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preserve;"&gt;Trata- se de&lt;/span&gt; &lt;span style="font-size: 12pt; font-family: &amp;quot;Times New Roman&amp;quot;, serif; background-color: transparent; font-weight: 700; font-variant-numeric: normal; font- variant-east-asian: normal; font-variant-alternates: normal; font-variant-position: normal; font-variant-emoji: normal; vertical-align: baseline; white-space-collapse: preserve;"&gt;Apelações Cíveis&lt;/span&gt;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preserve;"&gt;interpostas por &lt;strong&gt;BANCO DAYCOVAL S/A&lt;/strong&gt; e&lt;/span&gt;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preserve;"&gt;por &lt;strong&gt;ANASTESIA FERREIRA DAS SILVA SANTOS&lt;/strong&gt; em face da Sentença prolatada pelo juízo da 2ª Vara Cível da Comarca de Acaraú/CE que julgou parcialmente procedentes os pleitos autorais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7"/>
              <w:rPr>
                <w:sz w:val="20"/>
              </w:rPr>
            </w:pPr>
            <w:r>
              <w:rPr>
                <w:sz w:val="20"/>
              </w:rPr>
              <w:t>parcialmente procedentes os pedidos reconvencionais.&lt;/span&gt;&lt;/p&gt;&lt;p style="text-align: justify; font-family: &amp;quot;Times New Roman&amp;quot;; font-size: medium; line-height: 1.8; text-indent: 56.6929pt; margin-top: 12pt; margin-bottom: 0pt;" dir="ltr"&gt;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preserve;"&gt;Nos autos de origem, a autora ANASTESIA FERREIRA DAS SILVA SANTOS buscou o reconhecimento da nulidade contratual envolvendo empréstimo consignado, a repetição do indébito de valores descontados de seu benefício e alegadamente indevidos, assim como a indenização por danos morais.&lt;/span&gt;&lt;/p&gt;&lt;p style="text-align: justify; font-family: &amp;quot;Times New Roman&amp;quot;; font-size: medium; line-height: 1.8; text-indent: 56.6929pt; margin-top: 12pt; margin-bottom: 0pt;"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preserve;"&gt;Em paralelo, a promovida BANCO DAYCOVAL S/A apresentou reconvenção requerendo a compensação de eventual condenação com os valores fornecidos à autora.&lt;/span&gt;&lt;/p&gt;&lt;p style="text-align: justify; font-family: &amp;quot;Times New Roman&amp;quot;; font-size: medium; line-height: 1.8; text-indent: 56.6929pt; margin-top: 12pt; margin-bottom: 0pt;" dir="ltr"&gt;</w:t>
            </w:r>
          </w:p>
          <w:p>
            <w:pPr>
              <w:pStyle w:val="TableParagraph"/>
              <w:spacing w:line="208" w:lineRule="auto" w:before="0"/>
              <w:ind w:right="38"/>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preserve;"&gt;Após embargos de declaração, o dispositivo final da Sentença foi redigido da seguinte forma:&lt;/span&gt;&lt;/p&gt;&lt;p style="text-align: justify; font-family: &amp;quot;Times New Roman&amp;quot;; font-size: medium; line-height: 1.8; margin-left: 113pt; margin-top: 12pt; margin-bottom: 0pt;" dir="ltr"&gt; &lt;span style="font-size: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preserve;"&gt;ANTE O EXPOSTO, JULGO PARCIALMENTE PROCEDENTE o pedido autoral, com fundamento no art. 487, I, do CPC/2015, declarando inexistente e inexigíveis as cobranças referentes ao contrato de empréstimo consignado descrito na inicial, determinando a devolução de forma simples dos valores indevidamente descontados anteriores a 30/03/2021 e, em dobro, os posteriores, cujo valor será apurado em sede de liquidação de sentença (basta a parte indicar os valores), acrescidos de correção monetária pelo IPCA a partir do efetivo prejuízo e juros moratórios fixados de acordo com a taxa SELIC desde a CITAÇÃO, deduzido o IPCA do período.&amp;#160;&amp;#160;&lt;/span&gt;&lt;/p&gt;&lt;p style="text-align: justify; font-family: &amp;quot;Times New Roman&amp;quot;; font-size: medium; line-height: 1.8; margin-left: 113pt; margin-top: 12pt; margin-bottom: 0pt;" dir="ltr"&gt; &lt;span style="font-size: 12pt; font-family: &amp;quot;Times New Roman&amp;quot;, serif; background-color: transparent; font-style: italic; </w:t>
            </w:r>
            <w:r>
              <w:rPr>
                <w:spacing w:val="-3"/>
                <w:sz w:val="20"/>
              </w:rPr>
              <w:t>font- </w:t>
            </w:r>
            <w:r>
              <w:rPr>
                <w:sz w:val="20"/>
              </w:rPr>
              <w:t>variant-numeric: normal; font-variant-east-asian: normal; font-variant-alternates: normal; font-variant-position: normal; font-variant-emoji: normal; vertical-align: baseline; white- space-collapse: preserve;"&gt;POR FIM, JULGO PARCIALMENTE PROCEDENTE o pedido reconvencional, e determino a compensação da condenação acima com o produto do empréstimo, desprovido de juros e/ou correção monetária, caso constatado que os valores foram efetivamente disponibilizados ao autor, devendo ser comprovado em sede de cumprimento de sentença, sob pena de enriquecimento ilícito do requerente, resultado este não admitido pelo ordenamento jurídico.&amp;#160;&lt;/span&gt;&lt;/p&gt;&lt;p style="text-align: justify; font-family: &amp;quot;Times New Roman&amp;quot;; font-size: medium; line-height: 1.8; margin-left: 113pt; margin-top: 12pt; margin-bottom: 0pt;" dir="ltr"&gt; &lt;span style="font-size: 12pt; font-family: &amp;quot;Times New Roman&amp;quot;, serif; background-color: transparent; font-style: italic; font-variant-numeric: normal; font-variant-east-asian: normal; font-variant- alternates: normal; font-variant-position: normal; font-variant-emoji: normal; vertical-align: baseline; white-space-collapse: preserve;"&gt;Face a sucumbência recíproca, condeno as partes ao pagamento das custas processuais e honorários advocatícios dos patronos do(a)(s) adverso, que arbitro em 10% sobre o valor total da condenação, cuja exigibilidade fica suspensa em relação a demandante, na forma do art. 98, §3º do CPC.&amp;#160;&amp;#160;&lt;/span&gt;&lt;/p&gt;&lt;p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preserve;"&gt;Diante do julgado, a aposentada interpôs apelação, requerendo em suas&lt;/span&gt;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preserve;"&gt;razões&lt;/span&gt; &lt;span</w:t>
            </w:r>
            <w:r>
              <w:rPr>
                <w:spacing w:val="6"/>
                <w:sz w:val="20"/>
              </w:rPr>
              <w:t> </w:t>
            </w:r>
            <w:r>
              <w:rPr>
                <w:spacing w:val="-2"/>
                <w:sz w:val="20"/>
              </w:rPr>
              <w:t>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8"/>
              <w:rPr>
                <w:sz w:val="20"/>
              </w:rPr>
            </w:pPr>
            <w:r>
              <w:rPr>
                <w:sz w:val="20"/>
              </w:rPr>
              <w:t>size: 12pt; font-family: &amp;quot;Times New Roman&amp;quot;, serif; background-color: transparent; font-variant-numeric: normal; font-variant-east-asian: normal; font-variant- alternates: normal; font-variant-position: normal; font-variant-emoji: normal; vertical-align: baseline; white-space-collapse: preserve;"&gt;(id. 29121541) o reconhecimento de abalo moral indenizável.&lt;/span&gt;&lt;/p&gt;&lt;p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preserve;"&gt;Irresignada, a instituição financeira promovida apresentou apelação e em suas&lt;/span&gt; &lt;span style="font-size: 12pt; font-family: &amp;quot;Times New Roman&amp;quot;, serif; background-color: transparent; font-weight: 700; font-variant-numeric: normal; font- variant-east-asian: normal; font-variant-alternates: normal; font-variant-position: normal; font-variant-emoji: normal; vertical-align: baseline; white-space-collapse: preserve;"&gt;razões&lt;/span&gt;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preserve;"&gt;(id.</w:t>
            </w:r>
          </w:p>
          <w:p>
            <w:pPr>
              <w:pStyle w:val="TableParagraph"/>
              <w:spacing w:line="208" w:lineRule="auto" w:before="0"/>
              <w:ind w:right="55"/>
              <w:rPr>
                <w:sz w:val="20"/>
              </w:rPr>
            </w:pPr>
            <w:r>
              <w:rPr>
                <w:sz w:val="20"/>
              </w:rPr>
              <w:t>29121555), sustentou, preliminarmente, a existência de litispendência, de decadência, de prescrição; e, no mérito, a regularidade da contratação.&lt;/span&gt;&lt;/p&gt;&lt;p style="text-align: justify; font-family: &amp;quot;Times New Roman&amp;quot;; font-size: medium; line-height: 1.8; text-indent: 56.6929pt; margin-top: 12pt; margin-bottom: 0pt;" dir="ltr"&gt;&lt;span style="font- 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preserve;"&gt;Contrarrazões&lt;/span&gt;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preserve;"&gt;em manifestações de id. 29121550 e id.</w:t>
            </w:r>
          </w:p>
          <w:p>
            <w:pPr>
              <w:pStyle w:val="TableParagraph"/>
              <w:spacing w:line="208" w:lineRule="auto" w:before="0"/>
              <w:ind w:right="38"/>
              <w:rPr>
                <w:sz w:val="20"/>
              </w:rPr>
            </w:pPr>
            <w:r>
              <w:rPr>
                <w:sz w:val="20"/>
              </w:rPr>
              <w:t>29121560&lt;/span&gt;&lt;/p&gt;&lt;p style="text-align: justify; font-family: &amp;quot;Times New Roman&amp;quot;; font-size: medium; line-height: 1.8; text-indent: 56.6929pt; margin-top: 12pt; margin-bottom: 0pt;"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preserve;"&gt;Os autos vieram conclusos.&lt;/span&gt;&lt;/p&gt;&lt;p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w:t>
            </w:r>
            <w:r>
              <w:rPr>
                <w:spacing w:val="-3"/>
                <w:sz w:val="20"/>
              </w:rPr>
              <w:t>font- </w:t>
            </w:r>
            <w:r>
              <w:rPr>
                <w:sz w:val="20"/>
              </w:rPr>
              <w:t>variant-east-asian: normal; font-variant-alternates: normal; font-variant-position: normal; font-variant-emoji: normal; vertical-align: baseline; white-space-collapse: preserve;"&gt;Deixei de encaminhar o feito à&lt;/span&gt;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preserve;"&gt;Douta Procuradoria-Geral de Justiça,&lt;/span&gt; &lt;span style="font-size: 12pt; </w:t>
            </w:r>
            <w:r>
              <w:rPr>
                <w:spacing w:val="-4"/>
                <w:sz w:val="20"/>
              </w:rPr>
              <w:t>font- </w:t>
            </w:r>
            <w:r>
              <w:rPr>
                <w:sz w:val="20"/>
              </w:rPr>
              <w:t>family: &amp;quot;Times New Roman&amp;quot;, serif; background-color: transparent; font-variant- numeric: normal; font-variant-east-asian: normal; font-variant-alternates: normal; font- variant-position: normal; font-variant-emoji: normal; vertical-align: baseline; white-space- collapse: preserve;"&gt;por se tratar de demanda com interesse meramente privado e disponível.&lt;/span&gt;&lt;/p&gt;&lt;p style="text-align: justify; font-family: &amp;quot;Times New Roman&amp;quot;; font-size: medium; line-height: 1.8; text-indent: 56.6929pt; margin-top: 12pt; margin-bottom: 0pt;"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preserve;"&gt;É o relatório.&lt;/span&gt;&lt;/p&gt;&lt;p style="line-height: 1.7999999999999998; text-align: justify;</w:t>
            </w:r>
          </w:p>
          <w:p>
            <w:pPr>
              <w:pStyle w:val="TableParagraph"/>
              <w:tabs>
                <w:tab w:pos="1939" w:val="left" w:leader="none"/>
              </w:tabs>
              <w:spacing w:line="208" w:lineRule="auto" w:before="0"/>
              <w:ind w:right="20"/>
              <w:rPr>
                <w:sz w:val="20"/>
              </w:rPr>
            </w:pPr>
            <w:r>
              <w:rPr>
                <w:sz w:val="20"/>
              </w:rPr>
              <w:t>margin-top: 12pt; margin-bottom: 0pt;"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w:t>
              <w:tab/>
              <w:t>&lt;br /&gt; &lt;/span&gt;&lt;/p&gt;&lt;p style="line-height: 1.7999999999999998; text- align: center; margin-top: 12pt; margin-bottom: 0pt;" dir="ltr"&gt; &lt;span style="font-size: 12pt; font-family: 'Times New Roman',serif; color: #000000; background-color: transparent; font- weight: 700; font-style: normal; font-variant: normal; text-decoration: none; vertical-align: baseline; white-space: pre-wrap;"&gt;VOTO&lt;/span&gt;&lt;/p&gt;&lt;p style="line-height: 1.7999999999999998; text-align: justify; margin-top: 12pt; margin-bottom: 0pt;"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w:t>
            </w:r>
            <w:r>
              <w:rPr>
                <w:spacing w:val="3"/>
                <w:sz w:val="20"/>
              </w:rPr>
              <w:t> </w:t>
            </w:r>
            <w:r>
              <w:rPr>
                <w:spacing w:val="-3"/>
                <w:sz w:val="20"/>
              </w:rPr>
              <w:t>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553" w:val="left" w:leader="none"/>
              </w:tabs>
              <w:spacing w:line="215" w:lineRule="exact"/>
              <w:rPr>
                <w:sz w:val="20"/>
              </w:rPr>
            </w:pPr>
            <w:r>
              <w:rPr>
                <w:sz w:val="20"/>
              </w:rPr>
              <w:t>text-decoration: none; vertical-align: baseline; white-space: pre-wrap;"&gt;</w:t>
              <w:tab/>
              <w:t>&lt;br /&gt;</w:t>
            </w:r>
          </w:p>
          <w:p>
            <w:pPr>
              <w:pStyle w:val="TableParagraph"/>
              <w:spacing w:line="208" w:lineRule="auto" w:before="9"/>
              <w:ind w:right="132"/>
              <w:rPr>
                <w:sz w:val="20"/>
              </w:rPr>
            </w:pPr>
            <w:r>
              <w:rPr>
                <w:sz w:val="20"/>
              </w:rPr>
              <w:t>&lt;/span&gt;&lt;/p&gt;&lt;p style="line-height: 1.7999999999999998; text-indent: 56.692913385826756pt; text-align: justify; margin-top: 12pt; margin-bottom: 0pt;" dir="ltr"&gt;</w:t>
            </w:r>
          </w:p>
          <w:p>
            <w:pPr>
              <w:pStyle w:val="TableParagraph"/>
              <w:spacing w:line="208" w:lineRule="auto" w:before="0"/>
              <w:ind w:right="18"/>
              <w:rPr>
                <w:sz w:val="20"/>
              </w:rPr>
            </w:pPr>
            <w:r>
              <w:rPr>
                <w:sz w:val="20"/>
              </w:rPr>
              <w:t>&lt;span style="font-size: 12pt; font-family: 'Times New Roman',serif; color: #000000; background-color: transparent; font-weight: 700; font-style: normal; font-variant: normal; text-decoration: none; vertical-align: baseline; white-space: pre-wrap;"&gt;1. JUÍZO DE ADMISSIBILIDADE&lt;/span&gt;&lt;/p&gt;&lt;p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pre-wrap;"&gt;Presentes os pressupostos recursais de admissibilidade intrínsecos (legitimidade, interesse, cabimento </w:t>
            </w:r>
            <w:r>
              <w:rPr>
                <w:spacing w:val="-16"/>
                <w:sz w:val="20"/>
              </w:rPr>
              <w:t>e </w:t>
            </w:r>
            <w:r>
              <w:rPr>
                <w:sz w:val="20"/>
              </w:rPr>
              <w:t>inexistência de fato impeditivo ou extintivo) e extrínsecos (tempestividade, preparo e regularidade formal),&lt;/span&gt; &lt;span style="font-size: 12pt; font-family: 'Times New Roman',serif; color: #000000; background-color: transparent; font-weight: 700; font-style: normal; font-variant: normal; text-decoration: none; vertical-align: baseline; white-space: pre-wrap;"&gt;CONHEÇO&lt;/span&gt; &lt;span style="font-size: 12pt; font-family: 'Times New Roman',serif; color: #000000; background-color: transparent; font-weight: 400; font-style: normal; font-variant: normal; text-decoration: none; vertical-align: baseline; white-space: pre-wrap;"&gt;dos recursos interpostos e passo a apreciar o mérito destes.&lt;/span&gt;&lt;/p&gt;&lt;p style="line-height: 1.7999999999999998; text-indent: 56.692913385826756pt; text-align: justify; margin-top: 12pt; margin-bottom: 0pt;" dir="ltr"&gt; &lt;span style="font-size: 12pt; font- family: 'Times New Roman',serif; color: #000000; background-color: transparent; font- weight: 700; font-style: normal; font-variant: normal; text-decoration: none; vertical-align: baseline; white-space: pre-wrap;"&gt;2. MÉRITO&lt;/span&gt;&lt;/p&gt;&lt;p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pre-wrap;"&gt;Cinge-se a controvérsia recursal em averiguar a correção da decisão que julgou parcialmente procedentes os pedidos autorais, determinando a repetição do </w:t>
            </w:r>
            <w:r>
              <w:rPr>
                <w:spacing w:val="-3"/>
                <w:sz w:val="20"/>
              </w:rPr>
              <w:t>indébito </w:t>
            </w:r>
            <w:r>
              <w:rPr>
                <w:sz w:val="20"/>
              </w:rPr>
              <w:t>e parcialmente procedente o pedido reconvencional, determinando a compensação de valores eventualmente fornecidos ao consumidor.&lt;/span&gt;&lt;/p&gt;&lt;p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pre-wrap;"&gt;Os recursos concentram-se nas seguintes teses: i) preliminar de litispendência;</w:t>
            </w:r>
          </w:p>
          <w:p>
            <w:pPr>
              <w:pStyle w:val="TableParagraph"/>
              <w:spacing w:line="208" w:lineRule="auto" w:before="0"/>
              <w:ind w:right="20"/>
              <w:rPr>
                <w:sz w:val="20"/>
              </w:rPr>
            </w:pPr>
            <w:r>
              <w:rPr>
                <w:sz w:val="20"/>
              </w:rPr>
              <w:t>ii) prejudiciais de decadência e prescrição; iii) regularidade da contratação; iv) existência de abalo moral indenizável.&lt;/span&gt;&lt;/p&gt;&lt;p style="line-height: 1.7999999999999998; text- indent: 56.692913385826756pt; text-align: justify; margin-top: 12pt; margin-bottom: 0pt;" dir="ltr"&gt; &lt;span style="font-size: 12pt; font-family: 'Times New Roman',serif; color: #000000; background-color: transparent; font-weight: 700; font-style: normal; font-variant: normal; text-decoration: none; vertical-align: baseline; white-space: pre-wrap;"&gt;2.1. DA APELAÇÃO INTERPOSTA PELA INSTITUIÇÃO FINANCEIRA&lt;/span&gt;&lt;/p&gt;&lt;p style="line- 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pre-wrap;"&gt;Preliminarmente a apelante sustenta a tese de&lt;/span&gt; &lt;span style="font-size: 12pt; font-family: 'Times New Roman',serif; color: #000000; background- color: transparent; font-weight: 700; font-style: normal; font-variant: normal; text-decoration: none; vertical-align: baseline; white-space: pre-wrap;"&gt;litispendência&lt;/span&gt; &lt;span style="font-size: 12pt; font-family: 'Times New Roman',serif; color: #000000; background- color: transparent; font-weight: 400; font-style: normal; font-variant: normal; text-decoration: none; vertical-align: baseline; white-space: pre-wrap;"&gt;do presente feito com o processo cunhado sob o nº 0007529-22.2015.8.06.0028. Não obstante, os contratos que embasaram as respectivas demandas são diversos.&lt;/span&gt;&lt;/p&gt;&lt;p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pre-wrap;"&gt;No presente feito, a promovente embasou o feito tendo como objeto o contrato 55-1415688/09, como se vê na exordial (id. 29121397) e na documentação em anexo (id. 29121422). Lado outro, no processo nº 0007529-22.2015.8.06.0028 o contrato subjacente é o de nº 501488747002, conforme petição inicial desse feito (id. 102370334) e documento anexo (id. 102370359).&lt;/span&gt;&lt;/p&gt;&lt;p style="line-height: 1.7999999999999998; text- indent: 56.692913385826756pt; text-align: justify; margin-top: 12pt; margin-bottom: 0pt;" dir="ltr"&gt; &lt;span style="font-size: 12pt; font-family: 'Times New Roman',serif; color: #000000; background-color: transparent; font-weight: 400; font-style: normal;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7"/>
              <w:rPr>
                <w:sz w:val="20"/>
              </w:rPr>
            </w:pPr>
            <w:r>
              <w:rPr>
                <w:sz w:val="20"/>
              </w:rPr>
              <w:t>normal; text-decoration: none; vertical-align: baseline; white-space: pre-wrap;"&gt;Desta feita, não se caracteriza litispendência quando a causa de pedir é distinta, ainda que similar à </w:t>
            </w:r>
            <w:r>
              <w:rPr>
                <w:spacing w:val="-8"/>
                <w:sz w:val="20"/>
              </w:rPr>
              <w:t>de </w:t>
            </w:r>
            <w:r>
              <w:rPr>
                <w:sz w:val="20"/>
              </w:rPr>
              <w:t>outra demanda (art. 337, §3º, do CPC). Em verdade, diante da conexão poderia ter ocorrido o julgamento conjunto da demanda, mas com a prolação da sentença tal providência resta superada (art. 55, §1º, do CPC).&lt;/span&gt;&lt;/p&gt;&lt;p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pre-wrap;"&gt;No que tange à questão prejudicial da&lt;/span&gt; &lt;span style="font-size: 12pt; font-family: 'Times New Roman',serif; color: #000000; background-color: transparent; font- weight: 700; font-style: normal; font-variant: normal; text-decoration: none; vertical-align: baseline; white-space: pre-wrap;"&gt;prescrição e decadência,&lt;/span&gt; &lt;span style="font-size: 12pt; font-family: 'Times New Roman',serif; color: #000000; background-color: transparent; font-weight: 400; font-style: normal; font-variant: normal; text-decoration: none; vertical- align: baseline; white-space: pre-wrap;"&gt;restam corretos os fundamentos do&lt;/span&gt; &lt;span style="font-size: 12pt; font-family: 'Times New Roman',serif; color: #000000; background- color: transparent; font-weight: 400; font-style: italic; font-variant: normal; text-decoration: none; vertical-align: baseline; white-space: pre-wrap;"&gt;decisum&lt;/span&gt; &lt;span style="font- size: 12pt; font-family: 'Times New Roman',serif; color: #000000; background-color: transparent; font-weight: 400; font-style: normal; font-variant: normal; text-decoration: none; vertical-align: baseline; white-space: pre-wrap;"&gt;impugnado.&lt;/span&gt;&lt;/p&gt;&lt;p style="line- height: 1.7999999999999998; text-indent: 56.692913385826756pt; text-align: justify; margin-top: 12pt; margin-bottom: 0pt;" dir="ltr"&gt; &lt;span style="font-size: 12pt; font-family: 'Times New Roman',serif; color: #000000; background-color: transparent; font-weight: 400;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pre-wrap;"&gt;A prescrição incidente ao caso é a prevista no art. 27 do Código de Defesa do Consumidor, que prescreve o prazo de 5 (cinco) anos para as ações indenizatórias nas relações de consumo, não a trienal como aduz a apelante. Isso porque, a autora da ação perfaz a posição de consumidora na relação com o Banco, que ocupa a condição de fornecedor (Súmula 297, do STJ), ainda que de forma equiparada (art. 17, do CDC).&lt;/span&gt;&lt;/p&gt;&lt;p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pre-wrap;"&gt;Em paralelo, como bem posto pelo juízo&lt;/span&gt; &lt;span style="font-size: 12pt; font-family: 'Times New Roman',serif; color: #000000; background-color: transparent; font-weight: 400; font-style: italic; font-variant: normal; text-decoration: none; vertical-align: baseline; white-space: pre- wrap;"&gt;a quo,&lt;/span&gt; &lt;span style="font-size: 12pt; font-family: 'Times New Roman',serif; color: #000000; background-color: transparent; font-weight: 400; font-style: normal; font- variant: normal; text-decoration: none; vertical-align: baseline; white-space: pre-wrap;"&gt;a relação entre as partes é de trato sucessivo, tendo em vista a previsão de descontos mensais no benefício previdenciário, como é típico dos contratos de empréstimo consignado. Assim, não há que se falar de decadência, visto que a lesão se renovou de mês a mês.&lt;/span&gt;&lt;/p&gt;&lt;p style="line-height: 1.7999999999999998; text-indent: 56.692913385826756pt; text-align: justify; margin-top: 12pt; margin-bottom: 0pt;" dir="ltr"&gt;</w:t>
            </w:r>
          </w:p>
          <w:p>
            <w:pPr>
              <w:pStyle w:val="TableParagraph"/>
              <w:spacing w:line="208" w:lineRule="auto" w:before="0"/>
              <w:ind w:right="132"/>
              <w:rPr>
                <w:sz w:val="20"/>
              </w:rPr>
            </w:pPr>
            <w:r>
              <w:rPr>
                <w:sz w:val="20"/>
              </w:rPr>
              <w:t>&lt;span style="font-size: 12pt; font-family: 'Times New Roman',serif; color: #000000; background-color: transparent; font-weight: 400; font-style: normal; font-variant: normal; text-decoration: none; vertical-align: baseline; white-space: pre-wrap;"&gt;Outrossim, o presente caso trata de nulidade contratual em pacto envolvendo aposentada analfabeta, sem a observância do art. 595, do Código Civil e do IRDR nº 630366- 67.2019.8.06.0000 fixado por este Tribunal de Justiça. Nesse sentido, a inobservância da forma prescrita em lei é causa de nulidade absoluta, não sujeita em regra aos prazos extintivos, conforme arts. 166, IV, 168 e 169, do CC.&lt;/span&gt;&lt;/p&gt;&lt;p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pre-wrap;"&gt;Superadas as preliminares e questões prejudiciais, passo à análise do mérito recursal propriamente dito.&lt;/span&gt;&lt;/p&gt;&lt;p style="line-height: 1.7999999999999998; text-indent: 56.692913385826756pt; text-align: justify; margin-top: 12pt; margin-bottom: 0pt;" dir="ltr"&gt;</w:t>
            </w:r>
          </w:p>
          <w:p>
            <w:pPr>
              <w:pStyle w:val="TableParagraph"/>
              <w:spacing w:line="208" w:lineRule="auto" w:before="0"/>
              <w:ind w:right="229"/>
              <w:rPr>
                <w:sz w:val="20"/>
              </w:rPr>
            </w:pPr>
            <w:r>
              <w:rPr>
                <w:sz w:val="20"/>
              </w:rPr>
              <w:t>&lt;span style="font-size: 12pt; font-family: 'Times New Roman',serif; color: #000000; background-color: transparent; font-weight: 400; font-style: normal; font-variant: normal; text-decoration: none; vertical-align: baseline; white-space: pre-wrap;"&gt;A irregularidade contratual é latente no presente caso. Fundamento.&lt;/span&gt;&lt;/p&gt;&lt;p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2"/>
              <w:rPr>
                <w:sz w:val="20"/>
              </w:rPr>
            </w:pPr>
            <w:r>
              <w:rPr>
                <w:sz w:val="20"/>
              </w:rPr>
              <w:t>pre-wrap;"&gt;No caso em análise, o contrato juntado em id. 29121457 não contém assinatura a rogo com assinatura de duas testemunhas, requisitos essenciais para a validade do ajuste financeiro quando uma das partes é consumidor considerado analfabeto.&lt;/span&gt;&lt;/p&gt;&lt;p style="line-height: 1.7999999999999998; text-indent: 56.692913385826756pt; text-align: justify; margin-top: 12pt; margin-bottom: 0pt;"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pre-wrap;"&gt;À luz da legislação aplicável e da jurisprudência dominante, o documento apresentado pelo réu não atende integralmente às exigências legais, razão pela qual não se presta a comprovar a regularidade do contrato celebrado entre as partes.&lt;/span&gt;&lt;/p&gt;&lt;p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pre-wrap;"&gt;Ressalte-se que a autora é analfabeta, razão pela qual a assinatura do instrumento contratual deveria observar o que foi estabelecido no IRDR nº 0630366- 67.2019.8.06.0000, do TJCE. Veja-se:&lt;/span&gt;&lt;/p&gt;&lt;p style="line-height: 1.7999999999999998; margin-left: 113pt; text-align: justify; margin-top: 12pt; margin- bottom: 0pt;" dir="ltr"&gt;&lt;span style="font-size: 12pt; font-family: 'Times New Roman',serif; color: #000000; background-color: transparent; font-weight: 400; font-style: normal; font- variant: normal; text-decoration: none; vertical-align: baseline; white-space: pre- wrap;"&gt;ACÓRDÃO Vistos, relatados e discutidos estes autos de Incidente de Resolução de Demandas Repetitivas de nº 0630366-67.2019.8.06.0000, com afetação à Apelação nº 0000708-62.2017.8.06.0147, a requerimento da parte suscitante, e nos termos do voto do Relator, ACORDAM os Desembargadores integrantes da Seção de Direito Privado do Tribunal de Justiça do Estado do Ceará, à unanimidade, após deliberar o mérito da questão controvertida debatida, em adotar, nos termos do artigo 978 do Código de Processo Civil, a seguinte&lt;/span&gt; &lt;span style="font-size: 12pt; font-family: &amp;quot;Times New Roman&amp;quot;, serif; color: #000000; background-color: transparent; font-weight: 700; font-style: normal; font-variant: normal; text-decoration-skip-ink: none; vertical-align: baseline; white-space: pre-wrap; text-decoration: underline;"&gt;tese&lt;/span&gt;&lt;span style="font-size: 12pt; font-family: 'Times New Roman',serif; color: #000000; background- color: transparent; font-weight: 400; font-style: normal; font-variant: normal; text-decoration: none; vertical-align: baseline; white-space: pre-wrap;"&gt;: É CONSIDERADO LEGAL O INSTRUMENTO PARTICULAR ASSINADO A ROGO E SUBSCRITO POR DUAS TESTEMUNHAS PARA A CONTRATAÇÃO DE EMPRÉSTIMOS CONSIGNADOS ENTRE PESSSOAS ANALFABETAS E INSTITUIÇÕES FINANCEIRAS, NOS DITAMES DO ART. 595 DO CC, NÃO SENDO NECESSÁRIO INSTRUMENTO PÚBLICO PARA A VALIDADE DA MANIFESTAÇÃO DE VONTADE DO ANALFABETO NEM PROCURAÇÃO PÚBLICA DAQUELE QUE ASSINA A SEU ROGO, CABENDO AO PODER JUDICIÁRIO O CONTROLE DO EFETIVO CUMPRIMENTO DAS DISPOSIÇÕES DO ARTIGO 595 DO</w:t>
            </w:r>
          </w:p>
          <w:p>
            <w:pPr>
              <w:pStyle w:val="TableParagraph"/>
              <w:spacing w:line="208" w:lineRule="auto" w:before="0"/>
              <w:ind w:right="131"/>
              <w:rPr>
                <w:sz w:val="20"/>
              </w:rPr>
            </w:pPr>
            <w:r>
              <w:rPr>
                <w:sz w:val="20"/>
              </w:rPr>
              <w:t>CÓDIGO CIVIL. Em consequência desta decisão, nos termos do art. 978, § único, e art. 985, ambos do Código de Processo Civil, conhece-se e julga-se improvida a apelação nº 0000708-62.2017.8.06.0147, afetada como causa-piloto, mantendo-se inalterada a sentença de primeiro grau que julgou improcedente a demanda de origem, impondo-se, portanto, por consequência, a decisão ora proferida neste Incidente de Resolução de Demandas Repetitivas. O julgamento teve a participação dos Exmos. Desembargadores: Emanuel Leite Albuquerque (presidindo a sessão), Vera Lúcia Correia Lima, Durval Aires Filho, Francisco Darival Beserra Primo, Francisco Bezerra Cavalcante (Relator), Carlos Alberto Mendes Forte, Francisco Gomes de Moura, Raimundo Nonato Silva Santos, , Lira Ramos de Oliveira, Heráclito Vieira de Sousa Neto, Francisco Mauro Ferreira Liberado, Francisco Luciano Lima Rodrigues, Maria do Livramento Alves Magalhães e José Ricardo Vidal Patrocínio. Ausentes justificadamente as Desembargadoras Maria Vilauba Fausto Lopes e Maria de Fátima de Melo Loureiro. Fortaleza-Ce, 21 de Setembro de 2020.</w:t>
            </w:r>
          </w:p>
          <w:p>
            <w:pPr>
              <w:pStyle w:val="TableParagraph"/>
              <w:tabs>
                <w:tab w:pos="3862" w:val="left" w:leader="none"/>
              </w:tabs>
              <w:spacing w:line="208" w:lineRule="auto" w:before="0"/>
              <w:ind w:right="53"/>
              <w:rPr>
                <w:sz w:val="20"/>
              </w:rPr>
            </w:pPr>
            <w:r>
              <w:rPr>
                <w:sz w:val="20"/>
              </w:rPr>
              <w:t>EMANUEL LEITE ALBUQUERQUE Desembargador Presidindo a sessão do Órgão FRANCISCO BEZERRA CAVALCANTE Desembargador Relator.&lt;/span&gt; &lt;span style="font-size: 12pt; font-family: 'Times New Roman',serif; color: #000000; background- color: transparent; font-weight: 400; font-style: normal; font-variant: normal; text-decoration: none; vertical-align: baseline; white-space: pre-wrap;"&gt;(Incidente de Resolução de Demandas Repetitivas - 0630366-67.2019.8.06.0000, Rel. Desembargador(a) FRANCISCO BEZERRA CAVALCANTE, Seção de Direito Privado, data do julgamento:&amp;#160; 21/09/2020, data da publicação:&amp;#160; 22/09/2020) [Destaquei]&lt;/span&gt;&lt;/p&gt;&lt;p style="line-height: 1.7999999999999998; margin-left: 113pt; text-align: justify; margin-top: 12pt; margin-bottom: 0pt;" dir="ltr"&gt; &lt;span style="font-size: 12pt; font-family: 'Times New Roman',serif; color: #000000; background-color: transparent; font-weight: 400; font-style: normal; font-variant: normal; text-decoration: none; vertical- align: baseline; white-space: pre-wrap;"&gt;</w:t>
              <w:tab/>
              <w:t>&lt;br /&gt; &lt;/span&gt;&lt;/p&gt;&lt;p style="line-height: 1.7999999999999998; text-indent: 56.692913385826756pt; text-align: justify; margin-top: 12pt; margin-bottom: 0pt;" dir="ltr"&gt;&lt;span style="font-size: 12pt; font-family: 'Times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1"/>
              <w:rPr>
                <w:sz w:val="20"/>
              </w:rPr>
            </w:pPr>
            <w:r>
              <w:rPr>
                <w:sz w:val="20"/>
              </w:rPr>
              <w:t>Roman',serif; color: #000000; background-color: transparent; font-weight: 400; font-style: normal; font-variant: normal; text-decoration: none; vertical-align: baseline; white-space: pre-wrap;"&gt;Não obstante, o contrato objeto de discussão na petição inicial&lt;/span&gt; &lt;span style="font-size: 12pt; font-family: 'Times New Roman',serif; color: #000000; background- color: transparent; font-weight: 700; font-style: normal; font-variant: normal; text-decoration: none; vertical-align: baseline; white-space: pre-wrap;"&gt;carece da assinatura a rogo e da assinatura de duas testemunhas&lt;/span&gt;&lt;span style="font-size: 12pt; font-family: 'Times New Roman',serif; color: #000000; background-color: transparent; font-weight: 400; font- style: normal; font-variant: normal; text-decoration: none; vertical-align: baseline; white- space: pre-wrap;"&gt;, o que o torna nulo, seja com base no IRDR nº 0630366- 67.2019.8.06.0000 do TJCE, seja com base no art. 595 do CC. Dito isso, imperioso reconhecer a conduta abusiva da instituição financeira, de modo que deve ser reconhecida a nulidade do contrato.&lt;/span&gt;&lt;/p&gt;&lt;p style="line-height: 1.7999999999999998; text- 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pre-wrap;"&gt;A aposição de impressão digital não preenche todos os requisitos legais, nem cumpre o objetivo da norma de proteger pessoa vulnerável de pactos que podem lhe prejudicar.&lt;/span&gt;&lt;/p&gt;&lt;p style="line-height: 1.7999999999999998; text-indent: 56.692913385826756pt; text-align: justify; margin-top: 12pt; margin-bottom: 0pt;" dir="ltr"&gt; &lt;span style="font-size: 12pt; font- family: 'Times New Roman',serif; color: #000000; background-color: transparent; font- weight: 400; font-style: normal; font-variant: normal; text-decoration: none; vertical-align: baseline; white-space: pre-wrap;"&gt;Em conseguinte, não há que se falar em enriquecimento ilícito da promovente, tendo em vista que o juízo deferiu a compensação de valores eventualmente depositados na conta bancária da autora.&lt;/span&gt;&lt;/p&gt;&lt;p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pre-wrap;"&gt;Ademais, eventuais contratos relacionados com o contrato nulo não são objeto da presente demanda, não constando entre os pedidos da promovente. Consigna-se isto, tendo em vista a alegação da apelante de que existe contrato conexo ao de nº 55- 1415688/09.&lt;/span&gt;&lt;/p&gt;&lt;p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pre-wrap;"&gt;Verificada a irregularidade do contrato, deve-se&lt;/span&gt; &lt;span style="font-size: 12pt; font-family: 'Times New Roman',serif; color: #000000; background-color: transparent; font-weight: 700; font- style: normal; font-variant: normal; text-decoration: none; vertical-align: baseline; white- space: pre-wrap;"&gt;restituir os valores descontados indevidamente da apelante&lt;/span&gt;&lt;span style="font-size: 12pt; font-family: 'Times New Roman',serif; color: #000000; background-color: transparent; font-weight: 400; font-style: normal; font-variant: normal; text-decoration: none; vertical-align: baseline; white-space: pre-wrap;"&gt;. Quanto à devolução dos valores cobrados indevidamente, seja de forma simples ou em dobro, cumpre destacar que&lt;/span&gt; &lt;span style="font-size: 12pt; font-family: 'Times New Roman',serif; color: #000000; background-color: transparent; font-weight: 400; font-style: italic; font-variant: normal; text-decoration: none; vertical-align: baseline; white-space: pre- wrap;"&gt;existia&lt;/span&gt; &lt;span style="font-size: 12pt; font-family: 'Times New Roman',serif; color: #000000; background-color: transparent; font-weight: 400; font-style: normal; font- variant: normal; text-decoration: none; vertical-align: baseline; white-space: pre- wrap;"&gt;entendimento de que a repetição em dobro do indébito, prevista no parágrafo único do art. 42 do CDC, somente é aplicável quando comprovada a má-fé do fornecedor. Não demonstrada a má-fé, a restituição deve ocorrer apenas de maneira simples.&lt;/span&gt;&lt;/p&gt;&lt;p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pre-wrap;"&gt;Nessa temática, convém destacar a redação do art. 42, parágrafo único, do CDC,&lt;/span&gt; &lt;span</w:t>
            </w:r>
          </w:p>
          <w:p>
            <w:pPr>
              <w:pStyle w:val="TableParagraph"/>
              <w:tabs>
                <w:tab w:pos="7275" w:val="left" w:leader="none"/>
              </w:tabs>
              <w:spacing w:line="208" w:lineRule="auto" w:before="0"/>
              <w:ind w:right="54"/>
              <w:rPr>
                <w:sz w:val="20"/>
              </w:rPr>
            </w:pPr>
            <w:r>
              <w:rPr>
                <w:sz w:val="20"/>
              </w:rPr>
              <w:t>style="font-size: 12pt; font-family: 'Times New Roman',serif; color: #000000; background- color: transparent; font-weight: 400; font-style: italic; font-variant: normal; text-decoration: none; vertical-align: baseline; white-space: pre-wrap;"&gt;in verbis:&lt;/span&gt;&lt;/p&gt;&lt;p style="line- height: 1.7999999999999998; margin-left: 113.38582677165351pt; text-indent: 2.842170943040401e-14pt; text-align: justify; margin-top: 12pt; margin-bottom: 0pt;" dir="ltr"&gt; &lt;span style="font-size: 12pt; font-family: 'Times New Roman',serif; color: #000000; background-color: transparent; font-weight: 400; font-style: normal; font-variant: normal; text-decoration: none; vertical-align: baseline; white-space: pre-wrap;"&gt;</w:t>
              <w:tab/>
            </w:r>
            <w:r>
              <w:rPr>
                <w:spacing w:val="-3"/>
                <w:sz w:val="20"/>
              </w:rPr>
              <w:t>&lt;em&gt;Art.</w:t>
            </w:r>
          </w:p>
          <w:p>
            <w:pPr>
              <w:pStyle w:val="TableParagraph"/>
              <w:spacing w:line="205" w:lineRule="exact" w:before="0"/>
              <w:rPr>
                <w:sz w:val="20"/>
              </w:rPr>
            </w:pPr>
            <w:r>
              <w:rPr>
                <w:sz w:val="20"/>
              </w:rPr>
              <w:t>42. Na cobrança de débitos, o consumidor inadimplente não será exposto a ridículo, nem</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2"/>
              <w:rPr>
                <w:sz w:val="20"/>
              </w:rPr>
            </w:pPr>
            <w:r>
              <w:rPr>
                <w:sz w:val="20"/>
              </w:rPr>
              <w:t>será submetido a qualquer tipo de constrangimento ou ameaça.&lt;/em&gt; &lt;/span&gt;&lt;/p&gt;&lt;p style="line-height: 1.7999999999999998; margin-left: 113.38582677165351pt; text-indent: 2.842170943040401e-14pt; text-align: justify; margin-top: 12pt; margin-bottom: 0pt;" dir="ltr"&gt; &lt;span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52"/>
              <w:rPr>
                <w:sz w:val="20"/>
              </w:rPr>
            </w:pPr>
            <w:r>
              <w:rPr>
                <w:sz w:val="20"/>
              </w:rPr>
              <w:t>&lt;em&gt;Parágrafo único. O consumidor cobrado em quantia indevida tem direito à repetição do indébito, por valor igual ao dobro do que pagou em excesso, acrescido de correção monetária e juros legais, salvo hipótese de engano justificável.&lt;/em&gt; &lt;/span&gt;&lt;/p&gt;&lt;p style="line-height: 1.7999999999999998; text-indent: 56.692913385826756pt; text-align: justify; margin-top: 12pt; margin-bottom: 0pt;" dir="ltr"&gt; &lt;span style="font-size: 12pt; font- family: 'Times New Roman',serif; color: #000000; background-color: transparent; font- weight: 400; font-style: normal; font-variant: normal; text-decoration: none; vertical-align: baseline; white-space: pre-wrap;"&gt;Da leitura do dispositivo descrito, compreende-se que o fornecedor e o prestador de serviço devem restituir ao consumidor o dobro do que este tenha pagado em excesso de forma indevida, afastando tal imposição tão somente se ficar comprovado engano justificável.&lt;/span&gt;&lt;/p&gt;&lt;p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pre-wrap;"&gt;A ressalva proposta pelo legislador foi objeto de intenso debate em sede jurisprudencial e doutrinária, especialmente sobre quais seriam seus contornos para a sua caracterização. Até que a Corte Cidadã fixou orientação no sentido de que, para a aplicação do dispositivo, é suficiente a demonstração de que a conduta é contrária à boa-fé objetiva, dispensando-se a comprovação do elemento volitivo. A Corte Especial do STJ apreciou a matéria no EAREsp 600.663/RS, firmando a seguinte tese:&lt;/span&gt;&lt;/p&gt;&lt;p style="line-height: 1.7999999999999998; margin-left: 113pt; text-align: justify; margin-top: 12pt; margin- bottom: 0pt;" dir="ltr"&gt; &lt;span style="font-size: 12pt; font-family: 'Times New Roman',serif; color: #000000; background-color: transparent; font-weight: 400; font-style: normal; font- variant: normal; text-decoration: none; vertical-align: baseline; white-space: pre-wrap;"&gt;A repetição em dobro, prevista no parágrafo único do art. 42 do CDC, é cabível quando a cobrança indevida consubstanciar conduta contrária à boa-fé objetiva, ou seja, deve ocorrer independentemente da natureza do elemento volitivo.&lt;/span&gt;&lt;/p&gt;&lt;p style="line- height: 1.7999999999999998; margin-left: 113pt; text-align: justify; margin-top: 12pt; margin-bottom: 0pt;" dir="ltr"&gt; &lt;span style="font-size: 12pt; font-family: 'Times New Roman',serif; color: #000000; background-color: transparent; font-weight: 700; font-style: normal; font-variant: normal; text-decoration: none; vertical-align: baseline; white-space: pre-wrap;"&gt;STJ. Corte Especial. EAREsp 600.663/RS, Rel. Min. Maria Thereza de Assis Moura, relator para acórdão Min. Herman Benjamin, julgado em 21/10/2020, DJe de 30/3/2021.&lt;/span&gt;&lt;/p&gt;&lt;p style="line-height: 1.7999999999999998; margin-left: 113pt;</w:t>
            </w:r>
          </w:p>
          <w:p>
            <w:pPr>
              <w:pStyle w:val="TableParagraph"/>
              <w:tabs>
                <w:tab w:pos="3862" w:val="left" w:leader="none"/>
                <w:tab w:pos="4607" w:val="left" w:leader="none"/>
              </w:tabs>
              <w:spacing w:line="208" w:lineRule="auto" w:before="0"/>
              <w:ind w:right="20"/>
              <w:rPr>
                <w:sz w:val="20"/>
              </w:rPr>
            </w:pPr>
            <w:r>
              <w:rPr>
                <w:sz w:val="20"/>
              </w:rPr>
              <w:t>text-align: justify; margin-top: 12pt; margin-bottom: 0pt;" dir="ltr"&gt; &lt;span style="font-size: 12pt; font-family: 'Times New Roman',serif; color: #000000; background-color: transparent; font-weight: 700; font-style: normal; font-variant: normal; text-decoration: none; vertical- align: baseline; white-space: pre-wrap;"&gt;</w:t>
              <w:tab/>
              <w:t>&lt;br /&gt;</w:t>
              <w:tab/>
              <w:t>&lt;br /&gt; &lt;/span&gt;&lt;/p&gt;&lt;p style="line- 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pre-wrap;"&gt;Como essa decisão apresentou uma mudança do entendimento até então dominante, o Superior Tribunal de Justiça decidiu&lt;/span&gt; &lt;span style="font-size: 12pt; font-family: 'Times New Roman',serif; color: #000000; background-color: transparent; font-weight: 400; font-style: italic; font-variant: normal; text-decoration: none; vertical-align: baseline; white-space: pre-wrap;"&gt;modular os efeitos&lt;/span&gt; &lt;span style="font-size: 12pt; font-family: 'Times New Roman',serif; color: #000000; background-color: transparent; font- weight: 400; font-style: normal; font-variant: normal; text-decoration: none; vertical-align: baseline; white-space: pre-wrap;"&gt;da decisão, estabelecendo que somente incidiria a repetição do indébito dobrada para pagamentos indevidos realizados em data posterior à publicação do acórdão (30/03/2021).&lt;/span&gt;&lt;/p&gt;&lt;p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pre-wrap;"&gt;Assim, resta escorreita a conclusão do dispositivo de sentença acerca do entendimento acima delineado (id. 29121554), com a restituição das parcelas pagas deve ser realizada de&lt;/span&gt; &lt;span style="font-size: 12pt; font-family: 'Times New Roman',serif; color: #000000; background-color: transparent; font-weight: 700; font-style: normal; font- variant: normal; text-decoration: none; vertical-align: baseline; white-space: pre- wrap;"&gt;forma mista&lt;/span&gt;&lt;span style="font-size: 12pt; font-family: 'Times New Roman',serif; color: #000000; background-color: transparent; font-weight: 400; font-style: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normal; font-variant: normal; text-decoration: none; vertical-align: baseline; white-space: pre-wrap;"&gt;, para descontos eventualmente ocorridos antes da publicação do referido acórdão, e tendo ocorrido descontos após a decisão paradigmática, 30/03/2021, a devolução deve ocorrer em dobro.&lt;/span&gt;&lt;/p&gt;&lt;p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pre-wrap;"&gt;Por fim, tendo em vista o direito à&lt;/span&gt; &lt;span style="font-size: 12pt; font-family: 'Times New Roman',serif; color: #000000; background-color: transparent; font-weight: 700; font-style: normal; font-variant: normal; text-decoration: none; vertical-align: baseline; white-space: pre-wrap;"&gt;compensação&lt;/span&gt; &lt;span style="font-size: 12pt; font-family: 'Times New Roman',serif; color: #000000; background-color: transparent; font-weight: 400; font-style: normal; font-variant: normal; text-decoration: none; vertical-align: baseline; white-space: pre-wrap;"&gt;em prol da instituição financeira, com abatimento dos valores depositados em conta (acaso comprovados) da autora em face do valor a ser restituído a título de repetição de indébito, assiste razão à apelante quanto à necessidade de correção monetária.&lt;/span&gt;&lt;/p&gt;&lt;p style="line-height: 1.7999999999999998; text-indent: 56.692913385826756pt; text-align: justify; margin-top: 12pt; margin-bottom: 0pt;"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pre-wrap;"&gt;Isso porque, considerado nulo o contrato, as partes retornam ao estado anterior, salvo a repetição do indébito em dobro, e o valor emprestado pela instituição financeira deve ser atualizado para correta compensação com os valores a serem restituídos em prol da consumidora.&lt;/span&gt;&lt;/p&gt;&lt;p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pre-wrap;"&gt;Se assim não ocorresse, haveria enriquecimento sem causa da autora, visto que receberia a restituição dos valores descontados de seu benefício com atualização monetária, mas com abatimento baseado em valor defasado, de forma que teria proveito econômico sem </w:t>
            </w:r>
            <w:r>
              <w:rPr>
                <w:spacing w:val="-4"/>
                <w:sz w:val="20"/>
              </w:rPr>
              <w:t>base </w:t>
            </w:r>
            <w:r>
              <w:rPr>
                <w:sz w:val="20"/>
              </w:rPr>
              <w:t>legal.&lt;/span&gt;&lt;/p&gt;&lt;p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pre-wrap;"&gt;Assim, deve incidir atualização monetária em face de eventual montante a ser compensado, aplicando o mesmo índice de correção fixado aos valores a serem restituídos, qual seja o IPCA.&lt;/span&gt;&lt;/p&gt;&lt;p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8"/>
              <w:rPr>
                <w:sz w:val="20"/>
              </w:rPr>
            </w:pPr>
            <w:r>
              <w:rPr>
                <w:sz w:val="20"/>
              </w:rPr>
              <w:t>&lt;span style="font-size: 12pt; font-family: 'Times New Roman',serif; color: #000000; background-color: transparent; font-weight: 700; font-style: normal; font-variant: normal; text-decoration: none; vertical-align: baseline; white-space: pre-wrap;"&gt;2.2. DA APELAÇÃO INTERPOSTA PELA APOSENTADA&lt;/span&gt;&lt;/p&gt;&lt;p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pre-wrap;"&gt;Quanto aos&lt;/span&gt; &lt;span style="font-size: 12pt; font-family: 'Times New Roman',serif; color: #000000; background-color: transparent; font-weight: 700; font-style: normal; font-variant: normal; text-decoration: none; vertical-align: baseline; white-space: pre-wrap;"&gt;danos morais&lt;/span&gt;&lt;span style="font-size: 12pt; font-family: 'Times New Roman',serif; color: #000000; background-color: transparent; font-weight: 400; font-style: normal; font-variant: normal; text-decoration: none; vertical-align: baseline; white-space: pre-wrap;"&gt;, fora comprovado o ato ilícito (art. 186) e o dano extrapatrimonial. O caso em questão configura violação aos direitos da personalidade do consumidor hipervulnerável, que foi submetido a um constrangimento que ultrapassa um mero aborrecimento. Além de ser analfabeta, estamos diante de pessoa idosa, que não teve assegurado o respeito a sua livre manifestação de vontade e proteção que impõe o sistema jurídico. Assim, é legítima a reparação por danos morais, conforme pleiteado na petição inicial.&lt;/span&gt;&lt;/p&gt;&lt;p style="line-height: 1.7999999999999998; text-indent: 56.692913385826756pt; text-align: justify; margin-top: 12pt; margin-bottom: 0pt;" dir="ltr"&gt; &lt;span style="font-size: 12pt; font- family: 'Times New Roman',serif; color: #000000; background-color: transparent; font- weight: 400; font-style: normal; font-variant: normal; text-decoration: none; vertical-align: baseline; white-space: pre-wrap;"&gt;De fato, como bem destaca a jurisprudência desta Corte de Justiça, a violação de natureza extrapatrimonial é incontestável. Isso porque já se encontra pacificado o entendimento de que a realização de descontos em benefício previdenciário, decorrentes de empréstimo consignado sem a prévia autorização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beneficiário, configura dano presumido (&lt;/span&gt; &lt;span style="font-size: 12pt; font-family: 'Times New Roman',serif; color: #000000; background-color: transparent; font-weight: 400; font-style: italic; font-variant: normal; text-decoration: none; vertical-align: baseline; white- space: pre-wrap;"&gt;in re ipsa&lt;/span&gt; &lt;span style="font-size: 12pt; font-family: 'Times New Roman',serif; color: #000000; background-color: transparent; font-weight: 400; font-style: normal; font-variant: normal; text-decoration: none; vertical-align: baseline; white-space: pre-wrap;"&gt;), salvo situações excepcionalíssimas, como nos casos de descontos ínfimos, o que não se observa no presente caso, conforme documentação anexa (id.</w:t>
            </w:r>
          </w:p>
          <w:p>
            <w:pPr>
              <w:pStyle w:val="TableParagraph"/>
              <w:spacing w:line="208" w:lineRule="auto" w:before="0"/>
              <w:ind w:right="42"/>
              <w:rPr>
                <w:sz w:val="20"/>
              </w:rPr>
            </w:pPr>
            <w:r>
              <w:rPr>
                <w:sz w:val="20"/>
              </w:rPr>
              <w:t>29121462).&lt;/span&gt;&lt;/p&gt;&lt;p style="line-height: 1.7999999999999998; text-indent: 56.692913385826756pt; text-align: justify; margin-top: 12pt; margin-bottom: 0pt;"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pre-wrap;"&gt;Em paralelo,&lt;/span&gt; &lt;span style="font-size: 12pt; font-family: 'Times New Roman',serif; color: #000000; background-color: transparent; font-weight: 700; font-style: normal; font-variant: normal; text-decoration: none; vertical-align: baseline; white-space: pre-wrap;"&gt;quanto ao valor indenizatório atinente aos danos morais,&lt;/span&gt; &lt;span style="font-size: 12pt; font- family: 'Times New Roman',serif; color: #000000; background-color: transparent; font- weight: 400; font-style: normal; font-variant: normal; text-decoration: none; vertical-align: baseline; white-space: pre-wrap;"&gt;é fundamental considerar os princípios da proporcionalidade e da razoabilidade, alinhando-os aos propósitos essenciais da reparação. De um lado, busca-se proporcionar alívio ao ofendido, garantindo-lhe um conforto diante das ofensas e do sofrimento vivenciado; de outro, objetiva-se repreender o ofensor por sua conduta desrespeitosa em relação aos direitos alheios e às obrigações inerentes à sua condição, seja como fornecedor, produtor ou prestador de serviços.&lt;/span&gt;&lt;/p&gt;&lt;p style="line-height: 1.7999999999999998; text-indent: 56.692913385826756pt; text-align: justify; margin-top: 12pt; margin-bottom: 0pt;"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pre-wrap;"&gt;A esse respeito, cite-se os ensinamentos da renomada doutrinadora Maria Helena Diniz:&lt;/span&gt; &lt;span style="font-size: 12pt; font-family: 'Times New Roman',serif; color: #000000; background- color: transparent; font-weight: 400; font-style: italic; font-variant: normal; text-decoration: none; vertical-align: baseline; white-space: pre-wrap;"&gt;"Na avaliação do dano moral, o órgão judicante deverá estabelecer uma reparação equitativa, baseada na culpa do agente, na extensão do prejuízo causado e na capacidade econômica do responsável."&lt;/span&gt;&lt;span style="font-size: 12pt; font-family: 'Times New Roman',serif; color: #000000; background-color: transparent; font-weight: 400; font-style: italic; font- variant: normal; text-decoration: none; vertical-align: baseline; white-space: pre-wrap;"&gt;</w:t>
            </w:r>
          </w:p>
          <w:p>
            <w:pPr>
              <w:pStyle w:val="TableParagraph"/>
              <w:spacing w:line="208" w:lineRule="auto" w:before="0"/>
              <w:ind w:right="20"/>
              <w:rPr>
                <w:sz w:val="20"/>
              </w:rPr>
            </w:pPr>
            <w:r>
              <w:rPr>
                <w:sz w:val="20"/>
              </w:rPr>
              <w:t>&lt;span style="font-size: 0.6em; vertical-align: super;"&gt;1&lt;/span&gt;&lt;/span&gt;&lt;/p&gt;&lt;p style="line- 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pre-wrap;"&gt;Observa-se, ademais,&lt;/span&gt; &lt;span style="font-size: 12pt; font-family: &amp;quot;Times New Roman&amp;quot;, serif; color: #000000; background-color: transparent; font- weight: 700; font-style: normal; font-variant: normal; text-decoration-skip-ink: none; vertical- align: baseline; white-space: pre-wrap; text-decoration: underline;"&gt;o critério bifásico de mensuração dos danos morais&lt;/span&gt;&lt;span style="font-size: 12pt; font-family: 'Times New Roman',serif; color: #000000; background-color: transparent; font-weight: 400; font- style: normal; font-variant: normal; text-decoration: none; vertical-align: baseline; white- space: pre-wrap;"&gt;, avaliando em um&lt;/span&gt; &lt;span style="font-size: 12pt; font-family: &amp;quot;Times New Roman&amp;quot;, serif; color: #000000; background-color: transparent; font- weight: 700; font-style: normal; font-variant: normal; text-decoration-skip-ink: none; vertical- align: baseline; white-space: pre-wrap; text-decoration: underline;"&gt;primeiro momento o interesse jurídico&lt;/span&gt; &lt;span style="font-size: 12pt; font-family: 'Times New Roman',serif; color: #000000; background-color: transparent; font-weight: 400; font-style: normal; font-variant: normal; text-decoration: none; vertical-align: baseline; white-space: pre-wrap;"&gt;envolvido, devendo-se estabelecer um valor básico para a indenização,&lt;/span&gt; &lt;span style="font-size: 12pt; font-family: &amp;quot;Times New Roman&amp;quot;, serif; color: #000000; background-color: transparent; font-weight: 700; font- style: normal; font-variant: normal; text-decoration-skip-ink: none; vertical-align: baseline; white-space: pre-wrap; text-decoration: underline;"&gt;com base em grupo de casos ou precedentes que abordaram casos semelhantes.&amp;#160;&lt;/span&gt;&lt;/p&gt;&lt;p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pre-wrap;"&gt;Nesse sentido, existem diversos precedentes deste Egrégio Tribunal de Justiça arbitrando o montante indenizatório em casos envolvendo danos morais advindos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2"/>
              <w:rPr>
                <w:sz w:val="20"/>
              </w:rPr>
            </w:pPr>
            <w:r>
              <w:rPr>
                <w:sz w:val="20"/>
              </w:rPr>
              <w:t>descontos indevidos e empréstimo consignado no valor de R$ 3.000,00 (três mil reais).&lt;/span&gt;&lt;/p&gt;&lt;p style="line-height: 1.7999999999999998; text-indent: 56.692913385826756pt; text-align: justify; margin-top: 12pt; margin-bottom: 0pt;"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pre-wrap;"&gt;Neste sentido, colaciona-se a jurisprudência:&lt;/span&gt;&lt;/p&gt;&lt;p style="line-height: 1.7999999999999998; margin-left: 113pt; text-align: justify; margin-top: 12pt; margin-bottom: 0pt;" dir="ltr"&gt;&lt;span style="font-size: 12pt; font-family: 'Times New Roman',serif; color: #000000; background- color: transparent; font-weight: 400; font-style: normal; font-variant: normal; text-decoration: none; vertical-align: baseline; white-space: pre-wrap;"&gt;DIREITO DO CONSUMIDOR E PROCESSUAL CIVIL. APELAÇÕES CÍVEIS. AÇÃO DECLARATÓRIA DE NULIDADE DE RELAÇÃO CONTRATUAL C/C PEDIDO DE REPETIÇÃO DO INDÉBITO E INDENIZAÇÃO POR DANOS MORAIS. EMPRÉSTIMO CONSIGNADO NÃO COMPROVADO. RESPONSABILIDADE OBJETIVA DA INSTITUIÇÃO FINANCEIRA. DANOS MORAIS FIXADOS DE FORMA PROPORCIONAL E RAZOÁVEL. TERMO INICIAL DOS JUROS DE MORA DO DANO MATERIAL. SÚMULA 54, DO STJ. APLICAÇÃO. HONORÁRIOS SUCUMBENCIAIS SOBRE O VALOR DA CAUSA. RECURSOS CONHECIDOS. APELAÇÃO DO BANCO NÃO PROVIDA E APELAÇÃO</w:t>
            </w:r>
          </w:p>
          <w:p>
            <w:pPr>
              <w:pStyle w:val="TableParagraph"/>
              <w:spacing w:line="208" w:lineRule="auto" w:before="0"/>
              <w:ind w:right="21"/>
              <w:rPr>
                <w:sz w:val="20"/>
              </w:rPr>
            </w:pPr>
            <w:r>
              <w:rPr>
                <w:sz w:val="20"/>
              </w:rPr>
              <w:t>AUTORAL PARCIALMENTE PROVIDA. Caso em exame: 1. Cuida-se de Apelações Cíveis interpostas pelo Banco Bradesco S/A, e por Everton Sousa Ferreira, onde se insurgem contra a Sentença de fls. 125/128, proferida pelo Juízo da Vara Única da Comarca de Guaraciaba do Norte/CE que julgou parcialmente procedentes os pedidos da parte autora em ação declaratória de nulidade de relação contratual c/c pedido de repetição do indébito e indenização por danos morais proposta pelo segundo apelante em desfavor do primeiro. Questão em discussão: 2. Cinge-se a controvérsia recursal em averiguar se acertada a decisão de primeiro grau que julgou parcialmente procedentes os pedidos autorais, declarando inexistência do contrato questionado e condenando a instituição bancária promovida a restituir, de forma simples, os valores indevidamente descontados em conta, assim como ao pagamento de danos morais fixados no valor de R$ 3.000,00 (três mil reais). Razões de decidir: 3. A relação entre as partes é regida pelas normas do Código de Defesa do Consumidor, por se tratar de relação de consumo previsto nos arts. 2º e 3º da Lei nº 8.078/90. Em consequência, é direito da parte autora a facilitação da defesa de seus interesses em juízo com a inversão do ônus da prova (art. 6º, inciso VIII1 do CDC). 4. O banco recorrente alega que foi realizado o empréstimo pessoal, bem como o saque do saldo contratado, no mesmo dia, através de cartão e senha. Porém, não foi possível verificar a anuência do autor na celebração do pacto, uma vez que a instituição financeira apelante/apelada não acostou cópia do contrato digital referente à avença supostamente celebrada entre as partes. Dessa forma, correto o entendimento do juízo a quo, ao entender pela irregularidade dos descontos realizados na conta do autor, ante a não comprovação da regularidade da contratação. 5.&lt;/span&gt; &lt;span style="font-size: 12pt; font- family: &amp;quot;Times New Roman&amp;quot;, serif; color: #000000; background-color: transparent; font-weight: 700; font-style: normal; font-variant: normal; text-decoration-skip- ink: none; vertical-align: baseline; white-space: pre-wrap; text-decoration: underline;"&gt;Observa-se que os danos morais foram fixados de maneira suficiente, razoável e proporcional, razão pela qual devem ser mantidos em R$ 3.000,00 (três mil reais).&lt;/span&gt; &lt;span style="font-size: 12pt; font-family: 'Times New Roman',serif; color: #000000; background-color: transparent; font-weight: 400; font-style: normal; font-variant: normal; text-decoration: none; vertical-align: baseline; white-space: pre-wrap;"&gt;6. Não havendo previsão contratual acerca da cobrança da tarifa bancária e determinada a restituição das parcelas, reparando-se o dano material sofrido, deve se aplicar como termo inicial a data de cada evento danoso, nos termos da Súmula 54 do STJ, 7. Não sendo possível a fixação dos honorários advocatícios com base no valor da condenação ou no proveito econômico obtido, por irrisórios, o caso é de fixação da verba honorária sobre o valor da causa, conforme a ordem de preferência estabelecida na legislação de regência e no Tema nº 1.076 do STJ. Dispositivo: 8. Recursos conhecidos, apelo do banco não provido, apelo autoral parcialmente provido. ACÓRDÃO: Vistos, relatados e discutidos esses autos, acorda a Terceira Câmara de Direito Privado do Egrégio Tribunal de Justiça do Ceará, por unanimidade, em CONHECER dos recursos de apelação, para NEGAR PROVIMENTO ao recurso do banco promovido e DAR PARCIAL PROVIMENTO ao recurso autoral, em conformidade com o voto do Relator. Fortaleza, data registrada no sistema. CLEIDE ALVES DE AGUIAR Presidente do Órgão Julgador FRANCISCO LUCÍDIO DE QUEIROZ JÚNIOR Desembargador Relator&lt;/span&gt; &lt;span style="font-size: 12pt; font-family: 'Times New Roman',serif; color: #000000; background-color: transparent; font-weight: 400; font-style: normal; font-variant: normal; text-decoration: none; vertical- align: baseline; white-space: pre-wrap;"&gt;(Apelação Cível - 0051402-88.2021.8.06.0084, Rel. Desembargador FRANCISCO LUCÍDIO DE QUEIROZ JÚNIOR, 3ª Câmara Direito Privado, data do julgamento:&amp;#160; 26/03/2025, data da publicação:&amp;#160; 26/03/2025) [Destaquei]&lt;/span&gt;&lt;/p&gt;&lt;p style="line-height: 1.7999999999999998; margin-left: 113pt; text-align: justify; margin-top: 12pt; margin-bottom: 0pt;" dir="ltr"&gt;&lt;span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2"/>
              <w:rPr>
                <w:sz w:val="20"/>
              </w:rPr>
            </w:pPr>
            <w:r>
              <w:rPr>
                <w:sz w:val="20"/>
              </w:rPr>
              <w:t>12pt; font-family: 'Times New Roman',serif; color: #000000; background-color: transparent; font-weight: 400; font-style: normal; font-variant: normal; text-decoration: none; vertical- align: baseline; white-space: pre-wrap;"&gt;DIREITO DO CONSUMIDOR. APELAÇÃO </w:t>
            </w:r>
            <w:r>
              <w:rPr>
                <w:spacing w:val="-3"/>
                <w:sz w:val="20"/>
              </w:rPr>
              <w:t>CÍVEL. </w:t>
            </w:r>
            <w:r>
              <w:rPr>
                <w:sz w:val="20"/>
              </w:rPr>
              <w:t>EMPRÉSTIMO CONSIGNADO. REGULARIDADE DA CONTRATAÇÃO NÃO COMPROVADA. DEVER DE INDENIZAR O AUTOR. MONTANTE DA CONDENAÇÃO QUE SE TEM COMO ACEITÁVEL. AJUSTE DA SENTENÇA SOMENTE PARA ESCLARECER QUE OS JUROS DE MORA DO VALOR DOS DANOS MORAIS INCIDAM A PARTIR DO EVENTO DANOSO. RECURSO DO BANCO CONHECIDO E NÃO PROVIDO. RECURSO DO AUTOR CONHECIDO E PARCIALMENTE PROVIDO. I. Caso</w:t>
            </w:r>
          </w:p>
          <w:p>
            <w:pPr>
              <w:pStyle w:val="TableParagraph"/>
              <w:spacing w:line="208" w:lineRule="auto" w:before="0"/>
              <w:ind w:right="85"/>
              <w:rPr>
                <w:sz w:val="20"/>
              </w:rPr>
            </w:pPr>
            <w:r>
              <w:rPr>
                <w:sz w:val="20"/>
              </w:rPr>
              <w:t>em exame: 1. Cuida-se de Apelações Cíveis interpostas contra a sentença que julgou parcialmente procedente Ação Declaratória de Nulidade/Inexistência de Relação Contratual c/c Pedido de Repetição do Indébito e Indenização por Danos Morais, e em consequência, condenou o banco ao pagamento dos danos suportados pelo</w:t>
            </w:r>
            <w:r>
              <w:rPr>
                <w:spacing w:val="-18"/>
                <w:sz w:val="20"/>
              </w:rPr>
              <w:t> </w:t>
            </w:r>
            <w:r>
              <w:rPr>
                <w:sz w:val="20"/>
              </w:rPr>
              <w:t>consumidor.</w:t>
            </w:r>
          </w:p>
          <w:p>
            <w:pPr>
              <w:pStyle w:val="TableParagraph"/>
              <w:spacing w:line="208" w:lineRule="auto" w:before="0"/>
              <w:ind w:right="20"/>
              <w:rPr>
                <w:sz w:val="20"/>
              </w:rPr>
            </w:pPr>
            <w:r>
              <w:rPr>
                <w:sz w:val="20"/>
              </w:rPr>
              <w:t>II. Questão em discussão: 2. Consiste em: (I) saber se houve falha na prestação de </w:t>
            </w:r>
            <w:r>
              <w:rPr>
                <w:spacing w:val="-3"/>
                <w:sz w:val="20"/>
              </w:rPr>
              <w:t>serviço </w:t>
            </w:r>
            <w:r>
              <w:rPr>
                <w:sz w:val="20"/>
              </w:rPr>
              <w:t>da instituição financeira e (II) analisar o valor dos danos morais e os consectários legais da condenação. III. Razões de decidir: 3. A instituição financeira não comprovou de forma adequada a contratação do empréstimo consignado. Para que os descontos a este título sejam considerados lícitos, é imprescindível que a instituição financeira apresente, a informação ao consumidor com o contrato assinado e o comprovante de pagamento correspondente. 4. Evidenciada a falha na prestação do serviço, exsurge o dever de indenizar. 5.&lt;/span&gt; &lt;span style="font-size: 12pt; font-family: &amp;quot;Times New Roman&amp;quot;, serif; color: #000000; background-color: transparent; font-weight: 700; font- style: normal; font-variant: normal; text-decoration-skip-ink: none; vertical-align: baseline; white-space: pre-wrap; text-decoration: underline;"&gt;Os danos morais fixados em R$ 3.000,00 (três mil reais) atende aos parâmetros de razoabilidade e proporcionalidade.&lt;/span&gt; &lt;span style="font-size: 12pt; font-family: 'Times New Roman',serif; color: #000000; background-color: transparent; font-weight: 400; font-style: normal; font-variant: normal; text-decoration: none; vertical-align: baseline; white-space: pre-wrap;"&gt;A correção monetária deve ser feita com base no INPC a partir do arbitramento (súm. 362 do STJ) e juros moratórios de 1% (um por cento) ao mês a contar do evento danoso (súm. 54 do STJ). IV. Dispositivo: 6. Sentença parcialmente reformada. Recurso do autor conhecido e parcialmente provido. Recurso do banco conhecido e não provido. ACÓRDÃO: Vistos, relatados e discutidos estes autos, acorda a 3ª Câmara de Direito Privado do Tribunal de Justiça do Estado do Ceará, por unanimidade, em CONHECER do recurso do autor para dar-lhe PARCIAL PROVIMENTO, e CONHECER o recurso do </w:t>
            </w:r>
            <w:r>
              <w:rPr>
                <w:spacing w:val="-4"/>
                <w:sz w:val="20"/>
              </w:rPr>
              <w:t>banco </w:t>
            </w:r>
            <w:r>
              <w:rPr>
                <w:sz w:val="20"/>
              </w:rPr>
              <w:t>réu para NEGAR-LHE PROVIMENTO, nos termos do voto do Desembargador Relator. Fortaleza, 26 de março de 2025. CLEIDE ALVES DE AGUIAR Presidente do Órgão Julgador FRANCISCO LUCÍDIO DE QUEIROZ JÚNIOR Desembargador Relator.&lt;/span&gt;</w:t>
            </w:r>
          </w:p>
          <w:p>
            <w:pPr>
              <w:pStyle w:val="TableParagraph"/>
              <w:spacing w:line="208" w:lineRule="auto" w:before="0"/>
              <w:ind w:right="288"/>
              <w:rPr>
                <w:sz w:val="20"/>
              </w:rPr>
            </w:pPr>
            <w:r>
              <w:rPr>
                <w:sz w:val="20"/>
              </w:rPr>
              <w:t>&lt;span style="font-size: 12pt; font-family: 'Times New Roman',serif; color: #000000; background-color: transparent; font-weight: 400; font-style: normal; font-variant: normal; text-decoration: none; vertical-align: baseline; white-space: pre-wrap;"&gt;(Apelação Cível - 0009640-34.2019.8.06.0126, Rel. Desembargador(a) FRANCISCO LUCÍDIO DE</w:t>
            </w:r>
          </w:p>
          <w:p>
            <w:pPr>
              <w:pStyle w:val="TableParagraph"/>
              <w:spacing w:line="208" w:lineRule="auto" w:before="0"/>
              <w:ind w:right="57"/>
              <w:rPr>
                <w:sz w:val="20"/>
              </w:rPr>
            </w:pPr>
            <w:r>
              <w:rPr>
                <w:sz w:val="20"/>
              </w:rPr>
              <w:t>QUEIROZ JÚNIOR, 3ª Câmara Direito Privado, data do julgamento:&amp;#160; 26/03/2025, data da publicação:&amp;#160; 26/03/2025) [Destaquei]&lt;/span&gt;&lt;/p&gt;&lt;p style="line-height: 1.7999999999999998; margin-left: 113pt; text-align: justify; margin-top: 12pt; margin- bottom: 0pt;" dir="ltr"&gt;&lt;span style="font-size: 12pt; font-family: 'Times New Roman',serif; color: #000000; background-color: transparent; font-weight: 400; font-style: normal; font- variant: normal; text-decoration: none; vertical-align: baseline; white-space: pre- wrap;"&gt;Direito Processual Civil. Apelação Cível. Empréstimo Consignado. Pedido de majoração de danos morais e restituição em dobro dos descontos. Recurso conhecido e parcialmente provido. I. Caso em Exame 1. Trata-se de Apelação interposta contra sentença que julgou parcialmente procedente a ação declaratória de inexistência de contrato c/c indenização por danos morais e materiais. A sentença condenou o Banco a restituir os descontos realizados e a pagar indenização por danos morais no valor de R$ 2.000,00, além das custas processuais e honorários advocatícios. II. Questão em Discussão 2. A questão em discussão consiste em saber se: (I) a restituição dos valores descontados deve ocorrer em dobro; (II) a indenização por danos morais deve ser majorada para R$ 10.000,00. III. Razões de Decidir 3. Em relação ao pedido de restituição em dobro dos valores, observa-se que os descontos cessaram em janeiro de 2012.</w:t>
            </w:r>
          </w:p>
          <w:p>
            <w:pPr>
              <w:pStyle w:val="TableParagraph"/>
              <w:spacing w:line="208" w:lineRule="auto" w:before="0"/>
              <w:ind w:right="59"/>
              <w:rPr>
                <w:sz w:val="20"/>
              </w:rPr>
            </w:pPr>
            <w:r>
              <w:rPr>
                <w:sz w:val="20"/>
              </w:rPr>
              <w:t>Portanto, a sentença deve ser mantida no capítulo que determinou a restituição </w:t>
            </w:r>
            <w:r>
              <w:rPr>
                <w:spacing w:val="-3"/>
                <w:sz w:val="20"/>
              </w:rPr>
              <w:t>simples </w:t>
            </w:r>
            <w:r>
              <w:rPr>
                <w:sz w:val="20"/>
              </w:rPr>
              <w:t>dos valores, conforme jurisprudência do STJ estabelecida no EAREsp 676608/RS.</w:t>
            </w:r>
          </w:p>
          <w:p>
            <w:pPr>
              <w:pStyle w:val="TableParagraph"/>
              <w:spacing w:line="208" w:lineRule="auto" w:before="0"/>
              <w:ind w:right="144"/>
              <w:rPr>
                <w:sz w:val="20"/>
              </w:rPr>
            </w:pPr>
            <w:r>
              <w:rPr>
                <w:sz w:val="20"/>
              </w:rPr>
              <w:t>4.&lt;/span&gt; &lt;span style="font-size: 12pt; font-family: &amp;quot;Times New Roman&amp;quot;, serif; color: #000000; background-color: transparent; font-weight: 700; font-style: normal; font- variant: normal; text-decoration-skip-ink: none; vertical-align: baseline; white-space: pre- wrap; text-decoration: underline;"&gt;Quanto ao pedido de majoração dos danos morais, considera-se que o valor deve ser fixado em R$ 3.000,00, levando em conta a relevância dos descontos no orçamento da autora, que recebia apenas um salário-mínimo, além da ausência de contrato e comprovante de pagamento&lt;/span&gt;&lt;span style="font-size: 12pt; font-family: 'Times New Roman',serif; color: #000000; background-color: transparent; font- weight: 400; font-style: normal; font-variant: normal; text-decoration: none; vertical-align: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792" w:val="left" w:leader="none"/>
              </w:tabs>
              <w:spacing w:line="208" w:lineRule="auto" w:before="26"/>
              <w:ind w:right="20"/>
              <w:rPr>
                <w:sz w:val="20"/>
              </w:rPr>
            </w:pPr>
            <w:r>
              <w:rPr>
                <w:sz w:val="20"/>
              </w:rPr>
              <w:t>baseline; white-space: pre-wrap;"&gt;. IV. Dispositivo e Tese 5. Recurso conhecido e parcialmente provido. ACÓRDÃO: Vistos, relatados e discutidos estes autos, acorda a 3ª Câmara de Direito Privado do Tribunal de Justiça do Estado do Ceará, por unanimidade, em CONHECER do recurso para DAR-LHE PARCIAL PROVIMENTO, nos termos do voto do relator. Fortaleza, data da assinatura digital. CLEIDE ALVES DE AGUIAR Desembargadora Presidente do Órgão Julgador FRANCISCO LUCÍDIO DE QUEIROZ JÚNIOR Desembargador Relator&lt;/span&gt; &lt;span style="font-size: 12pt; font-family: 'Times New Roman',serif; color: #000000; background-color: transparent; font-weight: 400; font- style: normal; font-variant: normal; text-decoration: none; vertical-align: baseline; white- space: pre-wrap;"&gt;(Apelação Cível - 0007080-22.2016.8.06.0160, Rel. Desembargador(a) FRANCISCO LUCÍDIO DE QUEIROZ JÚNIOR, 3ª Câmara Direito Privado, data do julgamento:&amp;#160; 19/02/2025, data da publicação:&amp;#160; 19/02/2025) [Destaquei]&lt;/span&gt;&lt;/p&gt;&lt;p style="line-height: 100%; orphans: 0; widows: 0; margin-bottom: 0.21cm;" align="justify"&gt;  &lt;strong style="font-weight: normal;"&gt;</w:t>
              <w:tab/>
              <w:t>&lt;br /&gt; &lt;/strong&gt;&lt;/p&gt;&lt;p style="line-height: 1.7999999999999998; text-indent: 56.692913385826756pt; text-align: justify; margin-top: 12pt; margin-bottom: 0pt;" dir="ltr"&gt;&lt;span style="font-size: 12pt; font- family: 'Times New Roman',serif; color: #000000; background-color: transparent; font- weight: 400; font-style: italic; font-variant: normal; text-decoration: none; vertical-align: baseline; white-space: pre-wrap;"&gt;In casu,&lt;/span&gt; &lt;span style="font-size: 12pt; font- family: 'Times New Roman',serif; color: #000000; background-color: transparent; font- weight: 400; font-style: normal; font-variant: normal; text-decoration: none; vertical-align: baseline; white-space: pre-wrap;"&gt;após em um primeiro momento averiguando o interesse jurídico lesado e grupo de casos referentes à matéria, conclui-se que é razoável e proporcional o valor de R$ 3.000,00 (três mil reais), estando dentro dos parâmetros de precedentes desta Corte nesses casos.&lt;/span&gt;&lt;/p&gt;&lt;p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pre-wrap;"&gt;Em um segundo momento,&lt;/span&gt; &lt;span style="font-size: 12pt; font-family: &amp;quot;Times New Roman&amp;quot;, serif; color: #000000; background-color: transparent; font- weight: 700; font-style: normal; font-variant: normal; text-decoration-skip-ink: none; vertical- align: baseline; white-space: pre-wrap; text-decoration: underline;"&gt;avaliando as peculiaridades do caso em concreto&lt;/span&gt;&lt;span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não se vê distinção relevante em face dos demais casos, devendo o&lt;/span&gt; &lt;span style="font-size: 12pt; font-family: 'Times New Roman',serif; color: #000000; background-color: transparent; font-weight: 400; font-style: italic; font-variant: normal; text-decoration: none; vertical-align: baseline; white-space: pre- wrap;"&gt;quantum&lt;/span&gt; &lt;span style="font-size: 12pt; font-family: 'Times New Roman',serif; color: #000000; background-color: transparent; font-weight: 400; font-style: normal; font-variant: normal; text-decoration: none; vertical-align: baseline; white-space: pre-wrap;"&gt;indenizatório ser fixado no valor de R$3.000,00 (três mil reais).&lt;/span&gt;&lt;/p&gt;&lt;p style="line-height: 1.7999999999999998; text-indent: 56.692913385826756pt; text-align: justify; margin-top: 12pt; margin-bottom: 0pt;" dir="ltr"&gt; &lt;span style="font-size: 12pt; font- family: 'Times New Roman',serif; color: #000000; background-color: transparent; font- weight: 700; font-style: normal; font-variant: normal; text-decoration: none; vertical-align: baseline; white-space: pre-wrap;"&gt;DISPOSITIVO&lt;/span&gt;&lt;/p&gt;&lt;p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pre-wrap;"&gt;Diante do que acima foi exposto e fundamentado,&lt;/span&gt; &lt;span style="font- size: 12pt; font-family: 'Times New Roman',serif; color: #000000; background-color: transparent; font-weight: 700; font-style: normal; font-variant: normal; text-decoration: none; vertical-align: baseline; white-space: pre-wrap;"&gt;CONHEÇO&lt;/span&gt; &lt;span style="font- size: 12pt; font-family: 'Times New Roman',serif; color: #000000; background-color: transparent; font-weight: 700; font-style: normal; font-variant: normal; text-decoration: none; vertical-align: baseline; white-space: pre-wrap;"&gt;DOS RECURSOS PARA&lt;/span&gt; &lt;span style="font-size: 12pt; font-family: 'Times New Roman',serif; color: #000000; background- color: transparent; font-weight: 700; font-style: normal; font-variant: normal; text-decoration: none; vertical-align: baseline; white-space: pre-wrap;"&gt;DAR-LHES PARCIAL PROVIMENTO,&lt;/span&gt; &lt;span style="font-size: 12pt; font-family: 'Times New Roman',serif; color: #000000; background-color: transparent; font-weight: 400; font-style: normal; font- variant: normal; text-decoration: none; vertical-align: baseline; white-space: pre- wrap;"&gt;reformando a sentença para: a) em caso de comprovação da efetiva disponibilização do montante pecuniário em prol da autora, os valores a serem compensados devem ser atualizados monetariamente com incidência do índice IPCA; b) condenar a instituição financeira a reparar o dano moral, com indenização arbitrada no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0007460-87.2015.8.06.0028</w:t>
            </w:r>
          </w:p>
        </w:tc>
      </w:tr>
      <w:tr>
        <w:trPr>
          <w:trHeight w:val="12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4"/>
              <w:rPr>
                <w:sz w:val="20"/>
              </w:rPr>
            </w:pPr>
            <w:r>
              <w:rPr>
                <w:sz w:val="20"/>
              </w:rPr>
              <w:t>valor de R$ 3.000,00 (três mil reais).&lt;/span&gt;&lt;/p&gt;&lt;p style="line-height: 1.7999999999999998; text-indent: 56.692913385826756pt; text-align: justify; margin-top: 12pt; margin-bottom: 0pt;" dir="ltr"&gt;&lt;span style="font-size: 12pt; font-family: 'Times New Roman',serif; color: #000000; background-color: transparent; font-weight: 400; font-style: normal; font-variant: normal; text-decoration: none; vertical-align: baseline; white-space: pre-wrap;"&gt;Diante do provimento dos apelos, não há majoração dos honorários advocatícios em atenção ao entendimento vinculante do Superior Tribunal de Justiça fixado no Tema 1059:&lt;/span&gt; &lt;span style="font-size: 12pt; font-family: 'Times New Roman',serif; color: #000000; background-color: transparent; font-weight: 400; font-style: italic; font-variant: normal; text-decoration: none; vertical-align: baseline; white-space: pre- wrap;"&gt;“A majoração dos honorários de sucumbência prevista no art. 85, § 11, do CPC pressupõe que o recurso tenha sido integralmente desprovido ou não conhecido pelo tribunal, monocraticamente ou pelo órgão colegiado competente. Não se aplica o art. 85, </w:t>
            </w:r>
            <w:r>
              <w:rPr>
                <w:spacing w:val="-18"/>
                <w:sz w:val="20"/>
              </w:rPr>
              <w:t>§ </w:t>
            </w:r>
            <w:r>
              <w:rPr>
                <w:sz w:val="20"/>
              </w:rPr>
              <w:t>11, do CPC em caso de provimento total ou parcial do recurso, ainda que mínima a alteração do resultado do julgamento ou limitada a consectários da condenação.”&lt;/span&gt;&lt;/p&gt;&lt;p style="line-height: 1.7999999999999998; text-indent: 56.692913385826756pt; text-align: justify; margin-top: 12pt; margin-bottom: 0pt;"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56.692913385826756pt; text-align: justify; margin-top: 12pt; margin-bottom: 0pt;"</w:t>
            </w:r>
            <w:r>
              <w:rPr>
                <w:spacing w:val="-17"/>
                <w:sz w:val="20"/>
              </w:rPr>
              <w:t> </w:t>
            </w:r>
            <w:r>
              <w:rPr>
                <w:sz w:val="20"/>
              </w:rPr>
              <w:t>dir="ltr"&gt;</w:t>
            </w:r>
          </w:p>
          <w:p>
            <w:pPr>
              <w:pStyle w:val="TableParagraph"/>
              <w:spacing w:line="208" w:lineRule="auto" w:before="0"/>
              <w:ind w:right="180"/>
              <w:rPr>
                <w:sz w:val="20"/>
              </w:rPr>
            </w:pPr>
            <w:r>
              <w:rPr>
                <w:sz w:val="20"/>
              </w:rPr>
              <w:t>&lt;span style="font-size: 12pt; font-family: 'Times New Roman',serif; color: #000000; background-color: transparent; font-weight: 400; font-style: normal; font-variant: normal; text-decoration: none; vertical-align: baseline; white-space: pre-wrap;"&gt;Fortaleza, data registrada no sistema.&lt;/span&gt;&lt;/p&gt;&lt;p style="line-height: 1.7999999999999998; text-align: justify; margin-top: 12pt; margin-bottom: 0pt;" dir="ltr"&gt; &lt;span style="font-size: 12pt; font- family: 'Times New Roman',serif; color: #000000; background-color: transparent; font- weight: 400; font-style: normal; font-variant: normal; text-decoration: none; vertical-align: baseline; white-space: pre-wrap;"&gt;&amp;#160;&lt;/span&gt;&lt;/p&gt;&lt;p style="line-height: 1.7999999999999998; text-align: center; margin-top: 12pt; margin-bottom: 0pt;" dir="ltr"&gt;</w:t>
            </w:r>
          </w:p>
          <w:p>
            <w:pPr>
              <w:pStyle w:val="TableParagraph"/>
              <w:spacing w:line="208" w:lineRule="auto" w:before="0"/>
              <w:ind w:right="99"/>
              <w:rPr>
                <w:sz w:val="20"/>
              </w:rPr>
            </w:pPr>
            <w:r>
              <w:rPr>
                <w:sz w:val="20"/>
              </w:rPr>
              <w:t>&lt;span style="font-size: 12pt; font-family: 'Times New Roman',serif; color: #000000; background-color: transparent; font-weight: 700; font-style: normal; font-variant: normal; text-decoration: none; vertical-align: baseline; white-space: pre-wrap;"&gt;FRANCISCO LUCÍDIO DE QUEIROZ JÚNIOR&lt;/span&gt;&lt;/p&gt;&lt;p style="line-height: 1.7999999999999998; text-align: center; margin-top: 12pt; margin-bottom: 0pt;" dir="ltr"&gt; &lt;span style="font-size: 12pt; font-family: 'Times New Roman',serif; color: #000000; background-color: transparent; font-weight: 400; font-style: normal; font-variant: normal; text-decoration: none; vertical- align: baseline; white-space: pre-wrap;"&gt;Desembargador Relator&lt;/span&gt;&lt;/p&gt;&lt;p style="line-height: 1.7999999999999998; text-align: justify; margin-top: 12pt; margin- bottom: 0pt;" dir="ltr"&gt; &lt;span style="font-size: 12pt; font-family: 'Times New Roman',serif; color: #000000; background-color: transparent; font-weight: 400; font-style: normal; font- variant: normal; text-decoration: none; vertical-align: baseline; white-space: pre- wrap;"&gt;&amp;#160;&lt;/span&gt;&lt;/p&gt;&lt;p style="line-height: 1.7999999999999998; text-align: justify; margin-top: 12pt; margin-bottom: 0pt;" dir="ltr"&gt; &lt;span style="font-size: 12pt; font-family: 'Times New Roman',serif; color: #000000; background-color: transparent; font-weight: 400;</w:t>
            </w:r>
          </w:p>
          <w:p>
            <w:pPr>
              <w:pStyle w:val="TableParagraph"/>
              <w:tabs>
                <w:tab w:pos="1939" w:val="left" w:leader="none"/>
                <w:tab w:pos="2684"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&lt;br /&gt;</w:t>
              <w:tab/>
              <w:t>&lt;br /&gt; &lt;/span&gt;&lt;/p&gt;&lt;p style="line-height: 1.38; margin-top: 12pt; margin-bottom: 12pt;" dir="ltr"&gt;&lt;span style="font-size: 12pt; font-family: 'Times New Roman',serif; color: #000000; background-color: transparent; font-weight: 400; font-style: normal; font-variant: normal; text-decoration: none; vertical-align: baseline; white-space: pre-wrap;"&gt;1&lt;/span&gt; &lt;span style="font-size: 12pt; font-family: 'Times New Roman',serif; color: #000000; background-color: transparent; font-weight: 400; font-style: normal; font- variant: normal; text-decoration: none; vertical-align: baseline; white-space: pre-wrap;"&gt;3 (DINIZ, Maria Helena. Curso de Direito Civil Brasileiro. 23. ed.&lt;/span&gt; &lt;span style="font- size: 12pt; font-family: 'Times New Roman',serif; color: #000000; background-color: transparent; font-weight: 400; font-style: normal; font-variant: normal; text-decoration: none; vertical-align: baseline; white-space: pre-wrap;"&gt;São Paulo: Saraiva, 2009. p.</w:t>
            </w:r>
          </w:p>
          <w:p>
            <w:pPr>
              <w:pStyle w:val="TableParagraph"/>
              <w:tabs>
                <w:tab w:pos="5720" w:val="left" w:leader="none"/>
              </w:tabs>
              <w:spacing w:line="208" w:lineRule="auto" w:before="0"/>
              <w:ind w:right="163"/>
              <w:rPr>
                <w:sz w:val="20"/>
              </w:rPr>
            </w:pPr>
            <w:r>
              <w:rPr>
                <w:sz w:val="20"/>
              </w:rPr>
              <w:t>101).&lt;/span&gt;&lt;/p&gt;&lt;p style="line-height: 100%; orphans: 0; widows: 0; margin-bottom: 0.21cm;" align="justify"&gt;&amp;#160;&lt;/p&gt;&lt;br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Fixação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ERLANDO SERGIO DA ROCHA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WELLINGTON SANTOS ARRUDA - (CE42392-A)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EVELYN LIMA ROCHA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VIVIANE BARROSO DE MESQUITA - (CE43043-A)</w:t>
            </w:r>
          </w:p>
        </w:tc>
      </w:tr>
      <w:tr>
        <w:trPr>
          <w:trHeight w:val="8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5660"/>
              <w:rPr>
                <w:sz w:val="20"/>
              </w:rPr>
            </w:pPr>
            <w:r>
              <w:rPr>
                <w:sz w:val="20"/>
              </w:rPr>
              <w:t>Brena Kesia da Ponte Lima Silvia Maria da Silva Leite Flavia dos Santos Saraiva</w:t>
            </w:r>
          </w:p>
          <w:p>
            <w:pPr>
              <w:pStyle w:val="TableParagraph"/>
              <w:spacing w:line="205" w:lineRule="exact" w:before="0"/>
              <w:rPr>
                <w:sz w:val="20"/>
              </w:rPr>
            </w:pPr>
            <w:r>
              <w:rPr>
                <w:sz w:val="20"/>
              </w:rPr>
              <w:t>MINISTERIO PUBLICO DO ESTADO DO CEARA</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&lt;strong&gt;PROCESSO&lt;/strong&gt;:&amp;#160;0208268-14.2023.8.06.0001 -&amp;#160;APELAÇÃO</w:t>
            </w:r>
          </w:p>
          <w:p>
            <w:pPr>
              <w:pStyle w:val="TableParagraph"/>
              <w:tabs>
                <w:tab w:pos="4518" w:val="left" w:leader="none"/>
                <w:tab w:pos="5263" w:val="left" w:leader="none"/>
                <w:tab w:pos="6424" w:val="left" w:leader="none"/>
                <w:tab w:pos="6557" w:val="left" w:leader="none"/>
                <w:tab w:pos="7346" w:val="left" w:leader="none"/>
              </w:tabs>
              <w:spacing w:line="208" w:lineRule="auto" w:before="8"/>
              <w:ind w:right="123"/>
              <w:rPr>
                <w:sz w:val="20"/>
              </w:rPr>
            </w:pPr>
            <w:r>
              <w:rPr>
                <w:sz w:val="20"/>
              </w:rPr>
              <w:t>CÍVEL (198)&lt;/span&gt;  &lt;/span&gt;&lt;/p&gt;&lt;p&gt;  &lt;span style="font-size: small;"&gt;</w:t>
              <w:tab/>
              <w:tab/>
              <w:t>&lt;span style="font-family: &amp;quot;times new roman&amp;quot;, times;"&gt;APELANTE: ERLANDO SERGIO DA ROCHA&lt;/span&gt;  &lt;/span&gt;&lt;/p&gt;&lt;p&gt;  &lt;span style="font-size: small;"&gt;</w:t>
              <w:tab/>
              <w:t>&lt;span style="font-family: &amp;quot;times new roman&amp;quot;, times;"&gt;APELADO: ANA EVELYN LIMA ROCHA&lt;/span&gt;  &lt;/span&gt;&lt;/p&gt;&lt;p&gt;  &lt;span style="font-size: medium;"&gt;</w:t>
              <w:tab/>
              <w:t>&lt;span </w:t>
            </w:r>
            <w:r>
              <w:rPr>
                <w:spacing w:val="-2"/>
                <w:sz w:val="20"/>
              </w:rPr>
              <w:t>style="font- </w:t>
            </w:r>
            <w:r>
              <w:rPr>
                <w:sz w:val="20"/>
              </w:rPr>
              <w:t>family: &amp;quot;times new roman&amp;quot;, times;"&gt;</w:t>
              <w:tab/>
              <w:t>&lt;br /&gt;</w:t>
              <w:tab/>
              <w:t>&lt;/span&gt; &lt;/span&gt;&lt;/p&gt;&lt;p</w:t>
            </w:r>
          </w:p>
          <w:p>
            <w:pPr>
              <w:pStyle w:val="TableParagraph"/>
              <w:spacing w:line="208" w:lineRule="auto" w:before="0"/>
              <w:ind w:right="25"/>
              <w:rPr>
                <w:sz w:val="20"/>
              </w:rPr>
            </w:pPr>
            <w:r>
              <w:rPr>
                <w:sz w:val="20"/>
              </w:rPr>
              <w:t>style="line-height:1.38;text-align: justify;margin-top:4pt;margin-bottom:0pt;" dir="ltr"&gt; </w:t>
            </w:r>
            <w:r>
              <w:rPr>
                <w:spacing w:val="-4"/>
                <w:sz w:val="20"/>
              </w:rPr>
              <w:t>&lt;span </w:t>
            </w:r>
            <w:r>
              <w:rPr>
                <w:sz w:val="20"/>
              </w:rPr>
              <w:t>style="font-size:12pt;font-family:'Times New Roman',serif;color:#131314;background- color:#ffffff;font-weight:400;font-style:normal;font-variant:normal;text- decoration:none;vertical-align:baseline;white-space:pre;white-space:pre-wrap;"&gt;DIREITO DE FAMÍLIA E PROCESSO CIVIL. APELAÇÃO CÍVEL E RECURSO ADESIVO. AÇÃO DE ALIMENTOS. OBSERVÂNCIA DO BINÔMIO NECESSIDADE X POSSIBILIDADE E AINDA DO VETOR DA PROPORCIONALIDADE. RECURSOS CONHECIDOS E</w:t>
            </w:r>
          </w:p>
          <w:p>
            <w:pPr>
              <w:pStyle w:val="TableParagraph"/>
              <w:spacing w:line="208" w:lineRule="auto" w:before="0"/>
              <w:ind w:right="21"/>
              <w:rPr>
                <w:sz w:val="20"/>
              </w:rPr>
            </w:pPr>
            <w:r>
              <w:rPr>
                <w:sz w:val="20"/>
              </w:rPr>
              <w:t>DESPROVIDOS.&lt;/span&gt;&lt;/p&gt;&lt;p style="line-height:1.38;text-align: justify;margin- top:4pt;margin-bottom:0pt;" dir="ltr"&gt; &lt;span style="font-size:12pt;font-family:'Times New Roman',serif;color:#131314;background-color:#ffffff;font-weight:700;font-style:normal;font- variant:normal;text-decoration:none;vertical-align:baseline;white-space:pre;white- space:pre-wrap;"&gt;I. Caso em exame&lt;/span&gt;&lt;/p&gt;&lt;p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space:pre;white-space:pre-wrap;"&gt;1. Apelação cível interposta contra sentença que fixou alimentos em 18% dos rendimentos líquidos do pai em favor da filha maior de idade, estudante de ensino superior. A alimentanda pleiteia a majoração do valor fixado, enquanto o genitor pleiteia a exoneração da obrigação, ou a sua minoração.&lt;/span&gt;&lt;/p&gt;&lt;p style="line-height:1.38;text-align: justify;margin-top:4pt;margin- bottom:0pt;" dir="ltr"&gt; &lt;span style="font-size:12pt;font-family:'Times New Roman',serif;color:#131314;background-color:#ffffff;font-weight:700;font-style:normal;font- variant:normal;text-decoration:none;vertical-align:baseline;white-space:pre;white- space:pre-wrap;"&gt;II. Questão em discussão&lt;/span&gt;&lt;/p&gt;&lt;p style="line-height:1.38;text- align: justify;margin-top:4pt;margin-bottom:0pt;" dir="ltr"&gt; &lt;span style="font-size:12pt;font- family:'Times New Roman',serif;color:#131314;background-color:#ffffff;font-weight:400;font- style:normal;font-variant:normal;text-decoration:none;vertical-align:baseline;white- space:pre;white-space:pre-wrap;"&gt;2. A questão em discussão consiste em avaliar se os alimentos foram arbitrados em observância à necessidade da alimentanda, bem como à possibilidade do alimentante.&lt;/span&gt;&lt;/p&gt;&lt;p style="line-height:1.38;text-align: justify;margin-top:4pt;margin-bottom:0pt;" dir="ltr"&gt; &lt;span style="font-size:12pt;font- family:'Times New Roman',serif;color:#131314;background-color:#ffffff;font-weight:700;font- style:normal;font-variant:normal;text-decoration:none;vertical-align:baseline;white- space:pre;white-space:pre-wrap;"&gt;III. Razões de decidir&lt;/span&gt;&lt;/p&gt;&lt;p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height:1.38;text-align: justify;margin-top:4pt;margin-bottom:0pt;" dir="ltr"&gt; &lt;span style="font-size:12pt;font-family:'Times New Roman',serif;color:#131314;background- color:#ffffff;font-weight:400;font-style:normal;font-variant:normal;text- decoration:none;vertical-align:baseline;white-space:pre;white-space:pre-wrap;"&gt;3. A maioridade da alimentanda, por si só, não implica exoneração automática do dever de prestar alimentos, especialmente quando comprovada a necessidade decorrente da sua formação acadêmica.&lt;/span&gt;&lt;/p&gt;&lt;p style="line-height:1.38;text-align: justify;margin- top:4pt;margin-bottom:0pt;" dir="ltr"&gt; &lt;span style="font-size:12pt;font-family:'Times New Roman',serif;color:#131314;background-color:#ffffff;font-weight:400;font-style:normal;font- variant:normal;text-decoration:none;vertical-align:baseline;white-space:pre;white- space:pre-wrap;"&gt;3. Os alimentos, fixados em 18% dos rendimentos líquidos do alimentante, observam o binômio necessidade-possibilidade, sendo proporcional às necessidades da alimentanda e à capacidade financeira do alimentante.&lt;/span&gt;&lt;/p&gt;&lt;p style="line-height:1.38;text-align: justify;margin-top:4pt;margin-bottom:0pt;" dir="ltr"&gt; </w:t>
            </w:r>
            <w:r>
              <w:rPr>
                <w:spacing w:val="-3"/>
                <w:sz w:val="20"/>
              </w:rPr>
              <w:t>&lt;span </w:t>
            </w:r>
            <w:r>
              <w:rPr>
                <w:sz w:val="20"/>
              </w:rPr>
              <w:t>style="font-size:12pt;font-family:'Times New Roman',serif;color:#131314;background- color:#ffffff;font-weight:400;font-style:normal;font-variant:normal;text- decoration:none;vertical-align:baseline;white-space:pre;white-space:pre-wrap;"&gt;4. A constituição de nova família pelo alimentante não elimina sua obrigação com a prole anterior, mas deve ser considerada na adequação do trinômio necessidade-possibilidade- proporcionalidade.&lt;/span&gt;&lt;/p&gt;&lt;p style="line-height:1.38;text-align: justify;margin- top:4pt;margin-bottom:0pt;" dir="ltr"&gt; &lt;span style="font-size:12pt;font-family:'Times New Roman',serif;color:#131314;background-color:#ffffff;font-weight:700;font-style:normal;font- variant:normal;text-decoration:none;vertical-align:baseline;white-space:pre;white- space:pre-wrap;"&gt;IV. Dispositivo e tese&lt;/span&gt;&lt;/p&gt;&lt;p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space:pre;white-space:pre-wrap;"&gt;5. Recursos conhecidos e desprovidos.&lt;/span&gt;&lt;/p&gt;&lt;p style="line-height:1.38;text-align: justify;margin-top:4pt;margin-bottom:0pt;" dir="ltr"&gt;&lt;span style="font-size:12pt;font-family:'Times New Roman',serif;color:#131314;background- color:#ffffff;font-weight:700;font-style:normal;font-variant:normal;text- decoration:none;vertical-align:baseline;white-space:pre;white-space:pre-wrap;"&gt;Tese de julgamento:&lt;/span&gt; &lt;span style="font-size:12pt;font-family:'Times New Roman',serif;color:#131314;background-color:#ffffff;font-weight:400;font-style:normal;font- variant:normal;text-decoration:none;vertical-align:baseline;white-space:pre;white- space:pre-wrap;"&gt;"A maioridade civil, por si só, não é causa para exoneração do dever de prestar alimentos quando comprovada a continuidade da necessidade de auxílio, principalmente para formação acadêmica. A fixação de alimentos deve observar o trinômio necessidade-possibilidade-proporcionalidade, considerando a realidade financeira do alimentante, inclusive seus novos encargos familiares."&lt;/span&gt;&lt;/p&gt;&lt;p style="line- height:1.38;text-align: justify;margin-top:4pt;margin-bottom:0pt;" dir="ltr"&gt; &lt;span style="font-size:12pt;font-family:'Times New Roman',serif;color:#131314;background- color:#ffffff;font-weight:400;font-style:normal;font-variant:normal;text- decoration:none;vertical-align:baseline;white-space:pre;white-space:pre- wrap;"&gt;**Dispositivos relevantes citados:**&lt;/span&gt;&lt;/p&gt;&lt;p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space:pre;white-space:pre-wrap;"&gt;CF/1988, art. 229; CC, art. 1.694, §1º; CPC, art. 487, I.&lt;/span&gt;&lt;/p&gt;&lt;p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space:pre-wrap;"&gt;**Jurisprudência relevante citada:**&lt;/span&gt;&lt;/p&gt;&lt;p style="line-height: 100%; orphans: 0; widows: 0; margin-bottom: 0.21cm;" align="justify"&gt; &lt;span id="docs- internal-guid-17e606a4-7fff-c560-946b-9a9ae2950943"&gt;&amp;#160;&lt;/span&gt;&lt;/p&gt;&lt;p style="line- height:1.38;text-align: justify;margin-top:4pt;margin-bottom:0pt;" dir="ltr"&gt; &lt;span style="font-size:12pt;font-family:'Times New Roman',serif;color:#131314;background- color:#ffffff;font-weight:400;font-style:normal;font-variant:normal;text- decoration:none;vertical-align:baseline;white-space:pre;white-space:pre-wrap;"&gt;STJ, HC </w:t>
            </w:r>
            <w:r>
              <w:rPr>
                <w:spacing w:val="-7"/>
                <w:sz w:val="20"/>
              </w:rPr>
              <w:t>nº </w:t>
            </w:r>
            <w:r>
              <w:rPr>
                <w:sz w:val="20"/>
              </w:rPr>
              <w:t>1.010.732/SP, Rel. Min. Ricardo Villas Bôas Cueva, Terceira Turma, julgado em 25/8/2025; TJ/CE, Apelação Cível nº 0200724-80.2023.8.06.0160, Rel. José Ricardo Vidal Patrocínio, julgado em 27/03/2024.&lt;/span&gt;&lt;/p&gt;&lt;p style="line-height: 100%; orphans: 0; widows: 0; margin-bottom: 0.21cm;" align="justify"&gt; &lt;span style="font-size: medium;"&gt;</w:t>
            </w:r>
          </w:p>
          <w:p>
            <w:pPr>
              <w:pStyle w:val="TableParagraph"/>
              <w:tabs>
                <w:tab w:pos="6123" w:val="left" w:leader="none"/>
                <w:tab w:pos="6868" w:val="left" w:leader="none"/>
              </w:tabs>
              <w:spacing w:line="185" w:lineRule="exact" w:before="0"/>
              <w:rPr>
                <w:sz w:val="20"/>
              </w:rPr>
            </w:pPr>
            <w:r>
              <w:rPr>
                <w:sz w:val="20"/>
              </w:rPr>
              <w:t>&lt;span style="font-family: &amp;quot;times new roman&amp;quot;, times;"&gt;</w:t>
              <w:tab/>
              <w:t>&lt;br /&gt;</w:t>
              <w:tab/>
              <w:t>&lt;/span&gt;</w:t>
            </w:r>
          </w:p>
          <w:p>
            <w:pPr>
              <w:pStyle w:val="TableParagraph"/>
              <w:tabs>
                <w:tab w:pos="7432" w:val="left" w:leader="none"/>
              </w:tabs>
              <w:spacing w:line="208" w:lineRule="auto" w:before="10"/>
              <w:ind w:right="169"/>
              <w:rPr>
                <w:sz w:val="20"/>
              </w:rPr>
            </w:pPr>
            <w:r>
              <w:rPr>
                <w:sz w:val="20"/>
              </w:rPr>
              <w:t>&lt;/span&gt;&lt;/p&gt;&lt;p style="line-height: 150%; orphans: 0; widows: 0; margin-bottom: 0.21cm;" align="justify"&gt;  &lt;span style="font-family: &amp;quot;times new roman&amp;quot;, times;"&gt;</w:t>
              <w:tab/>
            </w:r>
            <w:r>
              <w:rPr>
                <w:spacing w:val="-4"/>
                <w:sz w:val="20"/>
              </w:rPr>
              <w:t>&lt;span </w:t>
            </w:r>
            <w:r>
              <w:rPr>
                <w:sz w:val="20"/>
              </w:rPr>
              <w:t>style="font-size: medium;"&gt;ACÓRDÃO: Vistos, relatados e discutidos estes autos, acorda a Quinta Câmara de Direito Privado Tribunal de Justiça do Estado do Ceará, por unanimidade em CONHECER do recurso para NEGAR-LHE PROVIMENTO, nos termos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16"/>
              <w:rPr>
                <w:sz w:val="20"/>
              </w:rPr>
            </w:pPr>
            <w:r>
              <w:rPr>
                <w:sz w:val="20"/>
              </w:rPr>
              <w:t>do voto do relator, parte integrante deste.&lt;/span&gt; &lt;/span&gt;&lt;/p&gt;&lt;p style="line-height: 100%; orphans: 0; widows: 0; margin-bottom: 0.21cm;" align="justify"&gt;&amp;#160;&lt;/p&gt;&lt;p</w:t>
            </w:r>
          </w:p>
          <w:p>
            <w:pPr>
              <w:pStyle w:val="TableParagraph"/>
              <w:spacing w:line="190" w:lineRule="exact" w:before="0"/>
              <w:rPr>
                <w:sz w:val="20"/>
              </w:rPr>
            </w:pPr>
            <w:r>
              <w:rPr>
                <w:sz w:val="20"/>
              </w:rPr>
              <w:t>style="line-height: 115%; orphans: 0; widows: 0; margin-bottom: 0.21cm;" align="justify"&gt;</w:t>
            </w:r>
          </w:p>
          <w:p>
            <w:pPr>
              <w:pStyle w:val="TableParagraph"/>
              <w:tabs>
                <w:tab w:pos="3084" w:val="left" w:leader="none"/>
                <w:tab w:pos="3288" w:val="left" w:leader="none"/>
                <w:tab w:pos="7214" w:val="left" w:leader="none"/>
              </w:tabs>
              <w:spacing w:line="208" w:lineRule="auto" w:before="10"/>
              <w:ind w:right="37"/>
              <w:rPr>
                <w:sz w:val="20"/>
              </w:rPr>
            </w:pPr>
            <w:r>
              <w:rPr>
                <w:sz w:val="20"/>
              </w:rPr>
              <w:t>&lt;span style="font-size: medium;"&gt;</w:t>
              <w:tab/>
              <w:tab/>
              <w:t>&lt;span style="font-family: &amp;quot;times new roman&amp;quot;, times;"&gt;F&lt;/span&gt;</w:t>
              <w:tab/>
              <w:t>&lt;span style="font-family: &amp;quot;times new roman&amp;quot;, times;"&gt;ortaleza, data registrada no sistema.&lt;/span&gt; &lt;/span&gt;&lt;/p&gt;&lt;p style="line-height: 115%; orphans: 0; widows: 0; margin-bottom: 0.21cm;" align="center"&gt; &lt;span style="font- family: &amp;quot;times new roman&amp;quot;, times; font-size: medium; text-align: start;"&gt;&amp;#160;&lt;/span&gt;&lt;/p&gt;&lt;p&gt;&amp;#160;&lt;/p&gt;&lt;p style="line-height: 100%; orphans: 0; </w:t>
            </w:r>
            <w:r>
              <w:rPr>
                <w:spacing w:val="-3"/>
                <w:sz w:val="20"/>
              </w:rPr>
              <w:t>widows: </w:t>
            </w:r>
            <w:r>
              <w:rPr>
                <w:sz w:val="20"/>
              </w:rPr>
              <w:t>0; margin-bottom: 0.21cm;" align="center"&gt;  &lt;span style="font-size: medium;"&gt;</w:t>
              <w:tab/>
              <w:t>&lt;strong&gt;</w:t>
            </w:r>
          </w:p>
          <w:p>
            <w:pPr>
              <w:pStyle w:val="TableParagraph"/>
              <w:tabs>
                <w:tab w:pos="1216" w:val="left" w:leader="none"/>
                <w:tab w:pos="2818" w:val="left" w:leader="none"/>
                <w:tab w:pos="5517" w:val="left" w:leader="none"/>
                <w:tab w:pos="6373" w:val="left" w:leader="none"/>
                <w:tab w:pos="7118" w:val="left" w:leader="none"/>
                <w:tab w:pos="7214" w:val="left" w:leader="none"/>
              </w:tabs>
              <w:spacing w:line="208" w:lineRule="auto" w:before="0"/>
              <w:ind w:right="192"/>
              <w:rPr>
                <w:sz w:val="20"/>
              </w:rPr>
            </w:pPr>
            <w:r>
              <w:rPr>
                <w:sz w:val="20"/>
              </w:rPr>
              <w:t>&lt;span style="font-family: &amp;quot;times new roman&amp;quot;, times;"&gt;MARIA REGINA OLIVEIRA CÂMARA&lt;/span&gt;</w:t>
              <w:tab/>
              <w:t>&lt;/strong&gt; &lt;/span&gt;&lt;/p&gt;&lt;p style="line-height: 115%; orphans: 0; widows: 0; margin-bottom: 0.21cm;" align="center"&gt; &lt;span style="font-size: medium;"&gt;</w:t>
              <w:tab/>
              <w:t>&lt;span style="font-family: &amp;quot;times new roman&amp;quot;, times;"&gt;Presidente do Órgão Julgador&lt;/span&gt; &lt;/span&gt;&lt;/p&gt;&lt;p style="line-height: 100%; orphans: 0; </w:t>
            </w:r>
            <w:r>
              <w:rPr>
                <w:spacing w:val="-3"/>
                <w:sz w:val="20"/>
              </w:rPr>
              <w:t>widows: </w:t>
            </w:r>
            <w:r>
              <w:rPr>
                <w:sz w:val="20"/>
              </w:rPr>
              <w:t>0; margin-bottom: 0.21cm;" align="center"&gt;  &lt;span style="font-size: medium;"&gt;</w:t>
              <w:tab/>
              <w:tab/>
              <w:t>&lt;span style="font-family: &amp;quot;times new roman&amp;quot;, times;"&gt;</w:t>
              <w:tab/>
              <w:t>&lt;br /&gt;</w:t>
              <w:tab/>
              <w:t>&lt;br /&gt;</w:t>
              <w:tab/>
              <w:t>&lt;/span&gt;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2438" w:val="left" w:leader="none"/>
                <w:tab w:pos="3561" w:val="left" w:leader="none"/>
                <w:tab w:pos="7032" w:val="left" w:leader="none"/>
                <w:tab w:pos="7396" w:val="left" w:leader="none"/>
              </w:tabs>
              <w:spacing w:line="208" w:lineRule="auto" w:before="0"/>
              <w:ind w:right="35"/>
              <w:rPr>
                <w:sz w:val="20"/>
              </w:rPr>
            </w:pPr>
            <w:r>
              <w:rPr>
                <w:sz w:val="20"/>
              </w:rPr>
              <w:t>&lt;/span&gt;&lt;/p&gt;&lt;p style="text-align: center;"&gt;&amp;#160;&lt;/p&gt;&lt;p style="text-align: center;"&gt; &lt;span style="font-size: small;"&gt;</w:t>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22"/>
              <w:rPr>
                <w:sz w:val="20"/>
              </w:rPr>
            </w:pPr>
            <w:r>
              <w:rPr>
                <w:sz w:val="20"/>
              </w:rPr>
              <w:t>&lt;/strong&gt; &lt;/span&gt;&lt;/p&gt;&lt;p style="text-align: center;"&gt;&amp;#160;&lt;/p&gt;&lt;p style="text-align: justify; font-family: &amp;quot;Times New Roman&amp;quot;; font-size: medium; line-height: 1.8; text- indent: 56.6929pt; margin-top: 4pt; margin-bottom: 0pt;" dir="ltr"&gt;&amp;#160;&lt;/p&gt;&lt;p style="text- align: justify; font-family: &amp;quot;Times New Roman&amp;quot;; font-size: medium; line-height: 1.8; text-indent: 56.6929pt; margin-top: 4pt; margin-bottom: 0pt;" dir="ltr"&gt;&lt;span</w:t>
            </w:r>
          </w:p>
          <w:p>
            <w:pPr>
              <w:pStyle w:val="TableParagraph"/>
              <w:spacing w:line="208" w:lineRule="auto" w:before="0"/>
              <w:ind w:right="31"/>
              <w:rPr>
                <w:sz w:val="20"/>
              </w:rPr>
            </w:pPr>
            <w:r>
              <w:rPr>
                <w:sz w:val="20"/>
              </w:rPr>
              <w:t>style="font-size: 12pt; font-family: &amp;quot;Times New Roman&amp;quot;, serif; color: #131314; font-variant-numeric: normal; font-variant-east-asian: normal; font-variant-alternates: normal; font-variant-position: normal; font-variant-emoji: normal; vertical-align: baseline; white-space-collapse: preserve;"&gt;Trata-se de&lt;/span&gt; &lt;span style="font-size: 12pt; font- family: &amp;quot;Times New Roman&amp;quot;, serif; color: #131314; font-weight: 700; font- variant-numeric: normal; font-variant-east-asian: normal; font-variant-alternates: normal; font-variant-position: normal; font-variant-emoji: normal; vertical-align: baseline; white- space-collapse: preserve;"&gt;Apelação Cível&lt;/span&gt; &lt;span style="font-size: 12pt; font- family: &amp;quot;Times New Roman&amp;quot;, serif; color: #131314; font-variant-numeric: </w:t>
            </w:r>
            <w:r>
              <w:rPr>
                <w:spacing w:val="-3"/>
                <w:sz w:val="20"/>
              </w:rPr>
              <w:t>normal; </w:t>
            </w:r>
            <w:r>
              <w:rPr>
                <w:sz w:val="20"/>
              </w:rPr>
              <w:t>font-variant-east-asian: normal; font-variant-alternates: normal; font-variant-position: normal; font-variant-emoji: normal; vertical-align: baseline; white-space-collapse: preserve;"&gt;interposta&lt;/span&gt; &lt;span style="font-size: 12pt; font-family: &amp;quot;Times New Roman&amp;quot;, serif; color: #131314; font-weight: 700; font-variant-numeric: normal; font- variant-east-asian: normal; font-variant-alternates: normal; font-variant-position: normal; font-variant-emoji: normal; vertical-align: baseline; white-space-collapse: preserve;"&gt;por Ana Evelyn Lima Rocha e Recurso Adesivo&lt;/span&gt; &lt;span style="font-size: 12pt; font- family: &amp;quot;Times New Roman&amp;quot;, serif; color: #131314; font-variant-numeric: </w:t>
            </w:r>
            <w:r>
              <w:rPr>
                <w:spacing w:val="-3"/>
                <w:sz w:val="20"/>
              </w:rPr>
              <w:t>normal; </w:t>
            </w:r>
            <w:r>
              <w:rPr>
                <w:sz w:val="20"/>
              </w:rPr>
              <w:t>font-variant-east-asian: normal; font-variant-alternates: normal; font-variant-position: normal; font-variant-emoji: normal; vertical-align: baseline; white-space-collapse: preserve;"&gt;interposto por&lt;/span&gt; &lt;span style="font-size: 12pt; font-family: &amp;quot;Times New Roman&amp;quot;, serif; color: #131314; font-weight: 700; font-variant-numeric: normal; font-variant-east-asian: normal; font-variant-alternates: normal; font-variant-position: normal; font-variant-emoji: normal; vertical-align: baseline; white-space-collapse: preserve;"&gt;Erlando Sérgio da Rocha&lt;/span&gt;&lt;span style="font-size: 12pt; font-family: &amp;quot;Times New Roman&amp;quot;, serif; color: #131314; font-variant-numeric: normal; font- variant-east-asian: normal; font-variant-alternates: normal; font-variant-position: normal; font-variant-emoji: normal; vertical-align: baseline; white-space-collapse: preserve;"&gt;, ambos se insurgindo contra a sentença proferida pelo Juízo da&lt;/span&gt; &lt;span style="font- size: 12pt; font-family: &amp;quot;Times New Roman&amp;quot;, serif; color: #131314; font-weight: 700; font-variant-numeric: normal; font-variant-east-asian: normal; font-variant-alternates: normal; font-variant-position: normal; font-variant-emoji: normal; vertical-align: baseline; white-space-collapse: preserve;"&gt;13ª Vara de Família da Comarca de Fortaleza&lt;/span&gt;&lt;span style="font-size: 12pt; font-family: &amp;quot;Times New Roman&amp;quot;, serif; color: #131314; font-variant-numeric: normal; font-variant-east-asian: normal; font- variant-alternates: normal; font-variant-position: normal; font-variant-emoji: normal; vertical-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2"/>
              <w:rPr>
                <w:sz w:val="20"/>
              </w:rPr>
            </w:pPr>
            <w:r>
              <w:rPr>
                <w:sz w:val="20"/>
              </w:rPr>
              <w:t>align: baseline; white-space-collapse: preserve;"&gt;, nos autos da&lt;/span&gt; &lt;span style="font- size: 12pt; font-family: &amp;quot;Times New Roman&amp;quot;, serif; color: #131314; font-weight: 700; font-variant-numeric: normal; font-variant-east-asian: normal; font-variant-alternates: normal; font-variant-position: normal; font-variant-emoji: normal; vertical-align: baseline; white-space-collapse: preserve;"&gt;Ação de Alimentos&lt;/span&gt; &lt;span style="font-size: 12pt; font-family: &amp;quot;Times New Roman&amp;quot;, serif; color: #131314; font-variant-numeric: normal; font-variant-east-asian: normal; font-variant-alternates: normal; font-variant- position: normal; font-variant-emoji: normal; vertical-align: baseline; white-space-collapse: preserve;"&gt;ajuizada pela primeira recorrente em desfavor do segundo.&lt;/span&gt;&lt;/p&gt;&lt;p style="text-align: justify; font-family: &amp;quot;Times New Roman&amp;quot;; font-size: medium; line-height: 1.8; text-indent: 56.6929pt; margin-top: 4pt; margin-bottom: 0pt;" dir="ltr"&gt;&lt;span style="font-size: 12pt; font-family: &amp;quot;Times New Roman&amp;quot;, serif; color: #131314; font-variant-numeric: normal; font-variant-east-asian: normal; font-variant- alternates: normal; font-variant-position: normal; font-variant-emoji: normal; vertical-align: baseline; white-space-collapse: preserve;"&gt;Como dito, a ação foi ajuizada por&lt;/span&gt;</w:t>
            </w:r>
          </w:p>
          <w:p>
            <w:pPr>
              <w:pStyle w:val="TableParagraph"/>
              <w:spacing w:line="208" w:lineRule="auto" w:before="0"/>
              <w:ind w:right="165"/>
              <w:rPr>
                <w:sz w:val="20"/>
              </w:rPr>
            </w:pPr>
            <w:r>
              <w:rPr>
                <w:sz w:val="20"/>
              </w:rPr>
              <w:t>&lt;span style="font-size: 12pt; font-family: &amp;quot;Times New Roman&amp;quot;, serif; color: #131314; font-weight: 700; font-variant-numeric: normal; font-variant-east-asian: normal; font-variant-alternates: normal; font-variant-position: normal; font-variant-emoji: normal; vertical-align: baseline; white-space-collapse: preserve;"&gt;Ana Evelyn Lima Rocha&lt;/span&gt;</w:t>
            </w:r>
          </w:p>
          <w:p>
            <w:pPr>
              <w:pStyle w:val="TableParagraph"/>
              <w:tabs>
                <w:tab w:pos="2128" w:val="left" w:leader="none"/>
              </w:tabs>
              <w:spacing w:line="208" w:lineRule="auto" w:before="0"/>
              <w:ind w:right="37"/>
              <w:rPr>
                <w:sz w:val="20"/>
              </w:rPr>
            </w:pPr>
            <w:r>
              <w:rPr>
                <w:sz w:val="20"/>
              </w:rPr>
              <w:t>&lt;span style="font-size: 12pt; font-family: &amp;quot;Times New Roman&amp;quot;, serif; color: #131314; font-variant-numeric: normal; font-variant-east-asian: normal; font-variant- alternates: normal; font-variant-position: normal; font-variant-emoji: normal; vertical-align: baseline; white-space-collapse: preserve;"&gt;em face de seu genitor, buscando a fixação de alimentos em seu favor. Inicialmente, foram fixados alimentos provisórios em 25% dos rendimentos líquidos do promovido.&lt;/span&gt;&lt;/p&gt;&lt;p style="text-align: justify; font-family: &amp;quot;Times New Roman&amp;quot;; font-size: medium; line-height: 1.8; text-indent: 56.6929pt; margin-top: 4pt; margin-bottom: 0pt;" dir="ltr"&gt; &lt;span style="font-size: 12pt; font-family: &amp;quot;Times New Roman&amp;quot;, serif; color: #131314; font-variant-numeric: normal; font- variant-east-asian: normal; font-variant-alternates: normal; font-variant-position: normal; font-variant-emoji: normal; vertical-align: baseline; white-space-collapse: preserve;"&gt;A alimentanda atingiu a maioridade civil no curso da ação. Na instrução, informou que se encontra matriculada no curso superior de Psicologia na UNIFANOR, com mensalidade de R$ 921,57. O Requerido, por sua vez, alegou ter constituído nova família e que sua atual cônjuge estaria grávida, requerendo a improcedência do pedido da autora.&lt;/span&gt;&lt;/p&gt;&lt;p style="text-align: justify; font-family: &amp;quot;Times New Roman&amp;quot;; font-size: medium; line-height: 1.8; text-indent: 56.6929pt; margin-top: 4pt; margin-bottom: 0pt;" dir="ltr"&gt;&lt;span style="font-size: 12pt; font-family: &amp;quot;Times New Roman&amp;quot;, serif; color: #131314; font-variant-numeric: normal; font-variant-east-asian: normal; font-variant- alternates: normal; font-variant-position: normal; font-variant-emoji: normal; vertical-align: baseline; white-space-collapse: preserve;"&gt;Através da sentença de ID 23210249, o juízo&lt;/span&gt; &lt;span style="font-size: 12pt; font-family: &amp;quot;Times New Roman&amp;quot;, serif; color: #131314; font-style: italic; font-variant-numeric: normal; font-variant-east-asian: normal; font-variant-alternates: normal; font-variant-position: normal; font-variant-emoji: normal; vertical-align: baseline; white-space-collapse: preserve;"&gt;a quo&lt;/span&gt; &lt;span style="font-size: 12pt; font-family: &amp;quot;Times New Roman&amp;quot;, serif; color: #131314; font-variant-numeric: normal; font-variant-east-asian: normal; font-variant-alternates: normal; font-variant-position: normal; font-variant-emoji: normal; vertical-align: baseline; white-space-collapse: preserve;"&gt;julgou parcialmente procedente o pedido formulado pela autora, nos termos seguintes:&lt;/span&gt;&lt;/p&gt;&lt;p style="text-align: justify; font-family: &amp;quot;Times New Roman&amp;quot;; font-size: medium; line-height: 1.38; margin-left: 113.386pt; margin-top: 4pt; margin-bottom: 0pt;" dir="ltr"&gt;&amp;#160;&lt;/p&gt;&lt;p style="text-align: justify; font-family: &amp;quot;Times New Roman&amp;quot;; font-size: medium; line-height: 1.38; margin-left: 113.386pt; margin-top: 4pt; margin-bottom: 0pt;" dir="ltr"&gt; &lt;span style="font- size: 12pt; font-family: &amp;quot;Times New Roman&amp;quot;, serif; color: #131314; font-variant- numeric: normal; font-variant-east-asian: normal; font-variant-alternates: normal; font- variant-position: normal; font-variant-emoji: normal; vertical-align: baseline; white-space- collapse: preserve;"&gt;</w:t>
              <w:tab/>
              <w:t>&lt;em&gt;Por todo o exposto, com fundamento nos dispositivos legais declinados, JULGO PARCIALMENTE PROCEDENTE o pedido formulado pela autora </w:t>
            </w:r>
            <w:r>
              <w:rPr>
                <w:spacing w:val="-4"/>
                <w:sz w:val="20"/>
              </w:rPr>
              <w:t>para </w:t>
            </w:r>
            <w:r>
              <w:rPr>
                <w:sz w:val="20"/>
              </w:rPr>
              <w:t>condenar o promovido a pagar alimentos em favor da requerente, no patamar correspondente a 18% (dezoito por cento) dos seus rendimentos líquidos, deduzidos os descontos legais obrigatórios (imposto de renda e contribuição previdenciária), incidindo, inclusive, sobre adicional de férias, 13º salário, eventuais verbas rescisórias e seguro- desemprego, excluídas as parcelas indenizatórias, cujo pagamento se dará mediante desconto em folha de pagamento e depósito em conta de titularidade da requerente, enquanto o alimentante permanecer com vínculo formal de trabalho. Na hipótese de passar o promovido a integrar o mercado informal de trabalho, os alimentos corresponderão a 20% (vinte por cento) do salário mínimo vigente no país, a serem pagos mediante depósito em conta de titularidade da requerente, até o quinto dia útil de cada mês. Por conseguinte, declaro extinto o presente feito com resolução meritória, na forma do art. 487, inciso I, do Código de Processo Civil.&amp;#160;&lt;/em&gt; &lt;/span&gt;&lt;/p&gt;&lt;p</w:t>
            </w:r>
            <w:r>
              <w:rPr>
                <w:spacing w:val="6"/>
                <w:sz w:val="20"/>
              </w:rPr>
              <w:t> </w:t>
            </w:r>
            <w:r>
              <w:rPr>
                <w:spacing w:val="-2"/>
                <w:sz w:val="20"/>
              </w:rPr>
              <w:t>style="text-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09" w:val="left" w:leader="none"/>
              </w:tabs>
              <w:spacing w:line="208" w:lineRule="auto" w:before="26"/>
              <w:ind w:right="136"/>
              <w:rPr>
                <w:sz w:val="20"/>
              </w:rPr>
            </w:pPr>
            <w:r>
              <w:rPr>
                <w:sz w:val="20"/>
              </w:rPr>
              <w:t>align: justify; font-family: &amp;quot;Times New Roman&amp;quot;; font-size: medium;" align="center"&gt;  &lt;span style="font-size: small;"&gt;</w:t>
              <w:tab/>
              <w:t>&lt;br /&gt; &lt;/span&gt;&lt;/p&gt;&lt;p style="text-align: justify; font-family: &amp;quot;Times New Roman&amp;quot;; font-size: medium; line-height: 1.8; text-indent: 56.6929pt; margin-top: 4pt; margin-bottom: 0pt;" dir="ltr"&gt;&lt;span style="font- size: 12pt; font-family: &amp;quot;Times New Roman&amp;quot;, serif; color: #131314; font-variant- numeric: normal; font-variant-east-asian: normal; font-variant-alternates: normal; font- variant-position: normal; font-variant-emoji: normal; vertical-align: baseline; white-space- collapse: preserve;"&gt;&amp;#160;Irresignada, a autora interpôs Apelação principal, requerendo a&lt;/span&gt; &lt;span style="font-size: 12pt; font-family: &amp;quot;Times New Roman&amp;quot;, serif; color: #131314; font-weight: 700; font-variant-numeric: normal; font-variant-east-asian: normal; font-variant-alternates: normal; font-variant-position: normal; font-variant-emoji:</w:t>
            </w:r>
          </w:p>
          <w:p>
            <w:pPr>
              <w:pStyle w:val="TableParagraph"/>
              <w:spacing w:line="208" w:lineRule="auto" w:before="0"/>
              <w:ind w:right="32"/>
              <w:rPr>
                <w:sz w:val="20"/>
              </w:rPr>
            </w:pPr>
            <w:r>
              <w:rPr>
                <w:sz w:val="20"/>
              </w:rPr>
              <w:t>normal; vertical-align: baseline; white-space-collapse: preserve;"&gt;majoração&lt;/span&gt; </w:t>
            </w:r>
            <w:r>
              <w:rPr>
                <w:spacing w:val="-3"/>
                <w:sz w:val="20"/>
              </w:rPr>
              <w:t>&lt;span </w:t>
            </w:r>
            <w:r>
              <w:rPr>
                <w:sz w:val="20"/>
              </w:rPr>
              <w:t>style="font-size: 12pt; font-family: &amp;quot;Times New Roman&amp;quot;, serif; color: #131314; font-variant-numeric: normal; font-variant-east-asian: normal; font-variant-alternates: normal; font-variant-position: normal; font-variant-emoji: normal; vertical-align: baseline; white-space-collapse: preserve;"&gt;dos alimentos para o patamar fixado a título de alimentos provisórios (25% dos rendimentos do alimentante).&lt;/span&gt;&lt;/p&gt;&lt;p style="text-align: justify; font-family: &amp;quot;Times New Roman&amp;quot;; font-size: medium; line-height: 1.8; text- indent: 56.6929pt; margin-top: 4pt; margin-bottom: 0pt;" dir="ltr"&gt; &lt;span style="font-size: 12pt; font-family: &amp;quot;Times New Roman&amp;quot;, serif; color: #131314; font-variant- numeric: normal; font-variant-east-asian: normal; font-variant-alternates: normal; font- variant-position: normal; font-variant-emoji: normal; vertical-align: baseline; white-space- collapse: preserve;"&gt;O demandado, por sua vez, interpôs Recurso Adesivo pleiteando a reforma da decisão a fim de que seja exonerado da obrigação alimentar em favor da autora. Subsidiariamente, requer a fixação dos alimentos em R$ 300,00 (trezentos reais), valor anteriormente pago informalmente (ID 23210272).&lt;/span&gt;&lt;/p&gt;&lt;p style="text-align: justify; font-family: &amp;quot;Times New Roman&amp;quot;; font-size: medium; line-height: 1.8;</w:t>
            </w:r>
          </w:p>
          <w:p>
            <w:pPr>
              <w:pStyle w:val="TableParagraph"/>
              <w:spacing w:line="208" w:lineRule="auto" w:before="0"/>
              <w:ind w:right="143"/>
              <w:rPr>
                <w:sz w:val="20"/>
              </w:rPr>
            </w:pPr>
            <w:r>
              <w:rPr>
                <w:sz w:val="20"/>
              </w:rPr>
              <w:t>text-indent: 56.6929pt; margin-top: 4pt; margin-bottom: 0pt;" dir="ltr"&gt; &lt;span style="font- size: 12pt; font-family: &amp;quot;Times New Roman&amp;quot;, serif; color: #131314; font-variant- numeric: normal; font-variant-east-asian: normal; font-variant-alternates: normal; font- variant-position: normal; font-variant-emoji: normal; vertical-align: baseline; white-space- collapse: preserve;"&gt;Contrarrazões apresentadas nos ID´s 23210273 e 23210065, pleiteando o desprovimento do recurso da parte adversa.&lt;/span&gt;&lt;/p&gt;&lt;p style="text-align: justify; font-family: &amp;quot;Times New Roman&amp;quot;; font-size: medium; line-height: 1.8; text-indent: 56.6929pt; margin-top: 4pt; margin-bottom: 0pt;" dir="ltr"&gt; &lt;span style="font- size: 12pt; font-family: &amp;quot;Times New Roman&amp;quot;, serif; color: #131314; font-variant- numeric: normal; font-variant-east-asian: normal; font-variant-alternates: normal; font- variant-position: normal; font-variant-emoji: normal; vertical-align: baseline; white-space- collapse: preserve;"&gt;Houve tentativa de conciliação no CEJUSC/SG por videoconferência</w:t>
            </w:r>
          </w:p>
          <w:p>
            <w:pPr>
              <w:pStyle w:val="TableParagraph"/>
              <w:spacing w:line="208" w:lineRule="auto" w:before="0"/>
              <w:ind w:right="26"/>
              <w:rPr>
                <w:sz w:val="20"/>
              </w:rPr>
            </w:pPr>
            <w:r>
              <w:rPr>
                <w:sz w:val="20"/>
              </w:rPr>
              <w:t>em 03/07/2024, a qual restou infrutífera.&lt;/span&gt;&lt;/p&gt;&lt;p style="text-align: justify; font-family: &amp;quot;Times New Roman&amp;quot;; font-size: medium; line-height: 1.8; text-indent: 56.6929pt; margin-top: 4pt; margin-bottom: 0pt;" dir="ltr"&gt;&lt;span style="font-size: 12pt; font-family: &amp;quot;Times New Roman&amp;quot;, serif; color: #131314; font-variant-numeric: normal; font- variant-east-asian: normal; font-variant-alternates: normal; font-variant-position: normal; font-variant-emoji: normal; vertical-align: baseline; white-space-collapse: preserve;"&gt;A&lt;/span&gt; &lt;span style="font-size: 12pt; font-family: &amp;quot;Times New Roman&amp;quot;, serif; color: #131314; font-weight: 700; font-variant-numeric: normal; font- variant-east-asian: normal; font-variant-alternates: normal; font-variant-position: normal; font-variant-emoji: normal; vertical-align: baseline; white-space-collapse: preserve;"&gt;Procuradoria Geral de Justiça,&lt;/span&gt; &lt;span style="font-size: 12pt; font-family: &amp;quot;Times New Roman&amp;quot;, serif; color: #131314; font-variant-numeric: normal; font- variant-east-asian: normal; font-variant-alternates: normal; font-variant-position: normal; font-variant-emoji: normal; vertical-align: baseline; white-space-collapse: preserve;"&gt;em parecer de ID 23210053, manifestou-se pelo conhecimento dos recursos, mas&lt;/span&gt;</w:t>
            </w:r>
          </w:p>
          <w:p>
            <w:pPr>
              <w:pStyle w:val="TableParagraph"/>
              <w:spacing w:line="208" w:lineRule="auto" w:before="0"/>
              <w:ind w:right="42"/>
              <w:rPr>
                <w:sz w:val="20"/>
              </w:rPr>
            </w:pPr>
            <w:r>
              <w:rPr>
                <w:sz w:val="20"/>
              </w:rPr>
              <w:t>&lt;span style="font-size: 12pt; font-family: &amp;quot;Times New Roman&amp;quot;, serif; color: #131314; font-weight: 700; font-variant-numeric: normal; font-variant-east-asian: normal; font-variant-alternates: normal; font-variant-position: normal; font-variant-emoji: normal; vertical-align: baseline; white-space-collapse: preserve;"&gt;deixou de apreciar o mérito&lt;/span&gt; &lt;span style="font-size: 12pt; font-family: &amp;quot;Times New Roman&amp;quot;, serif; color: #131314; font-variant-numeric: normal; font-variant-east-asian: normal; font- variant-alternates: normal; font-variant-position: normal; font-variant-emoji: normal; vertical- align: baseline; white-space-collapse: preserve;"&gt;por considerá-la uma lide patrimonial entre partes maiores e capazes, dispensada a intervenção ministerial.&lt;/span&gt;&lt;span style="font-size: small;"&gt;&amp;#160;&lt;/span&gt;&lt;/p&gt;&lt;p style="text-align: justify; font-family: &amp;quot;Times New Roman&amp;quot;; font-size: medium; line-height: 1.8; text-indent: 56.6929pt; margin-top: 4pt; margin-bottom: 0pt;" dir="ltr"&gt; &lt;span style="font-size: 12pt; font-family: &amp;quot;Times New Roman&amp;quot;, serif; color: #131314; font-variant-numeric: normal; font- variant-east-asian: normal; font-variant-alternates: normal; font-variant-position: normal; font-variant-emoji: normal; vertical-align: baseline; white-space-collapse: preserve;"&gt;É o relatório.&lt;/span&gt;&lt;/p&gt;&lt;p style="text-align: center;"&gt;&amp;#160;&lt;/p&gt;&lt;p style="line-height: 1.8;</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353" w:val="left" w:leader="none"/>
              </w:tabs>
              <w:spacing w:line="208" w:lineRule="auto" w:before="26"/>
              <w:ind w:right="188"/>
              <w:rPr>
                <w:sz w:val="20"/>
              </w:rPr>
            </w:pPr>
            <w:r>
              <w:rPr>
                <w:sz w:val="20"/>
              </w:rPr>
              <w:t>text-align: center; margin-top: 4pt; margin-bottom: 0pt;" dir="ltr"&gt; &lt;span style="font- size:12pt;font-family:'Times New Roman',serif;color:#131314;background-color:#ffffff;font- weight:700;font-style:normal;font-variant:normal;text-decoration:none;vertical- align:baseline;white-space:pre;white-space:pre-wrap;"&gt;VOTO&lt;/span&gt;&lt;/p&gt;&lt;p style="line- height: 1.8; text-align: center; margin-top: 4pt; margin-bottom: 0pt;" dir="ltr"&gt; &lt;span style="font-size:12pt;font-family:'Times New Roman',serif;color:#131314;background- color:#ffffff;font-weight:700;font-style:normal;font-variant:normal;text- decoration:none;vertical-align:baseline;white-space:pre;white-space:pre-wrap;"&gt;</w:t>
              <w:tab/>
              <w:t>&lt;br /&gt;</w:t>
            </w:r>
          </w:p>
          <w:p>
            <w:pPr>
              <w:pStyle w:val="TableParagraph"/>
              <w:spacing w:line="208" w:lineRule="auto" w:before="0"/>
              <w:ind w:right="21"/>
              <w:rPr>
                <w:sz w:val="20"/>
              </w:rPr>
            </w:pPr>
            <w:r>
              <w:rPr>
                <w:sz w:val="20"/>
              </w:rPr>
              <w:t>&lt;/span&gt;&lt;/p&gt;&lt;p style="line-height:1.7999999999999998;text-align: justify;margin- top:4pt;margin-bottom:0pt;" dir="ltr"&gt; &lt;span style="font-size:12pt;font-family:'Times New Roman',serif;color:#131314;background-color:#ffffff;font-weight:700;font-style:normal;font- variant:normal;text-decoration:none;vertical-align:baseline;white-space:pre;white- space:pre-wrap;"&gt;I – Admissibilidade:&lt;/span&gt;&lt;/p&gt;&lt;p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space:pre-wrap;"&gt;Os recursos de Apelação Principal e Recurso Adesivo são tempestivos e preenchem os requisitos de admissibilidade, razão pela qual&lt;/span&gt; &lt;span style="font- size:12pt;font-family:'Times New Roman',serif;color:#131314;background-color:#ffffff;font- weight:700;font-style:normal;font-variant:normal;text-decoration:none;vertical- align:baseline;white-space:pre;white-space:pre-wrap;"&gt;merecem ser conhecidos&lt;/span&gt;&lt;span style="font-size:12pt;font-family:'Times New Roman',serif;color:#131314;background-color:#ffffff;font-weight:400;font-style:normal;font- variant:normal;text-decoration:none;vertical-align:baseline;white-space:pre;white- space:pre-wrap;"&gt;.&lt;/span&gt;&lt;/p&gt;&lt;p style="line-height:1.7999999999999998;text-align: justify;margin-top:4pt;margin-bottom:0pt;" dir="ltr"&gt; &lt;span style="font-size:12pt;font- family:'Times New Roman',serif;color:#131314;background-color:#ffffff;font-weight:700;font- style:normal;font-variant:normal;text-decoration:none;vertical-align:baseline;white- space:pre;white-space:pre-wrap;"&gt;II – Mérito:&amp;#160;&lt;/span&gt;&lt;/p&gt;&lt;p style="line- height:1.7999999999999998;text-indent: 56.692913385826756pt;text-align: justify;margin- top:0pt;margin-bottom:6pt;" dir="ltr"&gt; &lt;span style="font-size:12pt;font-family:'Times New Roman',serif;color:#131314;background-color:#ffffff;font-weight:400;font-style:normal;font- variant:normal;text-decoration:none;vertical-align:baseline;white-space:pre;white- space:pre-wrap;"&gt;A controvérsia cinge-se à manutenção, majoração ou exoneração da obrigação alimentar anteriormente fixada em favor da filha do requerido, a título de alimentos provisórios,no patamar de 18% dos rendimentos líquidos do alimentante,&lt;/span&gt;&lt;/p&gt;&lt;p style="line-height:1.7999999999999998;text-indent: 56.692913385826756pt;text-align: justify;margin-top:0pt;margin-bottom:6pt;" dir="ltr"&gt;</w:t>
            </w:r>
          </w:p>
          <w:p>
            <w:pPr>
              <w:pStyle w:val="TableParagraph"/>
              <w:tabs>
                <w:tab w:pos="6468" w:val="left" w:leader="none"/>
              </w:tabs>
              <w:spacing w:line="208" w:lineRule="auto" w:before="0"/>
              <w:ind w:right="119"/>
              <w:rPr>
                <w:sz w:val="20"/>
              </w:rPr>
            </w:pPr>
            <w:r>
              <w:rPr>
                <w:sz w:val="20"/>
              </w:rPr>
              <w:t>&lt;span style="font-size:12pt;font-family:'Times New Roman',serif;color:#131314;background-color:#ffffff;font-weight:400;font-style:normal;font- variant:normal;text-decoration:none;vertical-align:baseline;white-space:pre;white- space:pre-wrap;"&gt;O genitor pleiteia a exoneração do encargo, ou, subsidiariamente, a redução do valor para R$ 300,00, sob o argumento de que a alimentanda atingiu a maioridade e que não possui condições financeiras para suportar o percentual atualmente fixado. Por sua vez, a autora requer a majoração da verba alimentar para 25% dos rendimentos do genitor, alegando que permanece em fase de formação profissional, cursando ensino superior, e que suas despesas aumentaram.&lt;/span&gt;&lt;/p&gt;&lt;p style="line- height:1.7999999999999998;text-indent: 56.692913385826756pt;text-align: justify;margin- top:0pt;margin-bottom:6pt;" dir="ltr"&gt; &lt;span style="font-size:12pt;font-family:'Times New Roman',serif;color:#131314;background-color:#ffffff;font-weight:400;font-style:normal;font- variant:normal;text-decoration:none;vertical-align:baseline;white-space:pre;white- space:pre-wrap;"&gt;A maioridade civil, por si só, não implica automática exoneração do dever alimentar, sobretudo quando comprovado que a alimentando ainda necessita do auxílio paterno para custear sua formação acadêmica, como ocorre no caso concreto. A jurisprudência pátria, inclusive do Superior Tribunal de Justiça, reconhece que os alimentos podem subsistir após a maioridade, enquanto perdurar a necessidade decorrente dos estudos ou da dificuldade de inserção no mercado de trabalho. Nesse sentido:&lt;/span&gt;&lt;/p&gt;&lt;p style="text-align: center;"&gt; &lt;strong id="docs-internal-guid- 687e49f6-7fff-d150-c34e-62b7908a7b96" style="font-weight:normal;"&gt;</w:t>
              <w:tab/>
              <w:t>&lt;br /&gt;</w:t>
            </w:r>
          </w:p>
          <w:p>
            <w:pPr>
              <w:pStyle w:val="TableParagraph"/>
              <w:spacing w:line="208" w:lineRule="auto" w:before="0"/>
              <w:ind w:right="21"/>
              <w:rPr>
                <w:sz w:val="20"/>
              </w:rPr>
            </w:pPr>
            <w:r>
              <w:rPr>
                <w:sz w:val="20"/>
              </w:rPr>
              <w:t>&lt;/strong&gt;&lt;/p&gt;&lt;p style="line-height:1.38;margin-left: 113.38582677165354pt;text-align: justify;margin-top:0pt;margin-bottom:0pt;" dir="ltr"&gt; &lt;span style="font-size:11pt;font- family:'Times New Roman',serif;color:#131314;background-color:#ffffff;font-weight:400;font- style:normal;font-variant:normal;text-decoration:none;vertical-align:baseline;white- space:pre;white-space:pre-wrap;"&gt;HABEAS CORPUS. PRISÃO CIVIL. ALIMENTOS. SUCEDÂNEO RECURSAL. NÃO CABIMENTO. ILEGALIDADE MANIFESTA OU ABUSO DE PODER. NÃO CARACTERIZADOS. SÚMULA Nº 309/STJ. CAPACIDADE ECONÔMICA DO ALIMENTANTE. EQUÍVOCO NOS CÁLCULOS. INADEQUAÇÃO DA VIA ELEITA. NECESSIDADE DA VERBA ALIMENTAR. MAIORIDADE. SÚMULA Nº</w:t>
            </w:r>
          </w:p>
          <w:p>
            <w:pPr>
              <w:pStyle w:val="TableParagraph"/>
              <w:spacing w:line="205" w:lineRule="exact" w:before="0"/>
              <w:rPr>
                <w:sz w:val="20"/>
              </w:rPr>
            </w:pPr>
            <w:r>
              <w:rPr>
                <w:sz w:val="20"/>
              </w:rPr>
              <w:t>358/STJ.&lt;/span&gt;&lt;/p&gt;&lt;p style="line-height:1.38;margin-left: 113.38582677165354pt;text-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align: justify;margin-top:0pt;margin-bottom:0pt;" dir="ltr"&gt; &lt;span style="font-size:11pt;font- family:'Times New Roman',serif;color:#131314;background-color:#ffffff;font-weight:400;font- style:normal;font-variant:normal;text-decoration:none;vertical-align:baseline;white- space:pre;white-space:pre-wrap;"&gt;1. Não se admite a impetração de habeas corpus como sucedâneo recursal. Precedentes. A demonstração da ocorrência de ilegalidade manifesta ou abuso de poder pela autoridade coatora autoriza, excepcionalmente, a concessão da ordem de ofício, hipótese não evidenciada.&lt;/span&gt;&lt;/p&gt;&lt;p style="line-height:1.38;margin- left: 113.38582677165354pt;text-align: justify;margin-top:0pt;margin-bottom:0pt;" dir="ltr"&gt;</w:t>
            </w:r>
          </w:p>
          <w:p>
            <w:pPr>
              <w:pStyle w:val="TableParagraph"/>
              <w:spacing w:line="208" w:lineRule="auto" w:before="0"/>
              <w:ind w:right="86"/>
              <w:rPr>
                <w:sz w:val="20"/>
              </w:rPr>
            </w:pPr>
            <w:r>
              <w:rPr>
                <w:sz w:val="20"/>
              </w:rPr>
              <w:t>&lt;span style="font-size:11pt;font-family:'Times New Roman',serif;color:#131314;background-color:#ffffff;font-weight:400;font-style:normal;font- variant:normal;text-decoration:none;vertical-align:baseline;white-space:pre;white- space:pre-wrap;"&gt;2. A decretação da prisão do alimentante revela-se cabível quando não adimplidas as três últimas prestações anteriores à propositura da execução de alimentos, bem como as parcelas vincendas no curso do processo executório, nos termos da </w:t>
            </w:r>
            <w:r>
              <w:rPr>
                <w:spacing w:val="-3"/>
                <w:sz w:val="20"/>
              </w:rPr>
              <w:t>Súmula </w:t>
            </w:r>
            <w:r>
              <w:rPr>
                <w:sz w:val="20"/>
              </w:rPr>
              <w:t>nº 309/STJ. Na hipótese, o devedor efetuou pagamentos parciais.&lt;/span&gt;&lt;/p&gt;&lt;p style="line-height:1.38;margin-left: 113.38582677165354pt;text-align: justify;margin- top:0pt;margin-bottom:0pt;" dir="ltr"&gt; &lt;span style="font-size:11pt;font-family:'Times New Roman',serif;color:#131314;background-color:#ffffff;font-weight:400;font-style:normal;font- variant:normal;text-decoration:none;vertical-align:baseline;white-space:pre;white- space:pre-wrap;"&gt;3. O habeas corpus não é o instrumento adequado para aferir a real capacidade financeira do alimentante de arcar com o valor executado e a adequação dos cálculos do débito exequendo, porquanto sua análise se mostra incompatível com a via restrita do presente writ.&lt;/span&gt;&lt;/p&gt;&lt;p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space:pre-wrap;"&gt;Precedentes.&lt;/span&gt;&lt;/p&gt;&lt;p style="line-height:1.38;margin-left: 113.38582677165354pt;text-align: justify;margin-top:0pt;margin-bottom:0pt;" dir="ltr"&gt;</w:t>
            </w:r>
          </w:p>
          <w:p>
            <w:pPr>
              <w:pStyle w:val="TableParagraph"/>
              <w:spacing w:line="208" w:lineRule="auto" w:before="0"/>
              <w:ind w:right="80"/>
              <w:rPr>
                <w:sz w:val="20"/>
              </w:rPr>
            </w:pPr>
            <w:r>
              <w:rPr>
                <w:sz w:val="20"/>
              </w:rPr>
              <w:t>&lt;span style="font-size:11pt;font-family:'Times New Roman',serif;color:#131314;background-color:#ffffff;font-weight:400;font-style:normal;font- variant:normal;text-decoration:none;vertical-align:baseline;white-space:pre;white- space:pre-wrap;"&gt;4. A maioridade do alimentando, isoladamente, não é suficiente para a desconstituição da obrigação alimentar. O cancelamento de pensão alimentícia de filho que atingiu a maioridade está sujeito à decisão judicial, mediante contraditório, conforme Súmula nº 358/STJ. Na hipótese, não há provas acerca da atual situação do exequente.&lt;/span&gt;&lt;/p&gt;&lt;p style="line-height:1.38;margin-left: 113.38582677165354pt;text- align: justify;margin-top:0pt;margin-bottom:0pt;" dir="ltr"&gt; &lt;span style="font-size:11pt;font-</w:t>
            </w:r>
          </w:p>
          <w:p>
            <w:pPr>
              <w:pStyle w:val="TableParagraph"/>
              <w:tabs>
                <w:tab w:pos="4922" w:val="left" w:leader="none"/>
                <w:tab w:pos="5666" w:val="left" w:leader="none"/>
              </w:tabs>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space:pre;white-space:pre-wrap;"&gt;5. Habeas corpus não conhecido.&lt;/span&gt;&lt;/p&gt;&lt;p style="line-height:1.38;margin-left: 113.38582677165354pt;text-align: justify;margin- top:0pt;margin-bottom:0pt;" dir="ltr"&gt; &lt;span style="font-size:11pt;font-family:'Times New Roman',serif;color:#131314;background-color:#ffffff;font-weight:400;font-style:normal;font- variant:normal;text-decoration:none;vertical-align:baseline;white-space:pre;white- space:pre-wrap;"&gt;(HC n. 1.010.732/SP, relator Ministro Ricardo Villas Bôas Cueva, Terceira Turma, julgado em 25/8/2025, DJEN de 29/8/2025.)&lt;/span&gt;&lt;/p&gt;&lt;p style="text- align: center;"&gt;  &lt;strong style="font-weight:normal;"&gt;</w:t>
              <w:tab/>
              <w:t>&lt;br /&gt;</w:t>
              <w:tab/>
              <w:t>&lt;br /&gt; &lt;/strong&gt;&lt;/p&gt;&lt;p style="line-height:1.38;margin-left: 113.38582677165354pt;text-align: justify;margin- top:0pt;margin-bottom:6pt;" dir="ltr"&gt; &lt;span style="font-size:11pt;font-family:'Times New Roman',serif;color:#131314;background-color:#ffffff;font-weight:400;font-style:normal;font- variant:normal;text-decoration:none;vertical-align:baseline;white-space:pre;white- space:pre-wrap;"&gt;Ementa: DIREITO DE FAMÍLIA. APELAÇÃO CÍVEL. AÇÃO DE ALIMENTOS PARA MAIOR DE 18 ANOS. ALIMENTANDO CURSANDO ENSINO SUPERIOR. PEDIDO DE REDUÇÃO DO QUANTUM. IMPOSSIBILIDADE. TRINÔMIO POSSIBILIDADE / NECESSIDADE / PROPORCIONALIDADE. RÉU NÃO SE DESINCUMBIU DO ÔNUS DE COMPROVAR IMPOSSIBILIDADE DE PRESTAR ALIMENTOS AO FILHO. QUANTUM PROPORCIONAL. RECURSO CONHECIDO E</w:t>
            </w:r>
          </w:p>
          <w:p>
            <w:pPr>
              <w:pStyle w:val="TableParagraph"/>
              <w:spacing w:line="208" w:lineRule="auto" w:before="0"/>
              <w:ind w:right="53"/>
              <w:rPr>
                <w:sz w:val="20"/>
              </w:rPr>
            </w:pPr>
            <w:r>
              <w:rPr>
                <w:sz w:val="20"/>
              </w:rPr>
              <w:t>DESPROVIDO. SENTENÇA MANTIDA. 1. Trata-se de recurso de Apelação Cível interposto contra sentença prolatada pelo Juízo da 1ª Vara Cível da Comarca de Santa Quitéria/CE, que julgou parcialmente procedente o pedido autoral nos autos da Ação de Alimentos para maior de 18 anos c/c liminar inaudita altera pars, fixando o valor da obrigação alimentar em 28% (vinte e oito por cento) do salário mínimo. 2. Acerca da temática, é imperioso ressaltar que a jurisprudência é uníssona em decidir pela manutenção da pensão alimentícia fixada em favor de prole enquanto perdurar o estudo profissionalizante do alimentando, mesmo maior de idade (curso de ensino superior ou técnico), com o objetivo de assegurar-lhe as condições e circunstâncias necessárias para o adequado ingresso no mercado de trabalho. 3. No que tange especificamente ao pedido de redução do quantum da pensão, cumpre apontar que a obrigação alimentar deve ser adimplida e o critério para fixação do valor da prestação alimentícia consiste na</w:t>
            </w:r>
            <w:r>
              <w:rPr>
                <w:spacing w:val="-18"/>
                <w:sz w:val="20"/>
              </w:rPr>
              <w:t> </w:t>
            </w:r>
            <w:r>
              <w:rPr>
                <w:sz w:val="20"/>
              </w:rPr>
              <w:t>verificação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3"/>
              <w:rPr>
                <w:sz w:val="20"/>
              </w:rPr>
            </w:pPr>
            <w:r>
              <w:rPr>
                <w:sz w:val="20"/>
              </w:rPr>
              <w:t>da proporcionalidade entre a necessidade do alimentando e da possibilidade econômica do indivíduo obrigado. 4. Com efeito, não obstante as situações apresentadas pelo genitor/apelante, o mesmo não se desincumbiu do ônus de comprovar a impossibilidade cabal de prover a pensão de seu filho no quantum fixado pelo juízo primevo, pois, em que pese possuir renda variável, não se encontra desempregado, ao contrário, é profissional autônomo e apto ao trabalho. 5. Dito isso, ao considerar a responsabilidade solidária dos pais em relação ao sustento dos filhos (art. 229 da CF/88), e atento ao trinômio possibilidade / necessidade / proporcionalidade (art. 1.694, §1º, do CC), e também sem olvidar os aspectos fáticos atrelados à condição financeira do alimentante e os elementos de prova coligidos aos autos, mostra-se razoável e proporcional a manutenção da sentença recorrida, com o quantum da pensão alimentícia estabelecido em 28% (vinte e oito por cento) do salário mínimo vigente pelo juízo a quo, até que o autor/alimentando conclua o curso superior ou complete 24 (vinte e quatro) anos de idade. 6. Recurso conhecido e desprovido. Sentença mantida. (TJ/CE; Apelação Cível nº 0200724- 80.2023.8.06.0160; Relator(a): JOSE RICARDO VIDAL PATROCÍNIO; Comarca: Santa</w:t>
            </w:r>
          </w:p>
          <w:p>
            <w:pPr>
              <w:pStyle w:val="TableParagraph"/>
              <w:tabs>
                <w:tab w:pos="1750" w:val="left" w:leader="none"/>
              </w:tabs>
              <w:spacing w:line="208" w:lineRule="auto" w:before="0"/>
              <w:ind w:right="35"/>
              <w:rPr>
                <w:sz w:val="20"/>
              </w:rPr>
            </w:pPr>
            <w:r>
              <w:rPr>
                <w:sz w:val="20"/>
              </w:rPr>
              <w:t>Quitéria; Órgão julgador: 1ª Câmara Direito Privado; Data do julgamento: 27/03/2024; Data de publicação: 27/03/2024)&lt;/span&gt;&lt;/p&gt;&lt;p style="text-align: center;"&gt; &lt;strong style="font- weight:normal;"&gt;</w:t>
              <w:tab/>
              <w:t>&lt;br /&gt; &lt;/strong&gt;&lt;/p&gt;&lt;p style="line-height:1.7999999999999998;text- indent: 56.692913385826756pt;text-align: justify;margin-top:0pt;margin-bottom:6pt;" dir="ltr"&gt; &lt;span style="font-size:12pt;font-family:'Times New Roman',serif;color:#131314;background-color:#ffffff;font-weight:400;font-style:normal;font- variant:normal;text-decoration:none;vertical-align:baseline;white-space:pre;white- space:pre-wrap;"&gt;No caso em exame, restou demonstrado que a alimentanda encontra-se regularmente matriculada em curso universitário (ID 23210086), inexistindo elementos que indiquem sua independência financeira. De outro lado, o requerido não comprovou alteração substancial de sua capacidade econômica que justifique a redução ou exoneração pretendida.&lt;/span&gt;&lt;/p&gt;&lt;p style="line-height:1.7999999999999998;text-indent: 56.692913385826756pt;text-align: justify;margin-top:4pt;margin-bottom:0pt;" dir="ltr"&gt;</w:t>
            </w:r>
          </w:p>
          <w:p>
            <w:pPr>
              <w:pStyle w:val="TableParagraph"/>
              <w:spacing w:line="208" w:lineRule="auto" w:before="0"/>
              <w:ind w:right="43"/>
              <w:rPr>
                <w:sz w:val="20"/>
              </w:rPr>
            </w:pPr>
            <w:r>
              <w:rPr>
                <w:sz w:val="20"/>
              </w:rPr>
              <w:t>&lt;span style="font-size:12pt;font-family:'Times New Roman',serif;color:#131314;background-color:#ffffff;font-weight:400;font-style:normal;font- variant:normal;text-decoration:none;vertical-align:baseline;white-space:pre;white- space:pre-wrap;"&gt;Acrescente-se que a constituição de nova família, por si só, também não é causa de revisão da obrigação com a prole anterior, mas um fator a ser considerado na readequação do binômio em cada caso concreto.&lt;/span&gt;&lt;/p&gt;&lt;p style="line- height:1.7999999999999998;text-indent: 56.692913385826756pt;text-align: justify;margin- top:0pt;margin-bottom:6pt;" dir="ltr"&gt;&lt;span style="font-size:12pt;font-family:'Times New Roman',serif;color:#131314;background-color:#ffffff;font-weight:400;font-style:normal;font- variant:normal;text-decoration:none;vertical-align:baseline;white-space:pre;white- space:pre-wrap;"&gt;O valor atualmente fixado, correspondente a 18% dos rendimentos líquidos do alimentante, mostra-se razoável e proporcional, atendendo aos critérios da&lt;/span&gt; &lt;span style="font-size:12pt;font-family:'Times New Roman',serif;color:#131314;background-color:#ffffff;font-weight:700;font-style:normal;font- variant:normal;text-decoration:none;vertical-align:baseline;white-space:pre;white- space:pre-wrap;"&gt;necessidade&lt;/span&gt; &lt;span style="font-size:12pt;font-family:'Times New Roman',serif;color:#131314;background-color:#ffffff;font-weight:400;font-style:normal;font- variant:normal;text-decoration:none;vertical-align:baseline;white-space:pre;white- space:pre-wrap;"&gt;da alimentanda e da&lt;/span&gt; &lt;span style="font-size:12pt;font-</w:t>
            </w:r>
          </w:p>
          <w:p>
            <w:pPr>
              <w:pStyle w:val="TableParagraph"/>
              <w:spacing w:line="208" w:lineRule="auto" w:before="0"/>
              <w:ind w:right="21"/>
              <w:rPr>
                <w:sz w:val="20"/>
              </w:rPr>
            </w:pPr>
            <w:r>
              <w:rPr>
                <w:sz w:val="20"/>
              </w:rPr>
              <w:t>family:'Times New Roman',serif;color:#131314;background-color:#ffffff;font-weight:700;font- style:normal;font-variant:normal;text-decoration:none;vertical-align:baseline;white- space:pre;white-space:pre-wrap;"&gt;possibilidade&lt;/span&gt; &lt;span style="font-size:12pt;font- family:'Times New Roman',serif;color:#131314;background-color:#ffffff;font-weight:400;font- style:normal;font-variant:normal;text-decoration:none;vertical-align:baseline;white- space:pre;white-space:pre-wrap;"&gt;do genitor, previstos no artigo 1.694, §1º, do Código Civil. O montante é suficiente para contribuir com as despesas essenciais da filha, sem representar ônus excessivo ao devedor.&lt;/span&gt;&lt;/p&gt;&lt;p style="line- height:1.7999999999999998;text-indent: 56.692913385826756pt;text-align: justify;margin- top:0pt;margin-bottom:6pt;" dir="ltr"&gt;&lt;span style="font-size:12pt;font-family:'Times New Roman',serif;color:#131314;background-color:#ffffff;font-weight:400;font-style:normal;font- variant:normal;text-decoration:none;vertical-align:baseline;white-space:pre;white- space:pre-wrap;"&gt;Da análise dos autos, verifica-se que a Juíza de primeira instância, em&lt;/span&gt; &lt;span style="font-size:12pt;font-family:'Times New Roman',serif;color:#131314;background-color:#ffffff;font-weight:700;font-style:normal;font- variant:normal;text-decoration:none;vertical-align:baseline;white-space:pre;white- space:pre-wrap;"&gt;decisão bem fundamentada&lt;/span&gt;&lt;span style="font-size:12pt;font- family:'Times New Roman',serif;color:#131314;background-color:#ffffff;font-weight:400;font- style:normal;font-variant:normal;text-decoration:none;vertical-align:baseline;white- space:pre;white-space:pre-wrap;"&gt;, concluiu que 18% dos rendimentos líquidos é um valor&lt;/span&gt; &lt;span style="font-size:12pt;font-family:'Times New Roman',serif;color:#131314;background-color:#ffffff;font-weight:700;font-style:normal;font- variant:normal;text-decoration:none;vertical-align:baseline;white-space:pre;white-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space:pre-wrap;"&gt;equânime e razoável&lt;/span&gt; &lt;span style="font-size:12pt;font- family:'Times New Roman',serif;color:#131314;background-color:#ffffff;font-weight:400;font- style:normal;font-variant:normal;text-decoration:none;vertical-align:baseline;white- space:pre;white-space:pre-wrap;"&gt;aos interesses da alimentanda, sem impor encargo demasiado ao alimentante. A apelante não trouxe aos autos prova de despesas extraordinárias ou problemas de saúde para justificar um patamar superior ao comumente aplicado em situações análogas, tampouco o alimentante demonstrou sua impossibilidade de prestar os alimentos fixados.&lt;/span&gt;&lt;/p&gt;&lt;p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space:pre-wrap;"&gt;Dessa forma, a manutenção do percentual fixado (18% sobre o líquido ou 20% do SM) equilibra a necessidade de Ana Evelyn em custear seus estudos e a possibilidade de Erlando Sérgio, que terá novas responsabilidades com a prole vindoura.&lt;/span&gt;&lt;/p&gt;&lt;p style="line-height:1.7999999999999998;text-indent: 56.692913385826756pt;text-align: justify;margin-top:4pt;margin-bottom:0pt;" dir="ltr"&gt;</w:t>
            </w:r>
          </w:p>
          <w:p>
            <w:pPr>
              <w:pStyle w:val="TableParagraph"/>
              <w:spacing w:line="208" w:lineRule="auto" w:before="0"/>
              <w:ind w:right="129"/>
              <w:rPr>
                <w:sz w:val="20"/>
              </w:rPr>
            </w:pPr>
            <w:r>
              <w:rPr>
                <w:sz w:val="20"/>
              </w:rPr>
              <w:t>&lt;span style="font-size:12pt;font-family:'Times New Roman',serif;color:#131314;background-color:#ffffff;font-weight:400;font-style:normal;font- variant:normal;text-decoration:none;vertical-align:baseline;white-space:pre;white- space:pre-wrap;"&gt;A solução de 18% dos rendimentos líquidos para o caso de emprego formal e 20% do salário mínimo para a informalidade, mostra-se justa e proporcional no contexto atual, razão pela qual deve ser mantida.&lt;/span&gt;&lt;/p&gt;&lt;p style="line- height:1.7999999999999998;text-indent: 56.692913385826756pt;text-align: </w:t>
            </w:r>
            <w:r>
              <w:rPr>
                <w:spacing w:val="-2"/>
                <w:sz w:val="20"/>
              </w:rPr>
              <w:t>justify;margin- </w:t>
            </w:r>
            <w:r>
              <w:rPr>
                <w:sz w:val="20"/>
              </w:rPr>
              <w:t>top:4pt;margin-bottom:0pt;" dir="ltr"&gt; &lt;span style="font-size:12pt;font-family:'Times New Roman',serif;color:#131314;background-color:#ffffff;font-weight:700;font-style:normal;font- variant:normal;text-decoration:none;vertical-align:baseline;white-space:pre;white- space:pre-wrap;"&gt;Dispositivo&lt;/span&gt;&lt;/p&gt;&lt;p style="line-height:1.7999999999999998;text- 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space:pre-wrap;"&gt;Por todo exposto e fundamentado,&lt;/span&gt; &lt;span style="font- size:12pt;font-family:'Times New Roman',serif;color:#131314;background-color:#ffffff;font- weight:700;font-style:normal;font-variant:normal;text-decoration:none;vertical- align:baseline;white-space:pre;white-space:pre-wrap;"&gt;CONHEÇO&lt;/span&gt; &lt;span style="font-size:12pt;font-family:'Times New Roman',serif;color:#131314;background- color:#ffffff;font-weight:400;font-style:normal;font-variant:normal;text- decoration:none;vertical-align:baseline;white-space:pre;white-space:pre-wrap;"&gt;de ambos os recursos, e, no mérito,&lt;/span&gt; &lt;span style="font-size:12pt;font-family:'Times New Roman',serif;color:#131314;background-color:#ffffff;font-weight:700;font-style:normal;font- variant:normal;text-decoration:none;vertical-align:baseline;white-space:pre;white- space:pre-wrap;"&gt;NEGO-LHES PROVIMENTO&lt;/span&gt;&lt;span style="font-size:12pt;font-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 mantendo integralmente a sentença recorrida.&lt;/span&gt;&lt;/p&gt;&lt;p style="text-align: center;"&gt;&amp;#160;&lt;/p&gt;&lt;p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space:pre-wrap;"&gt;É como voto.&lt;/span&gt;&lt;/p&gt;&lt;p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space:pre-wrap;"&gt;&amp;#160;&lt;/span&gt;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0208268-14.2023.8.06.0001</w:t>
            </w:r>
          </w:p>
        </w:tc>
      </w:tr>
      <w:tr>
        <w:trPr>
          <w:trHeight w:val="260" w:hRule="atLeast"/>
        </w:trPr>
        <w:tc>
          <w:tcPr>
            <w:tcW w:w="2725" w:type="dxa"/>
            <w:shd w:val="clear" w:color="auto" w:fill="E5E5E5"/>
          </w:tcPr>
          <w:p>
            <w:pPr>
              <w:pStyle w:val="TableParagraph"/>
              <w:spacing w:before="0"/>
              <w:ind w:left="0"/>
              <w:rPr>
                <w:rFonts w:ascii="Times New Roman"/>
                <w:sz w:val="18"/>
              </w:rPr>
            </w:pPr>
          </w:p>
        </w:tc>
        <w:tc>
          <w:tcPr>
            <w:tcW w:w="8175" w:type="dxa"/>
          </w:tcPr>
          <w:p>
            <w:pPr>
              <w:pStyle w:val="TableParagraph"/>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3010487-62.2025.8.06.0000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Fornecimento de medicamentos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UNIMED DE FORTALEZA COOPERATIVA DE TRABALHO MEDICO LTDA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527"/>
              <w:rPr>
                <w:sz w:val="20"/>
              </w:rPr>
            </w:pPr>
            <w:r>
              <w:rPr>
                <w:sz w:val="20"/>
              </w:rPr>
              <w:t>KATHERINE NOVAIS RODRIGUES - (CE36790-A) 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VIRGINIA ARAUJO CERQUEIRA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FERNANDO PAULO MELO COLARES - (CE29334-A)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109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DAS CHAGAS LOPES FERREIRA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SAMUEL DE ABREU DIAS - (CE37646-A)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BANCO PAN S.A.</w:t>
            </w:r>
          </w:p>
          <w:p>
            <w:pPr>
              <w:pStyle w:val="TableParagraph"/>
              <w:spacing w:line="208" w:lineRule="auto" w:before="9"/>
              <w:ind w:right="3227"/>
              <w:rPr>
                <w:sz w:val="20"/>
              </w:rPr>
            </w:pPr>
            <w:r>
              <w:rPr>
                <w:sz w:val="20"/>
              </w:rPr>
              <w:t>VALLORIZA COMERCIO DE MOTOS E PECAS LTDA MUNDIAL COMERCIO DE MOTOS LTDA - ME</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VITOR CHAVES MARQUES DIAS - (CE30348-A)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&lt;strong&gt;PROCESSO&lt;/strong&gt;:&amp;#160;3012497-79.2025.8.06.0000 -&amp;#160;AGRAVO DE</w:t>
            </w:r>
          </w:p>
          <w:p>
            <w:pPr>
              <w:pStyle w:val="TableParagraph"/>
              <w:tabs>
                <w:tab w:pos="972" w:val="left" w:leader="none"/>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FRANCISCO DAS CHAGAS LOPES FERREIRA&lt;/span&gt; &lt;/span&gt;&lt;/p&gt;&lt;p&gt; &lt;span style="font-size: small;"&gt;</w:t>
              <w:tab/>
              <w:t>&lt;span style="font-family: &amp;quot;times new roman&amp;quot;, times;"&gt;AGRAVADO: BANCO PAN S.A., VALLORIZA COMERCIO DE MOTOS E PECAS LTDA, MUNDIAL</w:t>
            </w:r>
          </w:p>
          <w:p>
            <w:pPr>
              <w:pStyle w:val="TableParagraph"/>
              <w:tabs>
                <w:tab w:pos="1216" w:val="left" w:leader="none"/>
                <w:tab w:pos="7300" w:val="left" w:leader="none"/>
              </w:tabs>
              <w:spacing w:line="208" w:lineRule="auto" w:before="0"/>
              <w:ind w:right="329"/>
              <w:rPr>
                <w:sz w:val="20"/>
              </w:rPr>
            </w:pPr>
            <w:r>
              <w:rPr>
                <w:sz w:val="20"/>
              </w:rPr>
              <w:t>COMERCIO DE MOTOS LTDA - ME&lt;/span&gt; &lt;/span&gt;&lt;/p&gt;&lt;p&gt; &lt;span style="font-size: medium;"&gt;</w:t>
              <w:tab/>
              <w:t>&lt;span style="font-family: &amp;quot;times new roman&amp;quot;, times;"&gt;</w:t>
              <w:tab/>
              <w:t>&lt;br</w:t>
            </w:r>
            <w:r>
              <w:rPr>
                <w:spacing w:val="1"/>
                <w:sz w:val="20"/>
              </w:rPr>
              <w:t> </w:t>
            </w:r>
            <w:r>
              <w:rPr>
                <w:spacing w:val="-9"/>
                <w:sz w:val="20"/>
              </w:rPr>
              <w:t>/&gt;</w:t>
            </w:r>
          </w:p>
          <w:p>
            <w:pPr>
              <w:pStyle w:val="TableParagraph"/>
              <w:spacing w:line="208" w:lineRule="auto" w:before="0"/>
              <w:ind w:right="99"/>
              <w:rPr>
                <w:sz w:val="20"/>
              </w:rPr>
            </w:pPr>
            <w:r>
              <w:rPr>
                <w:sz w:val="20"/>
              </w:rPr>
              <w:t>&lt;/span&gt; &lt;/span&gt;&lt;/p&gt;&lt;p style="line-height: 1.7999999999999998; text-align: justify; margin-top: 12pt; margin-bottom: 12pt;" dir="ltr"&gt; &lt;span style="font-size: 12pt; font-family: 'Times New Roman',serif; color: #000000; background-color: transparent; font-weight: 700;</w:t>
            </w:r>
          </w:p>
          <w:p>
            <w:pPr>
              <w:pStyle w:val="TableParagraph"/>
              <w:spacing w:line="208" w:lineRule="auto" w:before="0"/>
              <w:ind w:right="2"/>
              <w:rPr>
                <w:sz w:val="20"/>
              </w:rPr>
            </w:pPr>
            <w:r>
              <w:rPr>
                <w:sz w:val="20"/>
              </w:rPr>
              <w:t>font-style: normal; font-variant: normal; text-decoration: none; vertical-align: baseline; white- space: pre-wrap;"&gt;AGRAVO DE INSTRUMENTO. TUTELA PROVISÓRIA. INDEFERIMENTO. AUSÊNCIA DOS REQUISITOS DO ART. 300 DO CPC. CONTRATO DE FINANCIAMENTO. ALEGAÇÃO DE DESCONHECIMENTO DA DÍVIDA. DOCUMENTAÇÃO APRESENTADA PELO BANCO AGRAVADO. PROBABILIDADE DO DIREITO NÃO EVIDENCIADA. DECISÃO MANTIDA. RECURSO CONHECIDO E NÃO</w:t>
            </w:r>
          </w:p>
          <w:p>
            <w:pPr>
              <w:pStyle w:val="TableParagraph"/>
              <w:spacing w:line="208" w:lineRule="auto" w:before="0"/>
              <w:ind w:right="20"/>
              <w:rPr>
                <w:sz w:val="20"/>
              </w:rPr>
            </w:pPr>
            <w:r>
              <w:rPr>
                <w:sz w:val="20"/>
              </w:rPr>
              <w:t>PROVIDO.&lt;/span&gt;&lt;/p&gt;&lt;p style="line-height: 1.7999999999999998; text-align: justify; margin-top: 12pt; margin-bottom: 12pt;" dir="ltr"&gt; &lt;span style="font-size: 12pt; font-family: 'Times New Roman',serif; color: #000000; background-color: transparent; font-weight: 700; font-style: normal; font-variant: normal; text-decoration: none; vertical-align: baseline; white- space: pre-wrap;"&gt;Caso em exame:&lt;/span&gt;&lt;/p&gt;&lt;p style="line-height: 1.7999999999999998; text-align: justify; margin-top: 12pt; margin-bottom: 12pt;" 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pre-wrap;"&gt;1. Trata-se de Agravo de Instrumento interposto contra decisão proferida pelo Juízo da 26ª Vara Cível da Comarca de Fortaleza/CE, nos autos do processo nº 3052576-97.2025.8.06.0001, que indeferiu o pedido de tutela provisória formulado na origem.&lt;/span&gt;&lt;/p&gt;&lt;p style="line- height: 1.7999999999999998; text-align: justify; margin-top: 12pt; margin-bottom: 12pt;" dir="ltr"&gt;&lt;span style="font-size: 12pt; font-family: 'Times New Roman',serif; color: #000000; background-color: transparent; font-weight: 700; font-style: normal; font-variant: normal; text-decoration: none; vertical-align: baseline; white-space: pre-wrap;"&gt;Questão em discussão&lt;/span&gt;&lt;span style="font-size: 12pt; font-family: 'Times New Roman',serif; color: #000000; background-color: transparent; font-weight: 400; font-style: normal; font-variant: normal; text-decoration: none; vertical-align: baseline; white-space: pre-wrap;"&gt;: &amp;#160; &amp;#160;&lt;/span&gt; &lt;span style="font-size: 12pt; font-family: 'Times New Roman',serif; color: #000000; background-color: transparent; font-weight: 400; font-style: normal; font-variant: normal; text-decoration: none; vertical-align: baseline; white-space: pre-wrap;"&gt; &lt;br</w:t>
            </w:r>
          </w:p>
          <w:p>
            <w:pPr>
              <w:pStyle w:val="TableParagraph"/>
              <w:spacing w:line="208" w:lineRule="auto" w:before="0"/>
              <w:ind w:right="190"/>
              <w:rPr>
                <w:sz w:val="20"/>
              </w:rPr>
            </w:pPr>
            <w:r>
              <w:rPr>
                <w:sz w:val="20"/>
              </w:rPr>
              <w:t>/&gt;&lt;/span&gt;&lt;span style="font-size: 12pt; font-family: 'Times New Roman',serif; color: #000000; background-color: transparent; font-weight: 400; font-style: normal;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normal; text-decoration: none; vertical-align: baseline; white-space: pre-wrap;"&gt;2. A controvérsia recursal cinge-se em verificar a correção da decisão que indeferiu a tutela provisória pleiteada, mediante a qual o agravante buscava a suspensão das cobranças relativas a contrato de financiamento de motocicleta e a exclusão de seu nome dos cadastros de inadimplentes.&amp;#160; &amp;#160; &amp;#160;&lt;/span&gt; &lt;span style="font-size: 12pt; font-family: 'Times New Roman',serif; color: #000000; background-color: transparent; font- weight: 400; font-style: normal; font-variant: normal; text-decoration: none; vertical-align: baseline; white-space: pre-wrap;"&gt; &lt;br /&gt;&lt;/span&gt;&lt;span style="font-size: 12pt; font-family: 'Times New Roman',serif; color: #000000; background-color: transparent; font-weight: 400; font-style: normal; font-variant: normal; text-decoration: none; vertical-align: baseline; white- space: pre-wrap;"&gt;3. O agravante sustenta desconhecer a contratação e nega a existência de relação jurídica com a instituição financeira agravada. Já as agravadas defendem a regularidade das avenças e a validade da contratação.&lt;/span&gt;&lt;/p&gt;&lt;p style="line-height: 1.7999999999999998; text-align: justify; margin-top: 12pt; margin-bottom: 12pt;" dir="ltr"&gt;</w:t>
            </w:r>
          </w:p>
          <w:p>
            <w:pPr>
              <w:pStyle w:val="TableParagraph"/>
              <w:tabs>
                <w:tab w:pos="7275" w:val="left" w:leader="none"/>
              </w:tabs>
              <w:spacing w:line="208" w:lineRule="auto" w:before="0"/>
              <w:ind w:right="208"/>
              <w:rPr>
                <w:sz w:val="20"/>
              </w:rPr>
            </w:pPr>
            <w:r>
              <w:rPr>
                <w:sz w:val="20"/>
              </w:rPr>
              <w:t>&lt;span style="font-size: 12pt; font-family: 'Times New Roman',serif; color: #000000; background-color: transparent; font-weight: 700; font-style: normal; font-variant: normal; text-decoration: none; vertical-align: baseline; white-space: pre-wrap;"&gt;Razões de decidir:&lt;/span&gt; &lt;span style="font-size: 12pt; font-family: 'Times New Roman',serif; color: #000000; background-color: transparent; font-weight: 700; font-style: normal; </w:t>
            </w:r>
            <w:r>
              <w:rPr>
                <w:spacing w:val="-2"/>
                <w:sz w:val="20"/>
              </w:rPr>
              <w:t>font-variant: </w:t>
            </w:r>
            <w:r>
              <w:rPr>
                <w:sz w:val="20"/>
              </w:rPr>
              <w:t>normal; text-decoration: none; vertical-align: baseline; white-space: pre-wrap;"&gt;</w:t>
              <w:tab/>
              <w:t>&lt;br /&gt;</w:t>
            </w:r>
          </w:p>
          <w:p>
            <w:pPr>
              <w:pStyle w:val="TableParagraph"/>
              <w:tabs>
                <w:tab w:pos="1294" w:val="left" w:leader="none"/>
                <w:tab w:pos="3862" w:val="left" w:leader="none"/>
                <w:tab w:pos="5119" w:val="left" w:leader="none"/>
              </w:tabs>
              <w:spacing w:line="208" w:lineRule="auto" w:before="0"/>
              <w:ind w:right="53"/>
              <w:rPr>
                <w:sz w:val="20"/>
              </w:rPr>
            </w:pPr>
            <w:r>
              <w:rPr>
                <w:sz w:val="20"/>
              </w:rPr>
              <w:t>&lt;/span&gt; &lt;span style="font-size: 12pt; font-family: 'Times New Roman',serif; color: #000000; background-color: transparent; font-weight: 400; font-style: normal; font-variant: normal; text-decoration: none; vertical-align: baseline; white-space: pre-wrap;"&gt;4. Em análise de cognição sumária, não há elementos suficientes que demonstrem a probabilidade do direito alegado, conforme exigido pelo art. 300 do CPC.&lt;/span&gt; &lt;span style="font-size: 12pt; font-family: 'Times New Roman',serif; color: #000000; background- color: transparent; font-weight: 400; font-style: normal; font-variant: normal; text-decoration: none; vertical-align: baseline; white-space: pre-wrap;"&gt;</w:t>
              <w:tab/>
              <w:t>&lt;br /&gt; &lt;/span&gt; &lt;span style="font-size: 12pt; font-family: 'Times New Roman',serif; color: #000000; background- color: transparent; font-weight: 400; font-style: normal; font-variant: normal; text-decoration: none; vertical-align: baseline; white-space: pre-wrap;"&gt;5. A instituição financeira apresentou cópia da proposta de financiamento e da Cédula de Crédito Bancário, contendo assinatura por geolocalização, registro fotográfico e “IP” do dispositivo utilizado. Há também nota fiscal do produto e resumo do pedido.&lt;/span&gt; &lt;span style="font-size: 12pt; font-family: 'Times New Roman',serif; color: #000000; background-color: transparent; font-weight: 400; font-style: normal; font-variant: normal; text-decoration: none; vertical- align: baseline; white-space: pre-wrap;"&gt;</w:t>
              <w:tab/>
              <w:t>&lt;br /&gt; &lt;/span&gt; &lt;span style="font-size: 12pt; font-family: 'Times New Roman',serif; color: #000000; background-color: transparent; font- weight: 400; font-style: normal; font-variant: normal; text-decoration: none; vertical-align: baseline; white-space: pre-wrap;"&gt;6. Considerando que o processo ainda se encontra em fase inicial, com a necessidade de citação de uma das partes e possibilidade de produção de provas adicionais, acaso requerido pelas partes, como a verificação dos registros eletrônicos e demais diligências pertinentes, conclui-se que o conjunto probatório atual é insuficiente para o deferimento da tutela provisória requerida.&lt;/span&gt;&lt;/p&gt;&lt;p style="line- height: 1.7999999999999998; text-align: justify; margin-top: 12pt; margin-bottom: 12pt;" dir="ltr"&gt; &lt;span style="font-size: 12pt; font-family: 'Times New Roman',serif; color: #000000; background-color: transparent; font-weight: 700; font-style: normal; font-variant: normal; text-decoration: none; vertical-align: baseline; white-space: pre- wrap;"&gt;Dispositivo:&lt;/span&gt; &lt;span style="font-size: 12pt; font-family: 'Times New Roman',serif; color: #000000; background-color: transparent; font-weight: 700; font-style: normal; font-variant: normal; text-decoration: none; vertical-align: baseline; white-space: pre-wrap;"&gt;</w:t>
              <w:tab/>
              <w:t>&lt;br /&gt; &lt;/span&gt; &lt;span style="font-size: 12pt; font-family: 'Times New Roman',serif; color: #000000; background-color: transparent; font-weight: 400; font-style: normal; font-variant: normal; text-decoration: none; vertical-align: baseline; white-space: pre-wrap;"&gt;7. Agravo de Instrumento conhecido e não provido. Decisão de primeiro grau mantida em todos os seus termos.&lt;/span&gt;&lt;/p&gt;&lt;p style="line-height: 2.4; text-align: center; margin-top: 12pt; margin-bottom: 12pt;" dir="ltr"&gt; &lt;span style="font-size: 13.999999999999998pt; font-family: 'Times New Roman',serif; color: #000000;</w:t>
            </w:r>
          </w:p>
          <w:p>
            <w:pPr>
              <w:pStyle w:val="TableParagraph"/>
              <w:spacing w:line="208" w:lineRule="auto" w:before="0"/>
              <w:ind w:right="89"/>
              <w:rPr>
                <w:sz w:val="20"/>
              </w:rPr>
            </w:pPr>
            <w:r>
              <w:rPr>
                <w:sz w:val="20"/>
              </w:rPr>
              <w:t>background-color: transparent; font-weight: 700; font-style: normal; font-variant: normal; text-decoration: none; vertical-align: baseline; white-space:</w:t>
            </w:r>
            <w:r>
              <w:rPr>
                <w:spacing w:val="-19"/>
                <w:sz w:val="20"/>
              </w:rPr>
              <w:t> </w:t>
            </w:r>
            <w:r>
              <w:rPr>
                <w:sz w:val="20"/>
              </w:rPr>
              <w:t>pre-wrap;"&gt;ACÓRDÃO&lt;/span&gt;</w:t>
            </w:r>
          </w:p>
          <w:p>
            <w:pPr>
              <w:pStyle w:val="TableParagraph"/>
              <w:spacing w:line="208" w:lineRule="auto" w:before="0"/>
              <w:ind w:right="42"/>
              <w:rPr>
                <w:sz w:val="20"/>
              </w:rPr>
            </w:pPr>
            <w:r>
              <w:rPr>
                <w:sz w:val="20"/>
              </w:rPr>
              <w:t>&lt;span style="background-color: transparent; font-family: &amp;quot;Times New Roman&amp;quot;, serif; font-size: 14pt; font-weight: 700; white-space-collapse: preserve;"&gt;&amp;#160;&lt;/span&gt;&lt;/p&gt;&lt;p style="line-height: 1.7999999999999998; text-indent: 56.692913385826756pt; text-align: justify; margin-top: 6pt;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 &lt;span style="font-size: 12pt; font-family: 'Times New Roman',serif; color: #000000; background-color: transparent; font-weight: 700;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font-style: normal; font-variant: normal; text-decoration: none; vertical-align: baseline; </w:t>
            </w:r>
            <w:r>
              <w:rPr>
                <w:spacing w:val="-3"/>
                <w:sz w:val="20"/>
              </w:rPr>
              <w:t>white- </w:t>
            </w:r>
            <w:r>
              <w:rPr>
                <w:sz w:val="20"/>
              </w:rPr>
              <w:t>space: pre-wrap;"&gt;CONHECER&lt;/span&gt; &lt;span style="font-size: 12pt; font-family: 'Times New Roman',serif; color: #000000; background-color: transparent; font-weight: 400; font- style: normal; font-variant: normal; text-decoration: none; vertical-align: baseline; white- space: pre-wrap;"&gt;e&lt;/span&gt; &lt;span style="font-size: 12pt; font-family: 'Times New Roman',serif; color: #000000; background-color: transparent; font-weight: 700; font-style: normal; font-variant: normal; text-decoration: none; vertical-align: baseline; white-space: pre-wrap;"&gt;NEGAR PROVIMENTO&lt;/span&gt;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pre-wrap;"&gt;ao presente agravo de instrumento, em conformidade com o voto do Relator.&lt;/span&gt;&lt;/p&gt;&lt;p style="line-height: 1.7999999999999998; text-indent: 56.692913385826756pt; text-align: justify; margin-top: 6pt; margin-bottom: 12pt;" dir="ltr"&gt;</w:t>
            </w:r>
          </w:p>
          <w:p>
            <w:pPr>
              <w:pStyle w:val="TableParagraph"/>
              <w:spacing w:line="208" w:lineRule="auto" w:before="0"/>
              <w:ind w:right="58"/>
              <w:rPr>
                <w:sz w:val="20"/>
              </w:rPr>
            </w:pPr>
            <w:r>
              <w:rPr>
                <w:sz w:val="20"/>
              </w:rPr>
              <w:t>&lt;span style="font-size: 12pt; font-family: 'Times New Roman',serif; color: #000000; background-color: transparent; font-weight: 400; font-style: normal; font-variant: normal; text-decoration: none; vertical-align: baseline; white-space: pre-wrap;"&gt;Fortaleza, data registrada no sistema.&lt;/span&gt;&lt;/p&gt;&lt;p style="line-height: 1.7999999999999998; text-align: center; margin-top: 12pt; margin-bottom: 12pt;" dir="ltr"&gt; &lt;span style="font-size: 12pt; </w:t>
            </w:r>
            <w:r>
              <w:rPr>
                <w:spacing w:val="-4"/>
                <w:sz w:val="20"/>
              </w:rPr>
              <w:t>font- </w:t>
            </w:r>
            <w:r>
              <w:rPr>
                <w:sz w:val="20"/>
              </w:rPr>
              <w:t>family: 'Times New Roman',serif; color: #000000; background-color: transparent; font- weight: 700; font-style: normal; font-variant: normal; text-decoration: none; vertical-align: baseline; white-space: pre-wrap;"&gt;&amp;#160;&lt;/span&gt;&lt;/p&gt;&lt;p style="line-height: 1.7999999999999998; text-align: center; margin-top: 12pt; margin-bottom: 12pt;" dir="ltr"&gt;</w:t>
            </w:r>
          </w:p>
          <w:p>
            <w:pPr>
              <w:pStyle w:val="TableParagraph"/>
              <w:spacing w:line="208" w:lineRule="auto" w:before="0"/>
              <w:ind w:right="58"/>
              <w:rPr>
                <w:sz w:val="20"/>
              </w:rPr>
            </w:pPr>
            <w:r>
              <w:rPr>
                <w:sz w:val="20"/>
              </w:rPr>
              <w:t>&lt;span style="font-size: 12pt; font-family: 'Times New Roman',serif; color: #000000; background-color: transparent; font-weight: 700; font-style: normal; font-variant: normal; text-decoration: none; vertical-align: baseline; white-space: pre-wrap;"&gt;MARIA REGINA OLIVEIRA CÂMARA&lt;/span&gt;&lt;/p&gt;&lt;p style="line-height: 1.7999999999999998; text-align: center; margin-top: 12pt; margin-bottom: 12pt;" dir="ltr"&gt; &lt;span style="font-size: 12pt; font- family: 'Times New Roman',serif; color: #000000; background-color: transparent; font- weight: 400; font-style: normal; font-variant: normal; text-decoration: none; vertical-align: baseline; white-space: pre-wrap;"&gt;Presidente do Órgão Julgador&lt;/span&gt;&lt;/p&gt;&lt;p</w:t>
            </w:r>
          </w:p>
          <w:p>
            <w:pPr>
              <w:pStyle w:val="TableParagraph"/>
              <w:spacing w:line="208" w:lineRule="auto" w:before="0"/>
              <w:ind w:right="20"/>
              <w:rPr>
                <w:sz w:val="20"/>
              </w:rPr>
            </w:pPr>
            <w:r>
              <w:rPr>
                <w:sz w:val="20"/>
              </w:rPr>
              <w:t>style="line-height: 1.7999999999999998; text-align: center; margin-top: 12pt; margin- bottom: 12pt;" dir="ltr"&gt; &lt;span style="font-size: 12pt; font-family: 'Times New Roman',serif; color: #000000; background-color: transparent; font-weight: 700; font-style: normal; font- 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pre-wrap;"&gt;FRANCISCO LUCÍDIO DE QUEIROZ JÚNIOR&lt;/span&gt;&lt;/p&gt;&lt;p style="line-height: 1.7999999999999998; text-align: center; margin-top: 12pt; margin- bottom: 12pt;" dir="ltr"&gt; &lt;span style="font-size: 12pt; font-family: 'Times New Roman',serif; color: #000000; background-color: transparent; font-weight: 400; font-style: normal; font- variant: normal; text-decoration: none; vertical-align: baseline; white-space: pre- wrap;"&gt;&amp;#160;Desembargador Relator&lt;/span&gt;&lt;/p&gt;&lt;p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1.7999999999999998; text-align: justify;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pre-wrap;"&gt;&amp;#160;&lt;/span&gt;&lt;/p&gt;&lt;p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700; font-style: normal; font-variant: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white- space: pre-wrap;"&gt;RELATÓRIO&lt;/span&gt;&lt;/p&gt;&lt;p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position: normal; font-variant-emoji: normal; vertical-align: baseline; white-space-collapse: preserve;"&gt;Trata-se de&lt;/span&gt;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preserve;"&gt;Agravo de Instrumento&lt;/span&gt;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preserve;"&gt;interposto por&lt;/span&gt; &lt;span style="font-size: 12pt;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preserve;"&gt;FRANCISCO DAS CHAGAS LOPES FERREIRA&lt;/span&gt;&lt;span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 em face de decisão do Juízo da 26ª Vara Cível da Comarca de Fortaleza/CE, lançada no processo de nº 3052576- 97.2025.8.06.0001, a qual indeferiu a tutela provisória requerida pelo autor, ora agravante:&lt;/span&gt;&lt;/p&gt;&lt;p style="text-align: justify; font-family: &amp;quot;Times New Roman&amp;quot;; font-size: medium; line-height: 1.8; margin-left: 113pt; margin-top: 12pt; margin-bottom: 12pt;" dir="ltr"&gt;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 No caso concreto, não se verifica dos autos, neste momento de cognição sumária, elementos de prova que autorizem concluir pela constituição do requisito da probabilidade do direito da parte autora, representado por prova inequívoca da verossimilhança da alegação, contexto que se tornará mais elucidativo após a formação </w:t>
            </w:r>
            <w:r>
              <w:rPr>
                <w:spacing w:val="-9"/>
                <w:sz w:val="20"/>
              </w:rPr>
              <w:t>do </w:t>
            </w:r>
            <w:r>
              <w:rPr>
                <w:sz w:val="20"/>
              </w:rPr>
              <w:t>contraditório.&amp;#160;&lt;/span&gt;&lt;/p&gt;&lt;p style="text-align: justify; font-family: &amp;quot;Times New Roman&amp;quot;; font-size: medium; line-height: 1.8; margin-left: 113pt; margin-top: 12pt; margin-bottom: 12pt;" dir="ltr"&gt;&lt;span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preserve;"&gt;&amp;#160;Sendo assim,&lt;/span&gt; &lt;span style="font-size: 12pt; font-family: &amp;quot;Times New Roman&amp;quot;, serif; background-color: transparent; font-weight: 700; font-style: italic; font-variant-numeric: normal; font-variant-east-asian: normal; font-variant- alternates: normal; font-variant-position: normal; font-variant-emoji: normal; vertical-align: baseline; white-space-collapse: preserve;"&gt;INDEFIRO&lt;/span&gt; &lt;span style="font-size: 12pt; font-family: &amp;quot;Times New Roman&amp;quot;, serif; background-color: transparent; font-style: italic; font-variant-numeric: normal; font-variant-east-asian: normal; font-variant- alternates: normal; font-variant-position: normal; font-variant-emoji: normal; vertical-align: baseline; white-space-collapse: preserve;"&gt;a tutela provisória requerida, sem prejuízo de posterior alteração do entendimento ora esposado, uma vez presentes nos autos elementos de prova que assim autorizem.&amp;#160;&lt;/span&gt;&lt;/p&gt;&lt;p style="text-align: justify; font-family: &amp;quot;Times New Roman&amp;quot;; font-size: medium; line-height: 1.8; margin- left: 113pt; margin-top: 12pt; margin-bottom: 12pt;" dir="ltr"&gt; &lt;span style="font-size: 12pt; font-family: &amp;quot;Times New Roman&amp;quot;, serif; background-color: transparent; font- style: italic; font-variant-numeric: normal; font-variant-east-asian: normal; font-variant- alternates: normal; font-variant-position: normal; font-variant-emoji: normal; vertical-align: baseline; white-space-collapse: preserve;"&gt;&amp;#160;&amp;#160;(...)&lt;/span&gt;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preserve;"&gt;&amp;#160;&lt;/span&gt;&lt;/p&gt;&lt;p style="text-align: justify; font-family: &amp;quot;Times New Roman&amp;quot;; font-size: medium; line-height: 1.8; text- indent: 56.6929pt; margin-top: 12pt;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preserve;"&gt;Em suas&lt;/span&gt; &lt;span style="font-size: 12pt;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preserve;"&gt;razões recursais&lt;/span&gt; &lt;span style="font-size: 12pt; font-family: &amp;quot;Times New Roman&amp;quot;, serif; background-color: transparent; font- variant-numeric: normal; font-variant-east-asian: normal; font-variant-alternates: normal; font-variant-position: normal; font-variant-emoji: normal; vertical-align: baseline; 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6"/>
              <w:rPr>
                <w:sz w:val="20"/>
              </w:rPr>
            </w:pPr>
            <w:r>
              <w:rPr>
                <w:sz w:val="20"/>
              </w:rPr>
              <w:t>space-collapse: preserve;"&gt;(id. 25803946), o agravante requer a reforma da decisão para que seja deferida a tutela provisória, pleiteando a concessão de decisão singular em grau de recurso para suspensão das cobranças.&lt;/span&gt;&lt;/p&gt;&lt;p style="text-align: justify; font- family: &amp;quot;Times New Roman&amp;quot;; font-size: medium; line-height: 1.8; text-indent: 56.6929pt; margin-top: 12pt; margin-bottom: 12pt;"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preserve;"&gt;Em conseguinte, o pedido de&lt;/span&gt; &lt;span style="font-size: 12pt; font-family: &amp;quot;Times New Roman&amp;quot;, serif; background-color: transparent; font-weight: 700; font-variant-numeric: normal; font-variant-east-asian: normal; font-variant- alternates: normal; font-variant-position: normal; font-variant-emoji: normal; vertical-align: baseline; white-space-collapse: preserve;"&gt;efeito suspensivo&lt;/span&gt;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preserve;"&gt;fora&lt;/span&gt; &lt;span style="font-size: 12pt;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preserve;"&gt;indeferido&lt;/span&gt;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preserve;"&gt;nos termos da decisão interlocutória de id. 26975187.&lt;/span&gt;&lt;/p&gt;&lt;p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preserve;"&gt;Intimadas para se manifestarem, as agravadas apresentaram&lt;/span&gt; &lt;span style="font-size: 12pt;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preserve;"&gt;contrarrazões&lt;/span&gt;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preserve;"&gt;em id. 28666144 e id. 28691543.&lt;/span&gt;&lt;/p&gt;&lt;p style="text-align: justify; font-family: &amp;quot;Times New Roman&amp;quot;; font-size: medium; line-height: 1.8;</w:t>
            </w:r>
          </w:p>
          <w:p>
            <w:pPr>
              <w:pStyle w:val="TableParagraph"/>
              <w:spacing w:line="208" w:lineRule="auto" w:before="0"/>
              <w:ind w:right="42"/>
              <w:rPr>
                <w:sz w:val="20"/>
              </w:rPr>
            </w:pPr>
            <w:r>
              <w:rPr>
                <w:sz w:val="20"/>
              </w:rPr>
              <w:t>text-indent: 56.6929pt; margin-top: 12pt; margin-bottom: 12pt;" dir="ltr"&gt;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preserve;"&gt;Os autos vieram conclusos.&lt;/span&gt;&lt;/p&gt;&lt;p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preserve;"&gt;Deixei de encaminhar o feito à&lt;/span&gt; &lt;span style="font-size: 12pt; font-family: &amp;quot;Times New Roman&amp;quot;, serif; background-color: transparent; font-weight: 700; font-variant-numeric: normal; font- variant-east-asian: normal; font-variant-alternates: normal; font-variant-position: normal; font-variant-emoji: normal; vertical-align: baseline; white-space-collapse: preserve;"&gt;Douta Procuradoria Geral de Justiça,&lt;/span&gt;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preserve;"&gt;por se tratar de demanda com interesse meramente privado e disponível.&lt;/span&gt;&lt;/p&gt;&lt;p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preserve;"&gt;É o relatório.&lt;/span&gt;&lt;/p&gt;&lt;p style="line-height: 1.7999999999999998; text-indent: 2pt; text- align: center; margin-top: 12pt; margin-bottom: 7pt;" dir="ltr"&gt; &lt;span style="font-size: 12pt; font-family: 'Times New Roman',serif; color: #000000; background-color: transparent;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4"/>
              <w:rPr>
                <w:sz w:val="20"/>
              </w:rPr>
            </w:pPr>
            <w:r>
              <w:rPr>
                <w:sz w:val="20"/>
              </w:rPr>
              <w:t>weight: 700; font-style: normal; font-variant: normal; text-decoration: none; vertical-align: baseline; white-space: pre-wrap;"&gt;VOTO&lt;/span&gt;&lt;/p&gt;&lt;p style="line-height: 1.7999999999999998; text-indent: 54pt; text-align: justify; margin-top: 12pt; margin-bottom: 12pt;" dir="ltr"&gt; &lt;span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20"/>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text- decoration: underline;"&gt;1. Admissibilidade recursal.&lt;/span&gt;&lt;/p&gt;&lt;p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pre-wrap;"&gt;Exercendo o juízo de admissibilidade recursal, constato a presença dos requisitos de admissibilidade extrínsecos e intrínsecos, pelo que conheço do recurso e passo à análise do mérito.&lt;/span&gt;&lt;/p&gt;&lt;p style="line-height: 1.7999999999999998; text- indent: 56.692913385826756pt; text-align: justify; margin-top: 1pt; margin-bottom: 12pt;" dir="ltr"&gt; &lt;span style="font-size: 12pt; font-family: &amp;quot;Times New Roman&amp;quot;, serif; color: #000000; background-color: transparent; font-weight: 700; font-style: normal; font- variant: normal; text-decoration-skip-ink: none; vertical-align: baseline; white-space: pre- wrap; text-decoration: underline;"&gt;2. Mérito&lt;/span&gt;&lt;/p&gt;&lt;p style="line-height: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pre-wrap;"&gt;A questão em discussão consiste em verificar a correção da decisão que indeferiu a tutela provisória.&lt;/span&gt;&lt;/p&gt;&lt;p style="line-height: 1.7999999999999998; text- 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pre-wrap;"&gt;Em seu pleito, o agravante afirma desconhecer a origem do contrato de financiamento para compra de uma motocicleta. Aponta que não possui relação jurídica com a instituição financeira agravada, salvo uma antiga máquina de cartão.&lt;/span&gt;&lt;/p&gt;&lt;p style="line- 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pre-wrap;"&gt;Com base nessas alegações, requer a concessão de tutela provisória para suspensão das cobranças e retirada do seu nome dos cadastros de inadimplentes.&lt;/span&gt;&lt;/p&gt;&lt;p style="line-height: 1.7999999999999998; text-indent: 56.692913385826756pt; text-align: justify; margin-top: 1pt; margin-bottom: 12pt;"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pre-wrap;"&gt;Em paralelo, a instituição financeira e uma das fornecedoras da motocicleta apontam a regularidade das avenças.&lt;/span&gt;&lt;/p&gt;&lt;p style="line-height: 1.7999999999999998; text-indent: 56.692913385826756pt; text-align: justify; margin-top: 1pt; margin-bottom: 12pt;"</w:t>
            </w:r>
            <w:r>
              <w:rPr>
                <w:spacing w:val="-17"/>
                <w:sz w:val="20"/>
              </w:rPr>
              <w:t> </w:t>
            </w:r>
            <w:r>
              <w:rPr>
                <w:sz w:val="20"/>
              </w:rPr>
              <w:t>dir="ltr"&gt;</w:t>
            </w:r>
          </w:p>
          <w:p>
            <w:pPr>
              <w:pStyle w:val="TableParagraph"/>
              <w:spacing w:line="208" w:lineRule="auto" w:before="0"/>
              <w:ind w:right="148"/>
              <w:rPr>
                <w:sz w:val="20"/>
              </w:rPr>
            </w:pPr>
            <w:r>
              <w:rPr>
                <w:sz w:val="20"/>
              </w:rPr>
              <w:t>&lt;span style="font-size: 12pt; font-family: 'Times New Roman',serif; color: #000000; background-color: transparent; font-weight: 400; font-style: normal; font-variant: normal; text-decoration: none; vertical-align: baseline; white-space: pre-wrap;"&gt;Compulsando o feito de origem, observa-se que a demanda está em fase instrutória, com pedido de chamamento do feito à ordem pela promovente, ora agravante, para que a terceira promovida, também fornecedora do veículo, seja citada.&lt;/span&gt;&lt;/p&gt;&lt;p style="line-height: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pre-wrap;"&gt;Diante desse cenário, ainda carente de manifestação de uma das partes, não verifico os elementos autorizadores da tutela provisória.&lt;/span&gt;&lt;/p&gt;&lt;p style="line-height: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pre-wrap;"&gt;O Banco agravado, colacionou em contestação, frente ao juízo de 1º Grau, a proposta de contrato de financiamento e a Cédula de Crédito Bancário (id. 168530476 do processo de origem) com assinatura através de geolocalização. Há também registro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fotográfico e registro do “IP” do aparelho que firmou o pacto.&lt;/span&gt;&lt;/p&gt;&lt;p style="line- 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 space: pre-wrap;"&gt;Em paralelo, verifica-se a existência de nota fiscal do produto (id.</w:t>
            </w:r>
          </w:p>
          <w:p>
            <w:pPr>
              <w:pStyle w:val="TableParagraph"/>
              <w:spacing w:line="208" w:lineRule="auto" w:before="0"/>
              <w:ind w:right="92"/>
              <w:rPr>
                <w:sz w:val="20"/>
              </w:rPr>
            </w:pPr>
            <w:r>
              <w:rPr>
                <w:sz w:val="20"/>
              </w:rPr>
              <w:t>168884909 do processo de origem) e resumo do pedido.&lt;/span&gt;&lt;/p&gt;&lt;p style="line-height: 1.7999999999999998; text-indent: 56.692913385826756pt; text-align: justify; margin-top: 1pt; margin-bottom: 12pt;" dir="ltr"&gt; &lt;span style="font-size: 12pt; font-family: 'Times New Roman',serif; color: #000000; background-color: transparent; font-weight: 700; font-style: normal; font-variant: normal; text-decoration: none; vertical-align: baseline; white-space: pre-wrap;"&gt;Diante dos fatos e documentos até então presentes aos autos não se vislumbra suficientemente demonstrada a probabilidade do direito para deferimento da tutela provisória.&lt;/span&gt;&lt;/p&gt;&lt;p style="line-height: 1.7999999999999998; text-indent: 56.692913385826756pt; text-align: justify; margin-top: 1pt; margin-bottom: 12pt;" dir="ltr"&gt;</w:t>
            </w:r>
          </w:p>
          <w:p>
            <w:pPr>
              <w:pStyle w:val="TableParagraph"/>
              <w:spacing w:line="208" w:lineRule="auto" w:before="0"/>
              <w:ind w:right="132"/>
              <w:rPr>
                <w:sz w:val="20"/>
              </w:rPr>
            </w:pPr>
            <w:r>
              <w:rPr>
                <w:sz w:val="20"/>
              </w:rPr>
              <w:t>&lt;span style="font-size: 12pt; font-family: 'Times New Roman',serif; color: #000000; background-color: transparent; font-weight: 700; font-style: normal; font-variant: normal; text-decoration: none; vertical-align: baseline; white-space: pre-wrap;"&gt;Nota-se que o </w:t>
            </w:r>
            <w:r>
              <w:rPr>
                <w:spacing w:val="-4"/>
                <w:sz w:val="20"/>
              </w:rPr>
              <w:t>feito </w:t>
            </w:r>
            <w:r>
              <w:rPr>
                <w:sz w:val="20"/>
              </w:rPr>
              <w:t>carece de uma fase postulatória e instrução mais completa, com citação e intimação da terceira promovida para contestar e quiçá apresentar documentos, assim como existem pontos controvertidos a serem solucionados, como a efetiva entrega da motocicleta ao autor.&lt;/span&gt;&lt;/p&gt;&lt;p style="line-height: 1.7999999999999998; text-indent: 56.692913385826756pt; text-align: justify; margin-top: 1pt; margin-bottom: 12pt;" dir="ltr"&gt;</w:t>
            </w:r>
          </w:p>
          <w:p>
            <w:pPr>
              <w:pStyle w:val="TableParagraph"/>
              <w:spacing w:line="208" w:lineRule="auto" w:before="0"/>
              <w:ind w:right="32"/>
              <w:rPr>
                <w:sz w:val="20"/>
              </w:rPr>
            </w:pPr>
            <w:r>
              <w:rPr>
                <w:sz w:val="20"/>
              </w:rPr>
              <w:t>&lt;span style="font-size: 12pt; font-family: 'Times New Roman',serif; color: #000000; background-color: transparent; font-weight: 400; font-style: normal; font-variant: normal; text-decoration: none; vertical-align: baseline; white-space: pre-wrap;"&gt;Veja-se que, havendo dúvida acerca da manifestação de vontade presente no contrato de financiamento, é possível que as partes requeiram providências para aferição do “IP” do equipamento através do qual foi realizada a geolocalização, a verificação de eventual emplacamento superveniente frente aos órgãos competentes, dentre outras diligências.&lt;/span&gt;&lt;/p&gt;&lt;p style="line-height: 1.7999999999999998; text-indent: 56.692913385826756pt; text-align: justify; margin-top: 1pt; margin-bottom: 12pt;" dir="ltr"&gt;&lt;span style="font-size: 12pt; font-family: 'Times New Roman',serif; color: #000000; background-color: transparent; font-weight: 400; font-style: normal; font-variant: normal; text-decoration: none; vertical-align: baseline; white-space: pre-wrap;"&gt;Por fim, após saneamento do feito e finda a instrução, poderá o magistrado sopesar os fatos e alegações das partes com base no acervo probatório e, se for o caso, com aplicação das regras atinentes ao&lt;/span&gt; &lt;span style="font-size: 12pt; font-family: 'Times New Roman',serif; color: #000000; background-color: transparent; font-weight: 700; font-style: normal; font-variant: normal; text-decoration: none; vertical-align: baseline; white-space: pre-wrap;"&gt;ônus da prova&lt;/span&gt;&lt;span style="font-size: 12pt; font-family: 'Times New Roman',serif; color: #000000; background-color: transparent; font-weight: 400; font-style: normal; font-variant: normal; text-decoration: none; vertical-align: baseline; white-space: pre-wrap;"&gt;.&lt;/span&gt;&lt;/p&gt;&lt;p style="line-height: 1.8; text-indent: 56.6929pt; text-align: center; margin-top: 12pt; margin-bottom: 5pt;" dir="ltr"&gt; &lt;span style="font-size: 12pt; font- family: &amp;quot;Times New Roman&amp;quot;, serif; color: #000000; background-color: transparent; font-weight: 700; font-style: normal; font-variant: normal; text-decoration-skip- ink: none; vertical-align: baseline; white-space: pre-wrap; text-decoration: underline;"&gt;Dispositivo&lt;/span&gt;&lt;/p&gt;&lt;p style="line-height: 1.7999999999999998; text- 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pre-wrap;"&gt;Diante do que acima foi exposto e fundamentado,&lt;/span&gt; &lt;span style="font-size: 12pt; font-family: </w:t>
            </w:r>
            <w:r>
              <w:rPr>
                <w:spacing w:val="-3"/>
                <w:sz w:val="20"/>
              </w:rPr>
              <w:t>'Times </w:t>
            </w:r>
            <w:r>
              <w:rPr>
                <w:sz w:val="20"/>
              </w:rPr>
              <w:t>New Roman',serif; color: #000000; background-color: transparent; font-weight: 700; font- style: normal; font-variant: normal; text-decoration: none; vertical-align: baseline; white- space: pre-wrap;"&gt;CONHEÇO DO AGRAVO DE INSTRUMENTO PARA NEGAR-LHE</w:t>
            </w:r>
          </w:p>
          <w:p>
            <w:pPr>
              <w:pStyle w:val="TableParagraph"/>
              <w:spacing w:line="208" w:lineRule="auto" w:before="0"/>
              <w:ind w:right="62"/>
              <w:rPr>
                <w:sz w:val="20"/>
              </w:rPr>
            </w:pPr>
            <w:r>
              <w:rPr>
                <w:sz w:val="20"/>
              </w:rPr>
              <w:t>PROVIMENTO,&lt;/span&gt; &lt;span style="font-size: 12pt; font-family: 'Times New Roman',serif; color: #000000; background-color: transparent; font-weight: 400; font-style: normal; font- variant: normal; text-decoration: none; vertical-align: baseline; white-space: pre- wrap;"&gt;mantendo a decisão recorrida.&lt;/span&gt;&lt;/p&gt;&lt;p style="line-height: 1.7999999999999998; text-indent: 56.692913385826756pt; text-align: justify; margin-top: 12pt; margin-bottom: 6pt;" dir="ltr"&gt; &lt;span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 indent: 56.692913385826756pt; text-align: justify; margin-top: 12pt; margin-bottom: 6pt;" dir="ltr"&gt; &lt;span style="font-size: 12pt; font-family: 'Times New Roman',serif; color: #000000; background-color: transparent; font-weight: 400; font-style: normal; font-variant: normal; text-decoration: none; vertical-align: baseline; white-space: pre-wrap;"&gt;Fortaleza,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3012497-79.2025.8.06.0000</w:t>
            </w:r>
          </w:p>
        </w:tc>
      </w:tr>
      <w:tr>
        <w:trPr>
          <w:trHeight w:val="46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3"/>
              <w:rPr>
                <w:sz w:val="20"/>
              </w:rPr>
            </w:pPr>
            <w:r>
              <w:rPr>
                <w:sz w:val="20"/>
              </w:rPr>
              <w:t>data registrada no sistema.&lt;/span&gt;&lt;/p&gt;&lt;p style="line-height: 1.7999999999999998; text- indent: 2pt; text-align: justify; margin-top: 12pt; margin-bottom: 6pt;" dir="ltr"&gt; &lt;span style="font-size: 12pt; font-family: 'Times New Roman',serif; color: #000000; background- color: transparent; font-weight: 400; font-style: normal; font-variant: normal; text-decoration: none; vertical-align: baseline; white-space: pre-wrap;"&gt;&amp;#160;&lt;/span&gt;&lt;/p&gt;&lt;p style="line- height: 1.7999999999999998; text-align: center; margin-top: 12pt; margin-bottom: 6pt;" dir="ltr"&gt; &lt;span style="font-size: 12pt; font-family: 'Times New Roman',serif; color: #000000; background-color: transparent; font-weight: 700; font-style: normal; font-variant: normal; text-decoration: none; vertical-align: baseline; white-space: pre- wrap;"&gt;FRANCISCO LUCÍDIO DE QUEIROZ JUNIOR&lt;/span&gt;&lt;/p&gt;&lt;p style="line-height: 1.7999999999999998; text-align: center; margin-top: 12pt; margin-bottom: 6pt;"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pre-wrap;"&gt;Desembargador Relator&lt;/span&gt;&lt;/p&gt;&lt;p style="line-height: 100%; orphans: 0; widows: 0; margin-bottom: 0.21cm;" align="justify"&gt; &lt;span id="docs-internal-guid-0ab931af-7fff-5008-88d1- b1a82482d821"&gt;&amp;#160;&lt;/span&gt;&lt;/p&gt;&lt;p style="line-height: 1.7999999999999998; text- indent: 2pt; text-align: justify; margin-top: 12pt; margin-bottom: 12pt;" dir="ltr"&gt; &lt;span style="font-size: 12pt; font-family: 'Times New Roman',serif; color: #000000; background- color: transparent; font-weight: 400; font-style: normal; font-variant: normal; text-decoration: none; vertical-align: baseline; white-space: pre-wrap;"&gt;&amp;#160;&lt;/span&gt;&lt;/p&gt;&lt;br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Revisão de Juros Remuneratórios, Capitalização/Anatocismo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GEORGE LUIS GONZAGA CAVALCANTE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JOSIAS WELLINGTON SILVEIRA - (SP293832-A)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CREFISA SA CREDITO FINANCIAMENTO E INVESTIMENTOS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LAZARO JOSE GOMES JUNIOR - (MS8125-A)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&lt;strong&gt;PROCESSO&lt;/strong&gt;:&amp;#160;3001597-58.2025.8.06.0090 -&amp;#160;APELAÇÃO</w:t>
            </w:r>
          </w:p>
          <w:p>
            <w:pPr>
              <w:pStyle w:val="TableParagraph"/>
              <w:tabs>
                <w:tab w:pos="6557" w:val="left" w:leader="none"/>
              </w:tabs>
              <w:spacing w:line="208" w:lineRule="auto" w:before="8"/>
              <w:ind w:right="434"/>
              <w:rPr>
                <w:sz w:val="20"/>
              </w:rPr>
            </w:pPr>
            <w:r>
              <w:rPr>
                <w:sz w:val="20"/>
              </w:rPr>
              <w:t>CÍVEL (198)&lt;/span&gt;  &lt;/span&gt;&lt;/p&gt;&lt;p&gt;  &lt;span style="font-size: small;"&gt;</w:t>
              <w:tab/>
              <w:t>&lt;span style="font-family: &amp;quot;times new roman&amp;quot;, times;"&gt;APELANTE: GEORGE </w:t>
            </w:r>
            <w:r>
              <w:rPr>
                <w:spacing w:val="-5"/>
                <w:sz w:val="20"/>
              </w:rPr>
              <w:t>LUIS </w:t>
            </w:r>
            <w:r>
              <w:rPr>
                <w:sz w:val="20"/>
              </w:rPr>
              <w:t>GONZAGA CAVALCANTE&lt;/span&gt; &lt;/span&gt;&lt;/p&gt;&lt;p&gt; &lt;span style="font-size: small;"&gt;</w:t>
            </w:r>
          </w:p>
          <w:p>
            <w:pPr>
              <w:pStyle w:val="TableParagraph"/>
              <w:spacing w:line="208" w:lineRule="auto" w:before="0"/>
              <w:ind w:right="99"/>
              <w:rPr>
                <w:sz w:val="20"/>
              </w:rPr>
            </w:pPr>
            <w:r>
              <w:rPr>
                <w:sz w:val="20"/>
              </w:rPr>
              <w:t>&lt;span style="font-family: &amp;quot;times new roman&amp;quot;, times;"&gt;APELADO: CREFISA SA CREDITO FINANCIAMENTO E INVESTIMENTOS&lt;/span&gt; &lt;/span&gt;&lt;/p&gt;&lt;p&gt; &lt;span</w:t>
            </w:r>
          </w:p>
          <w:p>
            <w:pPr>
              <w:pStyle w:val="TableParagraph"/>
              <w:tabs>
                <w:tab w:pos="1094" w:val="left" w:leader="none"/>
                <w:tab w:pos="1839" w:val="left" w:leader="none"/>
                <w:tab w:pos="2682" w:val="left" w:leader="none"/>
                <w:tab w:pos="3329" w:val="left" w:leader="none"/>
              </w:tabs>
              <w:spacing w:line="208" w:lineRule="auto" w:before="0"/>
              <w:ind w:right="86"/>
              <w:rPr>
                <w:sz w:val="20"/>
              </w:rPr>
            </w:pPr>
            <w:r>
              <w:rPr>
                <w:sz w:val="20"/>
              </w:rPr>
              <w:t>style="font-size: medium;"&gt;</w:t>
              <w:tab/>
              <w:t>&lt;span style="font-family: &amp;quot;times new roman&amp;quot;, times;"&gt;</w:t>
              <w:tab/>
              <w:t>&lt;br /&gt;</w:t>
              <w:tab/>
              <w:t>&lt;/span&gt; &lt;/span&gt;&lt;/p&gt;&lt;p style="line-height: 1.8; text-align: justify; margin-top: 6pt; margin-bottom: 6pt; padding-left: 150px;" dir="ltr"&gt; &lt;span style="font-size: 12pt; font-family: &amp;quot;Times New Roman&amp;quot;, serif; color: #000000; background-color: transparent; font-style: normal; font-variant: normal; text-decoration: none; vertical-align: baseline; white-space: pre-wrap;"&gt;</w:t>
              <w:tab/>
              <w:t>&lt;strong&gt;Direito Processual Civil. Apelação Cível.</w:t>
            </w:r>
          </w:p>
          <w:p>
            <w:pPr>
              <w:pStyle w:val="TableParagraph"/>
              <w:spacing w:line="208" w:lineRule="auto" w:before="0"/>
              <w:rPr>
                <w:sz w:val="20"/>
              </w:rPr>
            </w:pPr>
            <w:r>
              <w:rPr>
                <w:sz w:val="20"/>
              </w:rPr>
              <w:t>Ação Revisional de Contrato com Pedido Incidental de Exibição de Documentos. Indeferimento da inicial por descumprimento de ordem de emenda. Sentença extintiva confirmada. Recurso conhecido e não provido.&lt;/strong&gt; &lt;/span&gt;&lt;/p&gt;&lt;p style="line-height: 1.8; text-align: justify; margin-top: 6pt; margin-bottom: 6pt; padding-left: 150px;" dir="ltr"&gt;</w:t>
            </w:r>
          </w:p>
          <w:p>
            <w:pPr>
              <w:pStyle w:val="TableParagraph"/>
              <w:tabs>
                <w:tab w:pos="6164" w:val="left" w:leader="none"/>
              </w:tabs>
              <w:spacing w:line="208" w:lineRule="auto" w:before="0"/>
              <w:ind w:right="31"/>
              <w:rPr>
                <w:sz w:val="20"/>
              </w:rPr>
            </w:pPr>
            <w:r>
              <w:rPr>
                <w:sz w:val="20"/>
              </w:rPr>
              <w:t>&lt;span style="font-size: 12pt; font-family: &amp;quot;Times New Roman&amp;quot;, serif; color: #000000; background-color: transparent; font-style: normal; font-variant: normal; text- decoration: none; vertical-align: baseline; white-space: pre-wrap;"&gt;</w:t>
              <w:tab/>
              <w:t>&lt;strong&gt;I. Caso em Exame&lt;/strong&gt; &lt;/span&gt;&lt;/p&gt;&lt;p style="line-height: 1.8; text-align: justify; margin-top: 6pt; margin-bottom: 6pt; padding-left: 150px;" dir="ltr"&gt; &lt;span style="font-size: 12pt; font- family: 'Times New Roman',serif; color: #000000; background-color: transparent; font- weight: 400; font-style: normal; font-variant: normal; text-decoration: none; vertical-align: baseline; white-space: pre-wrap;"&gt;1. Cuida-se de Apelação Cível interposta contra sentença que indeferiu a petição inicial em Ação Revisional de Contrato com Pedido Incidental de Exibição de Documentos. A decisão considerou que o autor não cumpriu a determinação de emenda à inicial, deixando de especificar as obrigações contratuais controversas, justificar o valor alegadamente abusivo, além de deixar de apresentar documentos mesmo após concessão de prazo suplementar.&lt;/span&gt;&lt;/p&gt;&lt;p style="line- height: 1.8; text-align: justify; margin-top: 6pt; margin-bottom: 6pt; padding-left: 150px;" dir="ltr"&gt; &lt;span style="font-size: 12pt; font-family: &amp;quot;Times New Roman&amp;quot;, serif; color: #000000; background-color: transparent; font-style: normal; font-variant: normal; </w:t>
            </w:r>
            <w:r>
              <w:rPr>
                <w:spacing w:val="-4"/>
                <w:sz w:val="20"/>
              </w:rPr>
              <w:t>text- </w:t>
            </w:r>
            <w:r>
              <w:rPr>
                <w:sz w:val="20"/>
              </w:rPr>
              <w:t>decoration: none; vertical-align: baseline; white-space: pre-wrap;"&gt;</w:t>
              <w:tab/>
              <w:t>&lt;strong&gt;II. Questão em Discussão&lt;/strong&gt; &lt;/span&gt;&lt;/p&gt;&lt;p style="line-height: 1.8; text-align: justify; margin- top: 6pt; margin-bottom: 6pt; padding-left: 150px;" dir="ltr"&gt; &lt;span style="font-size: 12pt; font-family: 'Times New Roman',serif; color: #000000; background-color: transparent; font- weight: 400; font-style: normal; font-variant: normal; text-decoration: none; vertical-align: baseline; white-space: pre-wrap;"&gt;2. Consiste em verificar se é legítima a extinção do processo sem resolução do mérito devido ao não atendimento integral da determinação judicial de emenda à petição inicial.&lt;/span&gt;&lt;/p&gt;&lt;p style="line-height: 1.8; text-align: justify; margin-top: 6pt; margin-bottom: 6pt; padding-left: 150px;" dir="ltr"&gt; &lt;span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29" w:val="left" w:leader="none"/>
              </w:tabs>
              <w:spacing w:line="208" w:lineRule="auto" w:before="26"/>
              <w:ind w:right="86"/>
              <w:rPr>
                <w:sz w:val="20"/>
              </w:rPr>
            </w:pPr>
            <w:r>
              <w:rPr>
                <w:sz w:val="20"/>
              </w:rPr>
              <w:t>12pt; font-family: &amp;quot;Times New Roman&amp;quot;, serif; color: #000000; background-color: transparent; font-style: normal; font-variant: normal; text-decoration: none; vertical-align: baseline; white-space: pre-wrap;"&gt;</w:t>
              <w:tab/>
              <w:t>&lt;strong&gt;III. Razões de Decidir&lt;/strong&gt;</w:t>
            </w:r>
          </w:p>
          <w:p>
            <w:pPr>
              <w:pStyle w:val="TableParagraph"/>
              <w:tabs>
                <w:tab w:pos="3808" w:val="left" w:leader="none"/>
                <w:tab w:pos="5119" w:val="left" w:leader="none"/>
                <w:tab w:pos="6164" w:val="left" w:leader="none"/>
              </w:tabs>
              <w:spacing w:line="208" w:lineRule="auto" w:before="0"/>
              <w:ind w:right="25"/>
              <w:rPr>
                <w:sz w:val="20"/>
              </w:rPr>
            </w:pPr>
            <w:r>
              <w:rPr>
                <w:sz w:val="20"/>
              </w:rPr>
              <w:t>&lt;/span&gt;&lt;/p&gt;&lt;p style="line-height: 1.8; text-align: justify; margin-top: 6pt; margin-bottom: 6pt; padding-left: 150px;" dir="ltr"&gt; &lt;span style="font-size: 12pt; font-family: 'Times New Roman',serif; color: #000000; background-color: transparent; font-weight: 400; font-style: normal; font-variant: normal; text-decoration: none; vertical-align: baseline; white-space: pre-wrap;"&gt;3. A jurisprudência é pacífica ao dispor que a negativa de cumprimento do comando judicial resulta em seu indeferimento e extinção do processo sem exame do mérito (CPC/2015, arts. 321, parágrafo único, e 485, inciso I).&lt;/span&gt;&lt;/p&gt;&lt;p style="line- height: 1.8; text-align: justify; margin-top: 6pt; margin-bottom: 6pt; padding-left: 150px;" dir="ltr"&gt; &lt;span style="font-size: 12pt; font-family: 'Times New Roman',serif; color: #000000; background-color: transparent; font-weight: 400; font-style: normal; font-variant: normal; text-decoration: none; vertical-align: baseline; white-space: pre-wrap;"&gt;4. O princípio da primazia do julgamento de mérito não confere ao autor o direito de ignorar os comandos judiciais, sendo essencial o cumprimento das determinações para corrigir os vícios processuais apontados pelo magistrado condutor do feito.&lt;/span&gt;&lt;/p&gt;&lt;p </w:t>
            </w:r>
            <w:r>
              <w:rPr>
                <w:spacing w:val="-2"/>
                <w:sz w:val="20"/>
              </w:rPr>
              <w:t>style="line- </w:t>
            </w:r>
            <w:r>
              <w:rPr>
                <w:sz w:val="20"/>
              </w:rPr>
              <w:t>height: 1.8; text-align: justify; margin-top: 6pt; margin-bottom: 6pt; padding-left: 150px;" dir="ltr"&gt; &lt;span style="font-size: 12pt; font-family: &amp;quot;Times New Roman&amp;quot;, serif; color: #000000; background-color: transparent; font-style: normal; font-variant: normal; </w:t>
            </w:r>
            <w:r>
              <w:rPr>
                <w:spacing w:val="-3"/>
                <w:sz w:val="20"/>
              </w:rPr>
              <w:t>text- </w:t>
            </w:r>
            <w:r>
              <w:rPr>
                <w:sz w:val="20"/>
              </w:rPr>
              <w:t>decoration: none; vertical-align: baseline; white-space: pre-wrap;"&gt;</w:t>
              <w:tab/>
              <w:t>&lt;strong&gt;IV. Dispositivo&lt;/strong&gt;  &lt;/span&gt;  &lt;strong&gt;</w:t>
              <w:tab/>
              <w:t>&lt;span id="docs-internal-guid-6d37687f-7fff- 08a3-a38f-f9ae2843e384"&gt;&amp;#160;&lt;/span&gt; &lt;/strong&gt;&lt;/p&gt;&lt;p style="line-height: 1.8; text- align: justify; margin-top: 6pt; margin-bottom: 6pt; padding-left: 150px;" dir="ltr"&gt; &lt;span style="font-size: 12pt; font-family: &amp;quot;Times New Roman&amp;quot;, serif; color: #000000; background-color: transparent; font-style: normal; font-variant: normal; text-decoration: none; vertical-align: baseline; white-space: pre-wrap;"&gt;</w:t>
              <w:tab/>
              <w:t>&lt;strong&gt;5. Sentença confirmada. Recurso conhecido e não provido.&lt;/strong&gt; &lt;/span&gt;&lt;/p&gt;&lt;p style="line-height: 1.8; text- align: justify; margin-top: 6pt; margin-bottom: 6pt; padding-left: 150px;" dir="ltr"&gt; &lt;span style="font-size: 12pt; font-family: &amp;quot;Times New Roman&amp;quot;, serif; color: #000000; background-color: transparent; font-style: normal; font-variant: normal; text-decoration: none; vertical-align: baseline; white-space: pre-wrap;"&gt;</w:t>
              <w:tab/>
              <w:t>&lt;strong&gt;&amp;#160;&lt;/strong&gt;</w:t>
            </w:r>
          </w:p>
          <w:p>
            <w:pPr>
              <w:pStyle w:val="TableParagraph"/>
              <w:tabs>
                <w:tab w:pos="6846" w:val="left" w:leader="none"/>
              </w:tabs>
              <w:spacing w:line="208" w:lineRule="auto" w:before="0"/>
              <w:ind w:right="299"/>
              <w:rPr>
                <w:sz w:val="20"/>
              </w:rPr>
            </w:pPr>
            <w:r>
              <w:rPr>
                <w:sz w:val="20"/>
              </w:rPr>
              <w:t>&lt;/span&gt;  &lt;span style="font-family: &amp;quot;times new roman&amp;quot;, times;"&gt;</w:t>
              <w:tab/>
              <w:t>&lt;span style="font-size: medium;"&gt;ACÓRDÃO:&amp;#160;&lt;/span&gt; &lt;/span&gt; &lt;span style="background-color: transparent; font-family: &amp;quot;Times New Roman&amp;quot;, </w:t>
            </w:r>
            <w:r>
              <w:rPr>
                <w:spacing w:val="-3"/>
                <w:sz w:val="20"/>
              </w:rPr>
              <w:t>serif;</w:t>
            </w:r>
          </w:p>
          <w:p>
            <w:pPr>
              <w:pStyle w:val="TableParagraph"/>
              <w:spacing w:line="208" w:lineRule="auto" w:before="0"/>
              <w:ind w:right="3"/>
              <w:rPr>
                <w:sz w:val="20"/>
              </w:rPr>
            </w:pPr>
            <w:r>
              <w:rPr>
                <w:sz w:val="20"/>
              </w:rPr>
              <w:t>font-size: 12pt; white-space-collapse: preserve;"&gt;Vistos, relatados e discutidos estes autos, acorda a Quinta Câmara de Direito Privado do Tribunal de Justiça do Estado do Ceará, por unanimidade, em CONHECER do Recurso de Apelação Cível para NEGAR-LHE PROVIMENTO, nos termos do voto do Desembargador Relator.&lt;/span&gt;&lt;/p&gt;&lt;p style="line- height: 1.8; text-align: justify; margin-top: 6pt; margin-bottom: 6pt; padding-left: 150px;" dir="ltr"&gt; &lt;span style="background-color: transparent; font-family: &amp;quot;Times New Roman&amp;quot;, serif; font-size: 12pt; white-space-collapse: preserve;"&gt;&amp;#160;&lt;/span&gt;</w:t>
            </w:r>
          </w:p>
          <w:p>
            <w:pPr>
              <w:pStyle w:val="TableParagraph"/>
              <w:tabs>
                <w:tab w:pos="2682" w:val="left" w:leader="none"/>
                <w:tab w:pos="3084" w:val="left" w:leader="none"/>
                <w:tab w:pos="3288" w:val="left" w:leader="none"/>
                <w:tab w:pos="3805" w:val="left" w:leader="none"/>
                <w:tab w:pos="6307" w:val="left" w:leader="none"/>
              </w:tabs>
              <w:spacing w:line="208" w:lineRule="auto" w:before="0"/>
              <w:ind w:right="94"/>
              <w:rPr>
                <w:sz w:val="20"/>
              </w:rPr>
            </w:pPr>
            <w:r>
              <w:rPr>
                <w:sz w:val="20"/>
              </w:rPr>
              <w:t>&lt;span style="font-size: medium;"&gt;</w:t>
              <w:tab/>
              <w:tab/>
              <w:t>&lt;span style="font-family: &amp;quot;times new roman&amp;quot;, times;"&gt;F&lt;/span&gt;</w:t>
              <w:tab/>
              <w:t>&lt;span style="font-family: &amp;quot;times new </w:t>
            </w:r>
            <w:r>
              <w:rPr>
                <w:spacing w:val="-2"/>
                <w:sz w:val="20"/>
              </w:rPr>
              <w:t>roman&amp;quot;, </w:t>
            </w:r>
            <w:r>
              <w:rPr>
                <w:sz w:val="20"/>
              </w:rPr>
              <w:t>times;"&gt;ortaleza, data registrada no sistema.&lt;/span&gt; &lt;/span&gt; &lt;span style="font-family: &amp;quot;times new roman&amp;quot;, times; font-size: medium; text-align: start;"&gt;&amp;#160;&lt;/span&gt;&lt;/p&gt;&lt;p style="padding-left: 150px;"&gt;&amp;#160;&lt;/p&gt;&lt;p style="line- height: 100%; orphans: 0; widows: 0; margin-bottom: 0.21cm;" align="center"&gt; &lt;span style="font-size: medium;"&gt;</w:t>
              <w:tab/>
              <w:t>&lt;strong&gt;</w:t>
              <w:tab/>
              <w:t>&lt;span style="font-family: &amp;quot;times new 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times;"&gt;Desembargadora Presidente do Órgão Julgador&lt;/span&gt;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2438" w:val="left" w:leader="none"/>
                <w:tab w:pos="3561" w:val="left" w:leader="none"/>
                <w:tab w:pos="7032" w:val="left" w:leader="none"/>
                <w:tab w:pos="7396" w:val="left" w:leader="none"/>
              </w:tabs>
              <w:spacing w:line="208" w:lineRule="auto" w:before="0"/>
              <w:ind w:right="35"/>
              <w:rPr>
                <w:sz w:val="20"/>
              </w:rPr>
            </w:pPr>
            <w:r>
              <w:rPr>
                <w:sz w:val="20"/>
              </w:rPr>
              <w:t>&lt;/span&gt;&lt;/p&gt;&lt;p style="text-align: center;"&gt;&amp;#160;&lt;/p&gt;&lt;p style="text-align: center;"&gt; &lt;span style="font-size: small;"&gt;</w:t>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42"/>
              <w:rPr>
                <w:sz w:val="20"/>
              </w:rPr>
            </w:pPr>
            <w:r>
              <w:rPr>
                <w:sz w:val="20"/>
              </w:rPr>
              <w:t>&lt;/strong&gt; &lt;/span&gt;&lt;/p&gt;&lt;p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text-decoration: none; vertical-align: baseline; white-space: pre-wrap;"&gt;Trata-se de&lt;/span&gt;</w:t>
            </w:r>
          </w:p>
          <w:p>
            <w:pPr>
              <w:pStyle w:val="TableParagraph"/>
              <w:spacing w:line="208" w:lineRule="auto" w:before="9"/>
              <w:ind w:right="42"/>
              <w:rPr>
                <w:sz w:val="20"/>
              </w:rPr>
            </w:pPr>
            <w:r>
              <w:rPr>
                <w:sz w:val="20"/>
              </w:rPr>
              <w:t>&lt;span style="font-size: 12pt; font-family: 'Times New Roman',serif; color: #000000; background-color: transparent; font-weight: 700; font-style: normal; font-variant: normal; text-decoration: none; vertical-align: baseline; white-space: pre-wrap;"&gt;Recurso de Apelação Cível&lt;/span&gt; &lt;span style="font-size: 12pt; font-family: 'Times New Roman',serif; color: #000000; background-color: transparent; font-weight: 400; font-style: normal; font- variant: normal; text-decoration: none; vertical-align: baseline; white-space: pre- wrap;"&gt;interposto por&lt;/span&gt; &lt;span style="font-size: 12pt; font-family: 'Times New Roman',serif; color: #000000; background-color: transparent; font-weight: 700; font-style: normal; font-variant: normal; text-decoration: none; vertical-align: baseline; white-space: pre-wrap;"&gt;George Luis Gonzaga Cavalcante,&lt;/span&gt; &lt;span style="font-size: 12pt; font- family: 'Times New Roman',serif; color: #000000; background-color: transparent; font- weight: 400; font-style: normal; font-variant: normal; text-decoration: none; vertical-align: baseline; white-space: pre-wrap;"&gt;com o fim de reformar sentença prolatada pelo douto Juiz de Direito da 2ª Vara Cível da Comarca de Icó, em&lt;/span&gt; &lt;span style="font-size: 12pt; font-family: 'Times New Roman',serif; color: #000000; background-color: transparent; font-weight: 400; font-style: normal; font-variant: normal; text-decoration: none; vertical- align: baseline; white-space: pre-wrap;"&gt; &lt;strong&gt;Ação Revisional de Contrato com Pedido Incidental de Exibição de Documentos&lt;/strong&gt;&lt;/span&gt;&lt;span style="font-size: 12pt; font-family: 'Times New Roman',serif; color: #000000; background-color: transparent; font-weight: 400; font-style: normal; font-variant: normal; text-decoration: none; vertical- align: baseline; white-space: pre-wrap;"&gt;, proposta em face de&lt;/span&gt;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 &lt;strong&gt;Crefisa S.A – Crédito Financiamento e Investimentos.&lt;/strong&gt;&lt;/span&gt;&lt;/p&gt;&lt;p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pre-wrap;"&gt;O juiz de primeiro grau indeferiu a petição inicial e determinou a extinção do processo sem resolução do mérito com esteio no artigo 485, I do CPC/2015 (sentença de id 29178253).&lt;/span&gt;&lt;/p&gt;&lt;p style="line-height: 1.7999999999999998; text-indent: 70.86614173228347pt; text-align: justify; margin-top: 6pt; margin-bottom: 6pt;" dir="ltr"&gt;</w:t>
            </w:r>
          </w:p>
          <w:p>
            <w:pPr>
              <w:pStyle w:val="TableParagraph"/>
              <w:spacing w:line="208" w:lineRule="auto" w:before="0"/>
              <w:ind w:right="19"/>
              <w:rPr>
                <w:sz w:val="20"/>
              </w:rPr>
            </w:pPr>
            <w:r>
              <w:rPr>
                <w:sz w:val="20"/>
              </w:rPr>
              <w:t>&lt;span style="font-size: 12pt; font-family: 'Times New Roman',serif; color: #000000; background-color: transparent; font-weight: 400; font-style: normal; font-variant: normal; text-decoration: none; vertical-align: baseline; white-space: pre-wrap;"&gt;O recorrente, em suas razões de id 29178257, afirma que o CPC/2015 estabelece que a prestação jurisdicional deve priorizar a análise do mérito em detrimento de formalismos excessivos. Assim, quando presentes elementos suficientes para o regular processamento da ação, não se justifica a medida extrema de indeferimento da petição inicial. No caso em tela, não se pode afirmar que a petição inicial era inepta ou imprestável. O Apelante apresentou documentos, delimitou valores controversos e incontroversos, juntou cálculos com base na taxa média do BACEN e requereu a exibição incidental do contrato justamente por não dispor da cópia. Havia, portanto, substrato mínimo para o regular prosseguimento da ação. Ainda que se reconheça que a emenda à inicial não tenha abarcado de forma plena todos os pontos exigidos, verifica-se que o Apelante atendeu substancialmente ao comando judicial. Portanto, ainda que se reconheça algum vício formal, este não poderia justificar a drástica medida de indeferimento da inicial. Com fundamento no princípio da inafastabilidade da jurisdição, requer que seja reformada a sentença e determinar o regular processamento da ação revisional, com a apreciação do mérito da demanda.</w:t>
            </w:r>
          </w:p>
          <w:p>
            <w:pPr>
              <w:pStyle w:val="TableParagraph"/>
              <w:spacing w:line="208" w:lineRule="auto" w:before="0"/>
              <w:ind w:right="146"/>
              <w:rPr>
                <w:sz w:val="20"/>
              </w:rPr>
            </w:pPr>
            <w:r>
              <w:rPr>
                <w:sz w:val="20"/>
              </w:rPr>
              <w:t>Subsidiariamente, que seja determinada a intimação do Apelante para complementar a documentação, em atenção ao princípio da primazia da decisão de mérito.&lt;/span&gt;&lt;/p&gt;&lt;p style="line-height: 1.7999999999999998; text-indent: 70.86614173228347pt; text-align: justify; margin-top: 6pt; margin-bottom: 6pt;" dir="ltr"&gt; &lt;span style="font-size: 12pt; font- family: 'Times New Roman',serif; color: #000000; background-color: transparent; font- weight: 400; font-style: normal; font-variant: normal; text-decoration: none; vertical-align: baseline; white-space: pre-wrap;"&gt;Contrarrazões da instituição financeira consta ao id.</w:t>
            </w:r>
          </w:p>
          <w:p>
            <w:pPr>
              <w:pStyle w:val="TableParagraph"/>
              <w:spacing w:line="208" w:lineRule="auto" w:before="0"/>
              <w:ind w:right="85"/>
              <w:rPr>
                <w:sz w:val="20"/>
              </w:rPr>
            </w:pPr>
            <w:r>
              <w:rPr>
                <w:sz w:val="20"/>
              </w:rPr>
              <w:t>29178264. Assevera o banco que houve ofensa ao princípio da dialeticidade recursal e que a parte Apelante não cumpriu a determinação judicial, sendo assim, conforme versa </w:t>
            </w:r>
            <w:r>
              <w:rPr>
                <w:spacing w:val="-18"/>
                <w:sz w:val="20"/>
              </w:rPr>
              <w:t>o </w:t>
            </w:r>
            <w:r>
              <w:rPr>
                <w:sz w:val="20"/>
              </w:rPr>
              <w:t>ordenamento jurídico, não resta outra saída, é necessária a manutenção da sentença quanto ao indeferimento da inicial. Requer que seja negado provimento ao recurso.&lt;/span&gt;&lt;/p&gt;&lt;p style="line-height: 1.7999999999999998; text-indent: 70.86614173228347pt; text-align: justify; margin-top: 6pt; margin-bottom: 6pt;" dir="ltr"&gt;</w:t>
            </w:r>
          </w:p>
          <w:p>
            <w:pPr>
              <w:pStyle w:val="TableParagraph"/>
              <w:spacing w:line="208" w:lineRule="auto" w:before="0"/>
              <w:ind w:right="21"/>
              <w:rPr>
                <w:sz w:val="20"/>
              </w:rPr>
            </w:pPr>
            <w:r>
              <w:rPr>
                <w:sz w:val="20"/>
              </w:rPr>
              <w:t>&lt;span style="font-size: 12pt; font-family: 'Times New Roman',serif; color: #000000; background-color: transparent; font-weight: 400; font-style: normal; font-variant: normal; text-decoration: none; vertical-align: baseline; white-space: pre-wrap;"&gt;Deixo de remeter os autos ao Ministério Público, uma vez que o presente caso não se enquadra nas hipóteses</w:t>
            </w:r>
          </w:p>
          <w:p>
            <w:pPr>
              <w:pStyle w:val="TableParagraph"/>
              <w:spacing w:line="208" w:lineRule="auto" w:before="0"/>
              <w:ind w:right="279"/>
              <w:rPr>
                <w:sz w:val="20"/>
              </w:rPr>
            </w:pPr>
            <w:r>
              <w:rPr>
                <w:sz w:val="20"/>
              </w:rPr>
              <w:t>– não envolve interesse de incapazes, nem litígios coletivos – que exigem a intervenção ministerial obrigatória, conforme prevê o art. 178 do Código de Processo Civil.&lt;/span&gt;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7" w:val="left" w:leader="none"/>
                <w:tab w:pos="5631" w:val="left" w:leader="none"/>
              </w:tabs>
              <w:spacing w:line="208" w:lineRule="auto" w:before="26"/>
              <w:ind w:right="123"/>
              <w:rPr>
                <w:sz w:val="20"/>
              </w:rPr>
            </w:pPr>
            <w:r>
              <w:rPr>
                <w:sz w:val="20"/>
              </w:rPr>
              <w:t>&lt;span style="font-size: small; text-align: center;"&gt;&amp;#160;&lt;/span&gt;&lt;/p&gt;&lt;p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 indent: 70.86614173228347pt; text-align: justify; margin-top: 6pt; margin-bottom: 6pt;" dir="ltr"&gt;  &lt;strong style="font-size: small; text-align: center;"&gt;</w:t>
              <w:tab/>
              <w:t>&lt;span style="font-size: medium;"&gt;</w:t>
              <w:tab/>
              <w:t>&lt;span style="font-family: &amp;quot;times new roman&amp;quot;, times;"&gt;&amp;#160; &amp;#160; &amp;#160; &amp;#160; &amp;#160; &amp;#160; &amp;#160; &amp;#160; &amp;#160; &amp;#160; &amp;#160; &amp;#160; &amp;#160; &amp;#160; &amp;#160; &amp;#160; &amp;#160; &amp;#160; &amp;#160; &amp;#160; &amp;#160; &amp;#160; &amp;#160; &amp;#160; &amp;#160; &amp;#160; &amp;#160; &amp;#160; &amp;#160; &amp;#160; &amp;#160; &amp;#160; &amp;#160;</w:t>
            </w:r>
          </w:p>
          <w:p>
            <w:pPr>
              <w:pStyle w:val="TableParagraph"/>
              <w:tabs>
                <w:tab w:pos="1551" w:val="left" w:leader="none"/>
              </w:tabs>
              <w:spacing w:line="208" w:lineRule="auto" w:before="0"/>
              <w:ind w:right="37"/>
              <w:rPr>
                <w:sz w:val="20"/>
              </w:rPr>
            </w:pPr>
            <w:r>
              <w:rPr>
                <w:sz w:val="20"/>
              </w:rPr>
              <w:t>VOTO&lt;/span&gt;</w:t>
              <w:tab/>
              <w:t>&lt;/span&gt; &lt;/strong&gt;&lt;/p&gt;&lt;p style="line-height: 1.7999999999999998; text- 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pre-wrap;"&gt;Atendidos os pressupostos extrínsecos e intrínsecos de admissibilidade, conheço o Recurso de Apelação Cível.&lt;/span&gt;&lt;/p&gt;&lt;p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pre-wrap;"&gt;No primeiro grau, George Luis Gonzaga Cavalcante, ingressou com Ação Revisional de Contrato c/c Pedido Incidental de Documento, em face de Crefisa S.A – Crédito Financiamento e Investimentos. Requer, dentre outros, que sejam&lt;/span&gt; &lt;span style="font-size: 11pt; </w:t>
            </w:r>
            <w:r>
              <w:rPr>
                <w:spacing w:val="-4"/>
                <w:sz w:val="20"/>
              </w:rPr>
              <w:t>font- </w:t>
            </w:r>
            <w:r>
              <w:rPr>
                <w:sz w:val="20"/>
              </w:rPr>
              <w:t>family: 'Times New Roman',serif; color: #000000; background-color: transparent; font- weight: 400; font-style: normal; font-variant: normal; text-decoration: none; vertical-align: baseline; white-space: pre-wrap;"&gt;declaradas nulas, por abusivas, as cláusulas constantes do contrato descrito na inicial, que preveem cobrança de taxa de juros remuneratórios em patamar superior à respectiva taxa média de mercado apurada pelo BACEN, vigente à época da contratação.&lt;/span&gt;&lt;/p&gt;&lt;p style="line-height: 1.7999999999999998; text-indent: 70.86614173228347pt; text-align: justify; margin-top: 6pt; margin-bottom: 6pt;" dir="ltr"&gt;&lt;span style="font-size: 11pt; font-family: 'Times New Roman',serif; color: #000000; background-color: transparent; font-weight: 400; font-style: normal; font-variant: normal; text-decoration: none; vertical-align: baseline; white-space: pre-wrap;"&gt;O magistrado da 2ª Vara Cível da Comarca de Icó, determinou que a&lt;/span&gt; &lt;span style="font-size: 12pt;</w:t>
            </w:r>
          </w:p>
          <w:p>
            <w:pPr>
              <w:pStyle w:val="TableParagraph"/>
              <w:spacing w:line="208" w:lineRule="auto" w:before="0"/>
              <w:ind w:right="27"/>
              <w:rPr>
                <w:sz w:val="20"/>
              </w:rPr>
            </w:pPr>
            <w:r>
              <w:rPr>
                <w:sz w:val="20"/>
              </w:rPr>
              <w:t>font-family: 'Times New Roman',serif; color: #000000; background-color: transparent; font- weight: 400; font-style: normal; font-variant: normal; text-decoration: none; vertical-align: baseline; white-space: pre-wrap;"&gt;parte autora fosse intimada, para, em 15 (quinze) dias, emendar a inicial, especificando as obrigações contratuais que pretende controverter, </w:t>
            </w:r>
            <w:r>
              <w:rPr>
                <w:spacing w:val="-4"/>
                <w:sz w:val="20"/>
              </w:rPr>
              <w:t>além </w:t>
            </w:r>
            <w:r>
              <w:rPr>
                <w:sz w:val="20"/>
              </w:rPr>
              <w:t>de quantificar o valor que alega abusivo do débito, justificadamente e acompanhado de elementos probatórios/memória de cálculo, indicação da modalidade contratada e a taxa aplicável para a confecção do documento, bem como demais informações aptas a comprovar minimamente o fato constitutivo do seu direito, sob pena de indeferimento da inicial (art. 330, I do CPC).&lt;/span&gt;&lt;/p&gt;&lt;p style="line-height: 1.7999999999999998; text- 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pre-wrap;"&gt;Em atendimento, o autor apresentou a petição de id 29178243, na qual requereu a emenda da petição inicial para constar como valor da causa o montante de R$ 2.707,44. Salientou na oportunidade que entende como valor incontroverso do débito R$ 287,19 por parcela, e controverso R$ 112,81 por parcela.&lt;/span&gt;&lt;/p&gt;&lt;p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pre-wrap;"&gt;Diante disso, consignou o juiz de conhecimento que:&lt;/span&gt; &lt;span </w:t>
            </w:r>
            <w:r>
              <w:rPr>
                <w:spacing w:val="-2"/>
                <w:sz w:val="20"/>
              </w:rPr>
              <w:t>style="font- </w:t>
            </w:r>
            <w:r>
              <w:rPr>
                <w:sz w:val="20"/>
              </w:rPr>
              <w:t>size: 12pt; font-family: 'Times New Roman',serif; color: #000000; background-color: transparent; font-weight: 400; font-style: normal; font-variant: normal; text-decoration: none; vertical-align: baseline; white-space: pre-wrap;"&gt; &lt;em&gt;"o autor não indicou as obrigações contratuais que pretende controverter, nem justificou a quantificação do valor que entende abusivo, ainda não foi informada na petição, nem restou claro dos documentos juntados, qual a modalidade contratual contratada e a taxa aplicável para a confecção do documento. Ademais, o autor não juntou documento de comprovação de residência ou foro de eleição do contrato"&lt;/em&gt;&lt;/span&gt;&lt;span style="font-size: 12pt; font-family: 'Times New Roman',serif; color: #000000; background-color: transparent; font-weight: 400; font- style: normal; font-variant: normal; text-decoration: none; vertical-align: baseline; white- space: pre-wrap;"&gt;. Após, determinou que o promovente complementasse a inicial, em 05</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70"/>
              <w:rPr>
                <w:sz w:val="20"/>
              </w:rPr>
            </w:pPr>
            <w:r>
              <w:rPr>
                <w:sz w:val="20"/>
              </w:rPr>
              <w:t>(cinco) dias, sob pena de indeferimento.&lt;/span&gt;&lt;/p&gt;&lt;p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pre-wrap;"&gt;O advogado do demandante requereu prazo suplementar de 20 (vinte) dias.&lt;/span&gt;&lt;/p&gt;&lt;p style="line-height: 1.7999999999999998; text-indent: 70.86614173228347pt; text-align: justify; margin-top: 6pt; margin-bottom: 6pt;" dir="ltr"&gt;</w:t>
            </w:r>
          </w:p>
          <w:p>
            <w:pPr>
              <w:pStyle w:val="TableParagraph"/>
              <w:spacing w:line="208" w:lineRule="auto" w:before="0"/>
              <w:ind w:right="143"/>
              <w:rPr>
                <w:sz w:val="20"/>
              </w:rPr>
            </w:pPr>
            <w:r>
              <w:rPr>
                <w:sz w:val="20"/>
              </w:rPr>
              <w:t>&lt;span style="font-size: 12pt; font-family: 'Times New Roman',serif; color: #000000; background-color: transparent; font-weight: 400; font-style: normal; font-variant: normal; text-decoration: none; vertical-align: baseline; white-space: pre-wrap;"&gt;Concedeu-se </w:t>
            </w:r>
            <w:r>
              <w:rPr>
                <w:spacing w:val="-5"/>
                <w:sz w:val="20"/>
              </w:rPr>
              <w:t>novo </w:t>
            </w:r>
            <w:r>
              <w:rPr>
                <w:sz w:val="20"/>
              </w:rPr>
              <w:t>prazo de 05 (cinco) dias (decisão de id 29178250).&lt;/span&gt;&lt;/p&gt;&lt;p style="line-height: 1.7999999999999998; text-indent: 70.86614173228347pt; text-align: justify; margin-top: 6pt; margin-bottom: 6pt;" dir="ltr"&gt;&lt;span style="font-size: 12pt; font-family: 'Times New Roman',serif; color: #000000; background-color: transparent; font-weight: 400; font-style: normal; font-variant: normal; text-decoration: none; vertical-align: baseline; white-space: pre-wrap;"&gt;Transcorrido&lt;/span&gt; &lt;span style="font-size: 12pt; font-family: 'Times New Roman',serif; color: #000000; background-color: transparent; font-weight: 400; font-style: italic; font-variant: normal; text-decoration: none; vertical-align: baseline; white-space: pre- wrap;"&gt;in albis&lt;/span&gt; &lt;span style="font-size: 12pt; font-family: 'Times New Roman',serif; color: #000000; background-color: transparent; font-weight: 400; font-style: normal; font- variant: normal; text-decoration: none; vertical-align: baseline; white-space: pre-wrap;"&gt;o prazo supracitado, sobreveio a sentença extintiva ora impugnada.&lt;/span&gt;&lt;/p&gt;&lt;p style="line-height: 1.7999999999999998; text-indent: 70.86614173228347pt; text-align: justify; margin-top: 6pt; margin-bottom: 6pt;" dir="ltr"&gt; &lt;span style="font-size: 12pt; font- family: 'Times New Roman',serif; color: #000000; background-color: transparent; font- weight: 400; font-style: normal; font-variant: normal; text-decoration: none; vertical-align: baseline; white-space: pre-wrap;"&gt;Aduz o apelante que a sentença deve ser cassada em razão da primazia do julgamento de mérito (arts. 4º e 6º do CPC) e que teria havido cumprimento substancial da determinação judicial.&lt;/span&gt;&lt;/p&gt;&lt;p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pre-wrap;"&gt;Contudo, a extinção do processo, no caso em análise, decorreu da expressa inércia da parte autora em sanar vícios processuais após reiteradas intimações, inclusive após ter-lhe sido concedido prazo complementar, sob pena de indeferimento.&lt;/span&gt;&lt;/p&gt;&lt;p style="line-height: 1.7999999999999998; text-indent: 70.86614173228347pt; text-align: justify; margin-top: 6pt; margin-bottom: 6pt;" dir="ltr"&gt;</w:t>
            </w:r>
          </w:p>
          <w:p>
            <w:pPr>
              <w:pStyle w:val="TableParagraph"/>
              <w:spacing w:line="208" w:lineRule="auto" w:before="0"/>
              <w:ind w:right="19"/>
              <w:rPr>
                <w:sz w:val="20"/>
              </w:rPr>
            </w:pPr>
            <w:r>
              <w:rPr>
                <w:sz w:val="20"/>
              </w:rPr>
              <w:t>&lt;span style="font-size: 12pt; font-family: 'Times New Roman',serif; color: #000000; background-color: transparent; font-weight: 400; font-style: normal; font-variant: normal; text-decoration: none; vertical-align: baseline; white-space: pre-wrap;"&gt;O artigo 321, parágrafo único, do CPC, dispõe que, se o autor não cumprir a diligência de emenda da petição inicial, o juiz a indeferirá.&lt;/span&gt;&lt;/p&gt;&lt;p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pre-wrap;"&gt;A jurisprudência é pacífica no sentido de que a negativa de cumprimento do comando </w:t>
            </w:r>
            <w:r>
              <w:rPr>
                <w:spacing w:val="-3"/>
                <w:sz w:val="20"/>
              </w:rPr>
              <w:t>judicial </w:t>
            </w:r>
            <w:r>
              <w:rPr>
                <w:sz w:val="20"/>
              </w:rPr>
              <w:t>ou o cumprimento parcial de decisão que determina a emenda da peça de ingresso resulta no seu indeferimento e, consequente, extinção do processo, sem exame meritório, conforme disposição dos artigos 485, inciso I, c/c 321, parágrafo único, ambos do CPC.&lt;/span&gt;&lt;/p&gt;&lt;p style="line-height: 1.7999999999999998; text-indent: 70.86614173228347pt; text-align: justify; margin-top: 6pt; margin-bottom: 6pt;" dir="ltr"&gt;</w:t>
            </w:r>
          </w:p>
          <w:p>
            <w:pPr>
              <w:pStyle w:val="TableParagraph"/>
              <w:spacing w:line="208" w:lineRule="auto" w:before="0"/>
              <w:ind w:right="141"/>
              <w:rPr>
                <w:sz w:val="20"/>
              </w:rPr>
            </w:pPr>
            <w:r>
              <w:rPr>
                <w:sz w:val="20"/>
              </w:rPr>
              <w:t>&lt;span style="font-size: 12pt; font-family: 'Times New Roman',serif; color: #000000; background-color: transparent; font-weight: 400; font-style: normal; font-variant: normal; text-decoration: none; vertical-align: baseline; white-space: pre-wrap;"&gt;O princípio da primazia do julgamento de mérito não confere ao autor o direito de ignorar os comandos judiciais, tampouco permite que o processo prossiga com vícios que comprometam o contraditório, a defesa do réu, ou que obstem a análise da competência. Diante da </w:t>
            </w:r>
            <w:r>
              <w:rPr>
                <w:spacing w:val="-3"/>
                <w:sz w:val="20"/>
              </w:rPr>
              <w:t>inércia </w:t>
            </w:r>
            <w:r>
              <w:rPr>
                <w:sz w:val="20"/>
              </w:rPr>
              <w:t>do promovente em se manifestar, o caso era mesmo de indeferimento da petição inicial.&lt;/span&gt;&lt;/p&gt;&lt;p style="line-height: 1.7999999999999998; text-indent: 70.86614173228347pt; text-align: justify; margin-top: 6pt; margin-bottom: 6pt;" dir="ltr"&gt;</w:t>
            </w:r>
          </w:p>
          <w:p>
            <w:pPr>
              <w:pStyle w:val="TableParagraph"/>
              <w:spacing w:line="208" w:lineRule="auto" w:before="0"/>
              <w:ind w:right="26"/>
              <w:rPr>
                <w:sz w:val="20"/>
              </w:rPr>
            </w:pPr>
            <w:r>
              <w:rPr>
                <w:sz w:val="20"/>
              </w:rPr>
              <w:t>&lt;span style="font-size: 12pt; font-family: 'Times New Roman',serif; color: #000000; background-color: transparent; font-weight: 400; font-style: normal; font-variant: normal; text-decoration: none; vertical-align: baseline; white-space: pre-wrap;"&gt;Não é outro o entendimento desta Corte de Justiça. Confira-se:&lt;/span&gt;&lt;/p&gt;&lt;p style="line-height: 1.7999999999999998; margin-left: 113.38582677165354pt; text-align: justify; margin-top: 6pt; margin-bottom: 6pt;" dir="ltr"&gt;&amp;#160;&lt;/p&gt;&lt;p style="line-height: 1.7999999999999998; margin-left: 113.38582677165354pt; text-align: justify; margin-top: 6pt; margin-bottom: 6pt;"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dir="ltr"&gt;&lt;span style="font-size: 12pt; font-family: 'Times New Roman',serif; color: #000000; background-color: transparent; font-weight: 400; font-style: normal; font-variant: normal; text-decoration: none; vertical-align: baseline; white-space: pre-wrap;"&gt;APELAÇÃO CÍVEL. PROCESSO CIVIL. DIREITO DO CONSUMIDOR. AÇÃO REVISIONAL DE CONTRATO C/C TUTELA ANTECIPADA. DETERMINAÇÃO DE EMENDA À INICIAL. NÃO CUMPRIMENTO. EXTINÇÃO DO FEITO SEM RESOLUÇÃO DO MÉRITO (ART. 485, INCISO I, DO CPC). PETIÇÃO INICIAL INEPTA. PEDIDOS INDETERMINADOS E GENÉRICOS. CONFIGURAÇÃO. RECURSO CONHECIDO E NÃO PROVIDO.</w:t>
            </w:r>
          </w:p>
          <w:p>
            <w:pPr>
              <w:pStyle w:val="TableParagraph"/>
              <w:spacing w:line="208" w:lineRule="auto" w:before="0"/>
              <w:ind w:right="112"/>
              <w:rPr>
                <w:sz w:val="20"/>
              </w:rPr>
            </w:pPr>
            <w:r>
              <w:rPr>
                <w:sz w:val="20"/>
              </w:rPr>
              <w:t>SENTENÇA MANTIDA. I. CASO EM EXAME. 1. Trata-se de recurso de apelação cível interposto por Davi Gomes Santos, contra sentença proferida pelo Juízo da 1ª Vara Cível da Comarca de Fortaleza, que indeferiu a Ação Ordinária Revisional de Contrato com pedido de Tutela Antecipada ajuizada em desfavor de Aymoré Crédito, financiamento e investimentos S/A, extinguindo o feito, sem resolução de mérito, nos termos do art. 330, inciso IV, c/c art. 485, inciso X, do Código de Processo Civil. II. QUESTÃO EM DISCUSSÃO. 2. A questão em discussão consiste em definir se a ausência de individualização das cláusulas contratuais reputadas abusivas e o não atendimento da determinação de emenda à inicial configuram inépcia da petição inicial em ação revisional de contrato bancário. III. RAZÕES DE DECIDIR. 3. A teor da petição inicial, vê-se que pretensão nela deduzida consiste em revisar cláusulas de contratos bancários indeterminados, sem delimitar os elementos que caracterizam a alegada abusividade.</w:t>
            </w:r>
          </w:p>
          <w:p>
            <w:pPr>
              <w:pStyle w:val="TableParagraph"/>
              <w:spacing w:line="208" w:lineRule="auto" w:before="0"/>
              <w:ind w:right="30"/>
              <w:rPr>
                <w:sz w:val="20"/>
              </w:rPr>
            </w:pPr>
            <w:r>
              <w:rPr>
                <w:sz w:val="20"/>
              </w:rPr>
              <w:t>Nesse aspecto, embora o autor tenha informado a existência de contrato de financiamento de veículo Renault/Kwid, placas SBL3C56, ano 2022, Renavam nº 01332993076, garantido por alienação fiduciária, com prazo de 60 (sessenta) meses e prestações fixas de R$ 1.848,39, do qual adimpliu 11 (onze) parcelas, bem como a posterior celebração de contrato de refinanciamento no valor de R$ 58.500,00, a ser quitado em 53 (cinquenta e três) parcelas de R$ 1.866,18, tendo adimplido 10 (dez) delas, verifica-se que não houve a devida indicação das cláusulas contratuais que considera abusivas. 4. Como sabido, nas ações de revisão de contrato, é obrigação do autor apontar, especificamente, as cláusulas que pretende discutir, indicando, com precisão, aquelas que deseja controverter, não bastando o simples ajuizamento da ação, com alegação genérica de abusividade das taxas, juros e demais encargos. 5. Posto isso, uma vez descumprida a determinação de emenda à inicial, permanecendo indeterminados e genéricos os pedidos formulados na exordial, sem especificação das obrigações contratuais impugnadas, mostra-se acertado o decisum que extinguiu o feito, sem resolução de mérito, na forma do art. 330, inciso IV, c/c art. 485, inciso X, do Código de Processo Civil. 6. É certo que o consumidor não pode ser prejudicado pela ausência do contrato em demandas nas quais se pretende revisar obrigações previamente ajustadas, porém, essa concepção não precede a individualização da pretensão autoral buscada nesse tipo de procedimento, sendo ônus do demandante discriminar as obrigações contratuais que pretende controverter (art. 330, § 2º, do CPC), o que não ficou demonstrado nestes autos. IV. DISPOSITIVO 7. Recurso desprovido.</w:t>
            </w:r>
          </w:p>
          <w:p>
            <w:pPr>
              <w:pStyle w:val="TableParagraph"/>
              <w:spacing w:line="208" w:lineRule="auto" w:before="0"/>
              <w:ind w:right="142"/>
              <w:rPr>
                <w:sz w:val="20"/>
              </w:rPr>
            </w:pPr>
            <w:r>
              <w:rPr>
                <w:sz w:val="20"/>
              </w:rPr>
              <w:t>Sentença mantida. (APELAÇÃO CÍVEL - 30288222920258060001, Relator(a): JOSE RICARDO VIDAL PATROCINIO,&lt;/span&gt; &lt;span style="font-size: 12pt; font-family: 'Times New Roman',serif; color: #000000; background-color: transparent; font-weight: 700; font- style: normal; font-variant: normal; text-decoration: none; vertical-align: baseline; white- space: pre-wrap;"&gt;1ª Câmara de Direito Privado&lt;/span&gt;&lt;span style="font-size: 12pt; </w:t>
            </w:r>
            <w:r>
              <w:rPr>
                <w:spacing w:val="-4"/>
                <w:sz w:val="20"/>
              </w:rPr>
              <w:t>font- </w:t>
            </w:r>
            <w:r>
              <w:rPr>
                <w:sz w:val="20"/>
              </w:rPr>
              <w:t>family: 'Times New Roman',serif; color: #000000; background-color: transparent; font- weight: 400; font-style: normal; font-variant: normal; text-decoration: none; vertical-align: baseline; white-space: pre-wrap;"&gt;, Data do julgamento: 28/08/2025).&lt;/span&gt;&lt;/p&gt;&lt;p style="line-height: 1.7999999999999998; margin-left: 113.38582677165354pt; text-align: justify; margin-top: 6pt; margin-bottom: 6pt;" dir="ltr"&gt;&amp;#160;&lt;/p&gt;&lt;p style="line-height: 1.7999999999999998; margin-left: 113.38582677165354pt; text-align: justify; margin-top: 6pt; margin-bottom: 6pt;" dir="ltr"&gt;&lt;span style="font-size: 12pt; font-family: 'Times New Roman',serif; color: #000000; background-color: transparent; font-weight: 400; font-style: normal; font-variant: normal; text-decoration: none; vertical-align: baseline; white-space: pre-wrap;"&gt;APELAÇÃO CÍVEL. AÇÃO REVISIONAL DE CLÁUSULAS CONTRATUAIS. AUSÊNCIA DE INDICAÇÃO DO VALOR INCONTROVERSO. DETERMINAÇÃO DE EMENDA DA EXORDIAL. INÉRCIA DO AUTOR. INDEFERIMENTO DA PETIÇÃO</w:t>
            </w:r>
          </w:p>
          <w:p>
            <w:pPr>
              <w:pStyle w:val="TableParagraph"/>
              <w:spacing w:line="208" w:lineRule="auto" w:before="0"/>
              <w:ind w:right="12"/>
              <w:rPr>
                <w:sz w:val="20"/>
              </w:rPr>
            </w:pPr>
            <w:r>
              <w:rPr>
                <w:sz w:val="20"/>
              </w:rPr>
              <w:t>INICIAL. RECURSO CONHECIDO E DESPROVIDO. 1- Trata-se de apelação interposta em face da sentença que extinguiu sem julgamento do mérito a Ação Revisional de Cláusulas Contratuais, por inépcia da inicial, ante a ausência de emenda para indicação </w:t>
            </w:r>
            <w:r>
              <w:rPr>
                <w:spacing w:val="-9"/>
                <w:sz w:val="20"/>
              </w:rPr>
              <w:t>do </w:t>
            </w:r>
            <w:r>
              <w:rPr>
                <w:sz w:val="20"/>
              </w:rPr>
              <w:t>valor devido incontroverso e apresentação do respectivo demonstrativo de cálculo. 2- Aduz o apelante que é necessária a exibição dos extratos da operação bancária para a quantificação do valor incontroverso, pelo que requer a anulação da sentença e o retorno dos autos à 1ª instância para o prosseguimento do feito. 3- O apelante obteve a exibição incidental da Nota de Crédito Comercial nº 227.2017.1310.2774, documento indispensável para o cálculo do montante que entende ser efetivamente devido, não havendo informado qualquer modificação ulterior dos termos ajustados por meio desse instrumento, tampouco a omissão de informações que justificariam a imprescindível apresentação dos extratos bancários. 4- Intimado para aditar a inicial no prazo de 15 dias, sob pena de arquivamento dos autos, a inércia do apelante em indicar o valor incontroverso da dívida enseja 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4"/>
              <w:rPr>
                <w:sz w:val="20"/>
              </w:rPr>
            </w:pPr>
            <w:r>
              <w:rPr>
                <w:sz w:val="20"/>
              </w:rPr>
              <w:t>indeferimento da exordial, nos termos do artigo 321, parágrafo único, do CPC. 5- Recurso conhecido e desprovido. (Apelação Cível - 0184727-25.2018.8.06.0001, Rel.</w:t>
            </w:r>
          </w:p>
          <w:p>
            <w:pPr>
              <w:pStyle w:val="TableParagraph"/>
              <w:spacing w:line="208" w:lineRule="auto" w:before="0"/>
              <w:ind w:right="26"/>
              <w:rPr>
                <w:sz w:val="20"/>
              </w:rPr>
            </w:pPr>
            <w:r>
              <w:rPr>
                <w:sz w:val="20"/>
              </w:rPr>
              <w:t>Desembargador(a) PAULO DE TARSO PIRES NOGUEIRA,&lt;/span&gt; &lt;span style="font- size: 12pt; font-family: 'Times New Roman',serif; color: #000000; background-color: transparent; font-weight: 700; font-style: normal; font-variant: normal; text-decoration: none; vertical-align: baseline; white-space: pre-wrap;"&gt;3ª Câmara Direito Privado&lt;/span&gt;&lt;span style="font-size: 12pt; font-family: 'Times New Roman',serif; color: #000000; background- color: transparent; font-weight: 400; font-style: normal; font-variant: normal; text-decoration: none; vertical-align: baseline; white-space: pre-wrap;"&gt;, data do julgamento: 12/03/2025, data da publicação: 12/03/2025).&lt;/span&gt;&lt;/p&gt;&lt;p style="line-height: 1.7999999999999998; margin-left: 113.38582677165354pt; text-align: justify; margin-top: 6pt; margin-bottom: 6pt;" dir="ltr"&gt;&amp;#160;&lt;/p&gt;&lt;p style="line-height: 1.7999999999999998; margin-left: 113.38582677165354pt; text-align: justify; margin-top: 6pt; margin-bottom: 6pt;" dir="ltr"&gt;&lt;span style="font-size: 12pt; font-family: 'Times New Roman',serif; color: #000000; background-color: transparent; font-weight: 400; font-style: normal; font-variant: normal; text-decoration: none; vertical-align: baseline; white-space: pre-wrap;"&gt;EMENTA: DIREITO PROCESSUAL CIVIL. APELAÇÃO CÍVEL. AÇÃO REVISIONAL DE CONTRATO. DECISÃO DETERMINANDO A EMENDA DA EXORDIAL PARA A JUNTADA DO CONTRATO OU PROVA DO REQUERIMENTO ADMINISTRATIVO. INÉRCIA DA PARTE AUTORA. APLICAÇÃO DO ART. 321, CAPUT E PARÁGRAFO ÚNICO DO CPC. RECURSO CONHECIDO E DESPROVIDO. SENTENÇA MANTIDA. I. Caso em exame 1.</w:t>
            </w:r>
          </w:p>
          <w:p>
            <w:pPr>
              <w:pStyle w:val="TableParagraph"/>
              <w:spacing w:line="208" w:lineRule="auto" w:before="0"/>
              <w:ind w:right="53"/>
              <w:rPr>
                <w:sz w:val="20"/>
              </w:rPr>
            </w:pPr>
            <w:r>
              <w:rPr>
                <w:sz w:val="20"/>
              </w:rPr>
              <w:t>Apelação interposta contra sentença que extinguiu o processo sem resolução de mérito, em razão do indeferimento da petição inicial por não ter apresentando o contrato objeto da revisão pretendida ou apresentação de requerimento administrativo dirigido à instituição financeira, com o fim de obter a cédula de crédito que pretende a exibição. II. Questão em discussão. 2. A questão em discussão consiste em definir se a sentença que indeferiu a petição inicial e extinguiu o processo sem resolução de mérito deve ser reformada. III. Razões de decidir 3. O artigo 321 do Código de Processo Civil prevê a possibilidade de emenda à petição inicial quando constatados defeitos sanáveis que dificultem a análise do mérito, sendo direito subjetivo do autor promover sua regularização. O descumprimento </w:t>
            </w:r>
            <w:r>
              <w:rPr>
                <w:spacing w:val="-9"/>
                <w:sz w:val="20"/>
              </w:rPr>
              <w:t>da </w:t>
            </w:r>
            <w:r>
              <w:rPr>
                <w:sz w:val="20"/>
              </w:rPr>
              <w:t>determinação judicial para emenda da inicial autoriza o indeferimento da petição inicial e a consequente extinção do feito sem resolução de mérito. 4. No caso concreto, o juízo de primeiro grau oportunizou à parte autora a emenda da inicial, determinando a juntada do contrato objeto da revisão pleiteada ou prova do requerimento administrativo, mas a parte permaneceu inerte, ensejando a extinção do processo. A decisão que indeferiu o pedido de inversão do ônus da prova não foi impugnada pelo recorrente no momento oportuno, operando-se a preclusão. 5. Diante da inércia do autor e da preclusão da questão probatória, a sentença que extinguiu o processo sem resolução de mérito deve ser mantida. IV. Dispositivo. 6. Recurso conhecido e desprovido. Sentença mantida. (APELAÇÃO CÍVEL - 02816821120248060001, Relator(a): FRANCISCO BEZERRA</w:t>
            </w:r>
          </w:p>
          <w:p>
            <w:pPr>
              <w:pStyle w:val="TableParagraph"/>
              <w:spacing w:line="208" w:lineRule="auto" w:before="0"/>
              <w:ind w:right="73"/>
              <w:rPr>
                <w:sz w:val="20"/>
              </w:rPr>
            </w:pPr>
            <w:r>
              <w:rPr>
                <w:sz w:val="20"/>
              </w:rPr>
              <w:t>CAVALCANTE,&lt;/span&gt; &lt;span style="font-size: 12pt; font-family: 'Times New </w:t>
            </w:r>
            <w:r>
              <w:rPr>
                <w:spacing w:val="-2"/>
                <w:sz w:val="20"/>
              </w:rPr>
              <w:t>Roman',serif; </w:t>
            </w:r>
            <w:r>
              <w:rPr>
                <w:sz w:val="20"/>
              </w:rPr>
              <w:t>color: #000000; background-color: transparent; font-weight: 700; font-style: normal; font- variant: normal; text-decoration: none; vertical-align: baseline; white-space: pre-wrap;"&gt;4ª Câmara de Direito Privado&lt;/span&gt;&lt;span style="font-size: 12pt; font-family: 'Times New Roman',serif; color: #000000; background-color: transparent; font-weight: 400; font-style: normal; font-variant: normal; text-decoration: none; vertical-align: baseline; white-space: pre-wrap;"&gt;, Data do julgamento: 30/07/2025).&lt;/span&gt;&lt;/p&gt;&lt;p style="line-height: 1.7999999999999998; text-indent: 70.86614173228347pt; text-align: justify; margin-top: 6pt; margin-bottom: 6pt;" dir="ltr"&gt;&amp;#160;&lt;/p&gt;&lt;p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47"/>
              <w:rPr>
                <w:sz w:val="20"/>
              </w:rPr>
            </w:pPr>
            <w:r>
              <w:rPr>
                <w:sz w:val="20"/>
              </w:rPr>
              <w:t>&lt;strong&gt;DISPOSITIVO&lt;/strong&gt; &lt;/span&gt;&lt;/p&gt;&lt;p style="line-height: 1.7999999999999998; text-indent: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w:t>
            </w:r>
          </w:p>
          <w:p>
            <w:pPr>
              <w:pStyle w:val="TableParagraph"/>
              <w:spacing w:line="208" w:lineRule="auto" w:before="0"/>
              <w:ind w:right="21"/>
              <w:rPr>
                <w:sz w:val="20"/>
              </w:rPr>
            </w:pPr>
            <w:r>
              <w:rPr>
                <w:sz w:val="20"/>
              </w:rPr>
              <w:t>&lt;strong&gt;Ante o exposto, CONHEÇO o Recurso de Apelação Cível para NEGAR-LHE PROVIMENTO, mantendo incólume a sentença.&lt;/strong&gt; &lt;/span&gt;&lt;/p&gt;&lt;p style="line- height: 1.7999999999999998; text-indent: 70.86614173228347pt; text-align: justify; </w:t>
            </w:r>
            <w:r>
              <w:rPr>
                <w:spacing w:val="-3"/>
                <w:sz w:val="20"/>
              </w:rPr>
              <w:t>margin- </w:t>
            </w:r>
            <w:r>
              <w:rPr>
                <w:sz w:val="20"/>
              </w:rPr>
              <w:t>top: 6pt; margin-bottom: 6pt;" dir="ltr"&gt; &lt;span style="font-size: 12pt; font-family: 'Times New Roman',serif; color: #000000; background-color: transparent; font-weight: 400; font- style: normal; font-variant: normal; text-decoration: none; vertical-align: baseline; white- space: pre-wrap;"&gt;Sem condenação em honorários recursais.&lt;/span&gt; &lt;span style="text- indent: 70.8661pt;"&gt;&amp;#160;&lt;/span&gt;&lt;/p&gt;&lt;p style="line-height: 1.7999999999999998; text- indent: 70.86614173228347pt; text-align: justify; margin-top: 6pt; margin-bottom: 6pt;" dir="ltr"&gt; &lt;span style="font-size: 12pt; font-family: 'Times New Roman',serif; color: #000000; background-color: transparent; font-weight: 400; font-style: normal; font-variant: normal; text-decoration: none; vertical-align: baseline; white-space: pre-wrap;"&gt;É como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3001597-58.2025.8.06.0090</w:t>
            </w:r>
          </w:p>
        </w:tc>
      </w:tr>
      <w:tr>
        <w:trPr>
          <w:trHeight w:val="3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55"/>
              <w:rPr>
                <w:sz w:val="20"/>
              </w:rPr>
            </w:pPr>
            <w:r>
              <w:rPr>
                <w:sz w:val="20"/>
              </w:rPr>
              <w:t>voto.&lt;/span&gt;&lt;/p&gt;&lt;p style="line-height: 1.7999999999999998; text-indent: 70.86614173228347pt; text-align: justify; margin-top: 6pt; margin-bottom: 6pt;" dir="ltr"&gt;</w:t>
            </w:r>
          </w:p>
          <w:p>
            <w:pPr>
              <w:pStyle w:val="TableParagraph"/>
              <w:tabs>
                <w:tab w:pos="1327" w:val="left" w:leader="none"/>
                <w:tab w:pos="5232" w:val="left" w:leader="none"/>
                <w:tab w:pos="7522" w:val="left" w:leader="none"/>
              </w:tabs>
              <w:spacing w:line="208" w:lineRule="auto" w:before="0"/>
              <w:ind w:right="107"/>
              <w:rPr>
                <w:sz w:val="20"/>
              </w:rPr>
            </w:pPr>
            <w:r>
              <w:rPr>
                <w:sz w:val="20"/>
              </w:rPr>
              <w:t>&lt;span style="font-family: &amp;quot;times new roman&amp;quot;, times; font-size: medium; text- indent: 8%;"&gt;Fortaleza/CE, data registrada no sistema.&lt;/span&gt;&lt;/p&gt;&lt;p style="text-indent: 8%; text-align: justify;"&gt;  &lt;span style="font-size: small;"&gt;</w:t>
              <w:tab/>
              <w:t>&lt;span style="font-size: medium;"&gt;</w:t>
              <w:tab/>
              <w:t>&lt;span style="font-family: &amp;quot;times new roman&amp;quot;, times;"&gt;</w:t>
              <w:tab/>
              <w:t>&lt;br</w:t>
            </w:r>
            <w:r>
              <w:rPr>
                <w:spacing w:val="1"/>
                <w:sz w:val="20"/>
              </w:rPr>
              <w:t> </w:t>
            </w:r>
            <w:r>
              <w:rPr>
                <w:spacing w:val="-9"/>
                <w:sz w:val="20"/>
              </w:rPr>
              <w:t>/&gt;</w:t>
            </w:r>
          </w:p>
          <w:p>
            <w:pPr>
              <w:pStyle w:val="TableParagraph"/>
              <w:tabs>
                <w:tab w:pos="985" w:val="left" w:leader="none"/>
                <w:tab w:pos="2682" w:val="left" w:leader="none"/>
                <w:tab w:pos="3995" w:val="left" w:leader="none"/>
                <w:tab w:pos="4963" w:val="left" w:leader="none"/>
                <w:tab w:pos="5920" w:val="left" w:leader="none"/>
              </w:tabs>
              <w:spacing w:line="208" w:lineRule="auto" w:before="0"/>
              <w:ind w:right="49"/>
              <w:rPr>
                <w:sz w:val="20"/>
              </w:rPr>
            </w:pPr>
            <w:r>
              <w:rPr>
                <w:sz w:val="20"/>
              </w:rPr>
              <w:t>&lt;/span&gt;</w:t>
              <w:tab/>
              <w:t>&lt;/span&gt; &lt;/span&gt;&lt;/p&gt;&lt;p style="text-indent: 8%; text-align: center;"&gt; &lt;span style="font-size: medium;"&gt;</w:t>
              <w:tab/>
              <w:t>&lt;strong style="font-size: small;"&gt;</w:t>
              <w:tab/>
              <w:t>&lt;span style="font-family: &amp;quot;times new roman&amp;quot;, times;"&gt;</w:t>
              <w:tab/>
              <w:t>&lt;br /&gt;</w:t>
              <w:tab/>
              <w:t>&lt;span style="font-size: 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Revisão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ANGRIA MESQUITA DA SILVA AVILA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CAIO VINNICIUS DE LIMA DA SILVA - (PE50608)</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MARCOS ANTONIO AVILA DE MESQUITA JUNIOR</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OLGA PAIVA BEZERRA - (CE33397-A)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&lt;strong&gt;PROCESSO&lt;/strong&gt;:&amp;#160;0624433-06.2025.8.06.0000 -&amp;#160;AGRAVO DE</w:t>
            </w:r>
          </w:p>
          <w:p>
            <w:pPr>
              <w:pStyle w:val="TableParagraph"/>
              <w:tabs>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ANGRIA MESQUITA DA SILVA AVILA&lt;/span&gt; &lt;/span&gt;&lt;/p&gt;&lt;p&gt; &lt;span style="font-size: small;"&gt;</w:t>
            </w:r>
          </w:p>
          <w:p>
            <w:pPr>
              <w:pStyle w:val="TableParagraph"/>
              <w:tabs>
                <w:tab w:pos="1683" w:val="left" w:leader="none"/>
                <w:tab w:pos="7767" w:val="left" w:leader="none"/>
              </w:tabs>
              <w:spacing w:line="208" w:lineRule="auto" w:before="0"/>
              <w:ind w:right="91"/>
              <w:rPr>
                <w:sz w:val="20"/>
              </w:rPr>
            </w:pPr>
            <w:r>
              <w:rPr>
                <w:sz w:val="20"/>
              </w:rPr>
              <w:t>&lt;span style="font-family: &amp;quot;times new roman&amp;quot;, times;"&gt;AGRAVADO: MARCOS ANTONIO AVILA DE MESQUITA JUNIOR&lt;/span&gt; &lt;/span&gt;&lt;/p&gt;&lt;p&gt; &lt;span style="font- size: medium;"&gt;</w:t>
              <w:tab/>
              <w:t>&lt;span style="font-family: &amp;quot;times new roman&amp;quot;, times;"&gt;</w:t>
              <w:tab/>
            </w:r>
            <w:r>
              <w:rPr>
                <w:spacing w:val="-6"/>
                <w:sz w:val="20"/>
              </w:rPr>
              <w:t>&lt;br</w:t>
            </w:r>
          </w:p>
          <w:p>
            <w:pPr>
              <w:pStyle w:val="TableParagraph"/>
              <w:tabs>
                <w:tab w:pos="434" w:val="left" w:leader="none"/>
              </w:tabs>
              <w:spacing w:line="208" w:lineRule="auto" w:before="0"/>
              <w:ind w:right="270"/>
              <w:rPr>
                <w:sz w:val="20"/>
              </w:rPr>
            </w:pPr>
            <w:r>
              <w:rPr>
                <w:sz w:val="20"/>
              </w:rPr>
              <w:t>/&gt;</w:t>
              <w:tab/>
              <w:t>&lt;/span&gt; &lt;/span&gt;&lt;/p&gt;&lt;p style="line-height: 1.38; text-align: justify; margin-top: 0pt; margin-bottom: 0pt;" dir="ltr"&gt; &lt;span style="font-size: 12pt; font-family: 'Times New Roman',serif; color: #000000; background-color: transparent; font-weight: 700; font-style: normal; font-variant: normal; text-decoration: none; vertical-align: baseline; white-space: pre-wrap;"&gt;AGRAVO DE INSTRUMENTO. AÇÃO REVISIONAL DE ALIMENTOS. PEDIDO DE MAJORAÇÃO. AUSÊNCIA DO REQUISITO DE PROBABILIDADE DO DIREITO. NECESSIDADE DE AGUARDAR A INSTRUÇÃO PROBATÓRIA. RECURSO</w:t>
            </w:r>
          </w:p>
          <w:p>
            <w:pPr>
              <w:pStyle w:val="TableParagraph"/>
              <w:tabs>
                <w:tab w:pos="1939" w:val="left" w:leader="none"/>
              </w:tabs>
              <w:spacing w:line="208" w:lineRule="auto" w:before="0"/>
              <w:ind w:right="20"/>
              <w:rPr>
                <w:sz w:val="20"/>
              </w:rPr>
            </w:pPr>
            <w:r>
              <w:rPr>
                <w:sz w:val="20"/>
              </w:rPr>
              <w:t>CONHECIDO E NÃO PROVIDO.&lt;/span&gt;&lt;/p&gt;&lt;p style="line-height: 1.38; text-align: justify; margin-top: 0pt; margin-bottom: 0pt;"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w:t>
              <w:tab/>
              <w:t>&lt;br /&gt; &lt;/span&gt;&lt;/p&gt;&lt;p style="line-height: 1.38; text-align: justify; margin-top: 0pt; margin-bottom: 0pt;"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pre-wrap;"&gt;Caso em exame:&lt;/span&gt;&lt;/p&gt;&lt;p style="line-height: 1.38; text-align: justify; margin-top: 0pt; margin-bottom: 0pt;" dir="ltr"&gt; &lt;span style="font-size: 12pt; font- family: 'Times New Roman',serif; color: #000000; background-color: transparent; font- weight: 400; font-style: normal; font-variant: normal; text-decoration: none; vertical-align: baseline; white-space: pre-wrap;"&gt;1. Trata-se de Agravo de Instrumento interposto por M.</w:t>
            </w:r>
          </w:p>
          <w:p>
            <w:pPr>
              <w:pStyle w:val="TableParagraph"/>
              <w:tabs>
                <w:tab w:pos="1294" w:val="left" w:leader="none"/>
              </w:tabs>
              <w:spacing w:line="208" w:lineRule="auto" w:before="0"/>
              <w:ind w:right="79"/>
              <w:rPr>
                <w:sz w:val="20"/>
              </w:rPr>
            </w:pPr>
            <w:r>
              <w:rPr>
                <w:sz w:val="20"/>
              </w:rPr>
              <w:t>A. M. e E. A. M., representados por sua genitora, contra decisão proferida pelo Juízo da </w:t>
            </w:r>
            <w:r>
              <w:rPr>
                <w:spacing w:val="-9"/>
                <w:sz w:val="20"/>
              </w:rPr>
              <w:t>5ª </w:t>
            </w:r>
            <w:r>
              <w:rPr>
                <w:sz w:val="20"/>
              </w:rPr>
              <w:t>Vara da Família da Comarca de Fortaleza/CE, que indeferiu o pedido de majoração dos alimentos provisórios, ao fundamento de que não restou comprovada, naquele momento processual, alteração na possibilidade do alimentante ou na necessidade dos alimentandos.&lt;/span&gt;&lt;/p&gt;&lt;p style="line-height: 1.38; text-align: justify; margin-top: 0pt; margin-bottom: 0pt;" dir="ltr"&gt; &lt;span style="font-size: 12pt; font-family: 'Times New Roman',serif; color: #000000; background-color: transparent; font-weight: 400; font-style: normal; font-variant: normal; text-decoration: none; vertical-align: baseline; white-space: pre-wrap;"&gt;</w:t>
              <w:tab/>
              <w:t>&lt;br /&gt; &lt;/span&gt;&lt;/p&gt;&lt;p style="line-height: 1.38; text-align: justify; margin-top: 0pt; margin-bottom: 0pt;" dir="ltr"&gt; &lt;span style="font-size: 12pt; font-family: 'Times New Roman',serif; color: #000000; background-color: transparent; font-weight: 700; font-style: normal; font-variant: normal; text-decoration: none; vertical-align: baseline; white-space: pre-wrap;"&gt;Questão em discussão:&lt;/span&gt;&lt;/p&gt;&lt;p style="line-height: 1.38; text-align: justify; margin-top: 0pt; margin-bottom: 0pt;" dir="ltr"&gt; &lt;span style="font-size: 12pt;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family: 'Times New Roman',serif; color: #000000; background-color: transparent; font- weight: 400; font-style: normal; font-variant: normal; text-decoration: none; vertical-align: baseline; white-space: pre-wrap;"&gt;2. A controvérsia recursal restringe-se à verificação da correção da decisão que manteve os alimentos anteriormente fixados, sustentando a parte agravante a necessidade de sua majoração e a concessão de liminar para antecipar tal aumento.&lt;/span&gt;&lt;/p&gt;&lt;p style="line-height: 1.38; text-align: justify; margin-top: 0pt; margin- bottom: 0pt;" dir="ltr"&gt;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99"/>
              <w:rPr>
                <w:sz w:val="20"/>
              </w:rPr>
            </w:pPr>
            <w:r>
              <w:rPr>
                <w:sz w:val="20"/>
              </w:rPr>
              <w:t>&lt;br /&gt; &lt;/span&gt;&lt;/p&gt;&lt;p style="line-height: 1.38; text-align: justify; margin-top: 0pt; margin- bottom: 0pt;" dir="ltr"&gt; &lt;span style="font-size: 12pt; font-family: 'Times New Roman',serif; color: #000000; background-color: transparent; font-weight: 700; font-style: normal; font- variant: normal; text-decoration: none; vertical-align: baseline; white-space: pre- wrap;"&gt;Razões de decidir:&lt;/span&gt;&lt;/p&gt;&lt;p style="line-height: 1.38; text-align: justify; margin-top: 0pt; margin-bottom: 0pt;" dir="ltr"&gt; &lt;span style="font-size: 12pt; font-family: 'Times New Roman',serif; color: #000000; background-color: transparent; font-weight: 400;</w:t>
            </w:r>
          </w:p>
          <w:p>
            <w:pPr>
              <w:pStyle w:val="TableParagraph"/>
              <w:spacing w:line="208" w:lineRule="auto" w:before="0"/>
              <w:ind w:right="20"/>
              <w:rPr>
                <w:sz w:val="20"/>
              </w:rPr>
            </w:pPr>
            <w:r>
              <w:rPr>
                <w:sz w:val="20"/>
              </w:rPr>
              <w:t>font-style: normal; font-variant: normal; text-decoration: none; vertical-align: baseline; white- space: pre-wrap;"&gt;3. Nos termos do art. 300 do CPC, a concessão de tutela de urgência exige a demonstração cumulativa da probabilidade do direito e do perigo de dano, o que não se verifica na hipótese.&lt;/span&gt;&lt;/p&gt;&lt;p style="line-height: 1.38; text-align: justify; margin-top: 0pt; margin-bottom: 0pt;" dir="ltr"&gt; &lt;span style="font-size: 12pt; font-family: 'Times New Roman',serif; color: #000000; background-color: transparent; font-weight: 400; font-style: normal; font-variant: normal; text-decoration: none; vertical-align: baseline; white- space: pre-wrap;"&gt;4. A obrigação alimentar deve ser fixada de modo proporcional às necessidades do alimentando e às possibilidades do alimentante, conforme dispõe o art.</w:t>
            </w:r>
          </w:p>
          <w:p>
            <w:pPr>
              <w:pStyle w:val="TableParagraph"/>
              <w:tabs>
                <w:tab w:pos="1294" w:val="left" w:leader="none"/>
              </w:tabs>
              <w:spacing w:line="208" w:lineRule="auto" w:before="0"/>
              <w:ind w:right="42"/>
              <w:rPr>
                <w:sz w:val="20"/>
              </w:rPr>
            </w:pPr>
            <w:r>
              <w:rPr>
                <w:sz w:val="20"/>
              </w:rPr>
              <w:t>1.694, §1º, do Código Civil, cabendo sua revisão apenas diante de comprovada modificação dessas circunstâncias (art. 1.699 do CC).&lt;/span&gt;&lt;/p&gt;&lt;p style="line-height: 1.38; text-align: justify; margin-top: 0pt; margin-bottom: 0pt;" dir="ltr"&gt;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pre-wrap;"&gt;5. No caso concreto, os elementos trazidos aos autos na fase inicial não foram suficientes para demonstrar alteração da capacidade econômica do alimentante, nem o aumento das necessidades dos alimentandos, tornando indispensável a instrução probatória no processo principal.&lt;/span&gt;&lt;/p&gt;&lt;p style="line-height: 1.38; text-align: justify; margin-top: 0pt; margin- bottom: 0pt;" dir="ltr"&gt; &lt;span style="font-size: 12pt; font-family: 'Times New Roman',serif; color: #000000; background-color: transparent; font-weight: 400; font-style: normal; font- variant: normal; text-decoration: none; vertical-align: baseline; white-space: pre-wrap;"&gt;6. Ressalta-se, ainda, que a decisão recorrida é de natureza provisória e pode ser revista a qualquer tempo, após a devida dilação probatória sob o crivo do contraditório.&lt;/span&gt;&lt;/p&gt;&lt;p style="line-height: 1.38; text-align: justify; margin-top: 0pt; margin-bottom: 0pt;" dir="ltr"&gt; &lt;span style="font-size: 12pt; font-family: 'Times New Roman',serif; color: #000000; background-color: transparent; font-weight: 400; font-style: normal; font-variant: normal; text-decoration: none; vertical-align: baseline; white-space: pre-wrap;"&gt;</w:t>
              <w:tab/>
              <w:t>&lt;br /&gt; &lt;/span&gt;&lt;/p&gt;&lt;p style="line-height: 1.38; text-align: justify; margin-top: 0pt; margin-bottom: 0pt;" dir="ltr"&gt; &lt;span style="font-size: 12pt; font-family: 'Times New Roman',serif; color: #000000; background-color: transparent; font-weight: 700; font-style: normal; font-variant: normal; text-decoration: none; vertical-align: baseline; white-space: pre-wrap;"&gt;Dispositivo:&lt;/span&gt;&lt;/p&gt;&lt;p style="line-height: 1.38; text-align: justify; margin- top: 0pt; margin-bottom: 0pt;" dir="ltr"&gt; &lt;span style="font-size: 12pt; font-family: 'Times New Roman',serif; color: #000000; background-color: transparent; font-weight: 400; font- style: normal; font-variant: normal; text-decoration: none; vertical-align: baseline; white- space: pre-wrap;"&gt;7. Agravo de instrumento conhecido e não provido. Decisão de primeiro grau mantida.&lt;/span&gt;&lt;/p&gt;&lt;p style="line-height: 1.7999999999999998; text-indent: 2pt; text-align: justify; margin-top: 12pt; margin-bottom: 8pt;" dir="ltr"&gt; &lt;span style="font-size: 12pt; font-family: 'Times New Roman',serif; color: #000000; background-color: transparent; font-weight: 700; font-style: normal; font-variant: normal; text-decoration: none; vertical- align: baseline; white-space: pre-wrap;"&gt;&amp;#160;&lt;/span&gt;&lt;/p&gt;&lt;p style="line-height: 2.4; text- align: center; margin-top: 12pt; margin-bottom: 12pt;" dir="ltr"&gt; &lt;span style="font-size: 13.999999999999998pt; font-family: 'Times New Roman',serif; color: #000000;</w:t>
            </w:r>
          </w:p>
          <w:p>
            <w:pPr>
              <w:pStyle w:val="TableParagraph"/>
              <w:spacing w:line="208" w:lineRule="auto" w:before="0"/>
              <w:ind w:right="163"/>
              <w:rPr>
                <w:sz w:val="20"/>
              </w:rPr>
            </w:pPr>
            <w:r>
              <w:rPr>
                <w:sz w:val="20"/>
              </w:rPr>
              <w:t>background-color: transparent; font-weight: 700; font-style: normal; font-variant: normal; text-decoration: none; vertical-align: baseline; white-space: pre- wrap;"&gt;ACÓRDÃO&lt;/span&gt;&lt;/p&gt;&lt;p style="line-height: 1.38; text-align: center; margin-top: 1pt; margin-bottom: 12pt;" dir="ltr"&gt; &lt;span style="font-size: 13.999999999999998pt; font- family: 'Times New Roman',serif; color: #000000; background-color: transparent; font- weight: 700; font-style: normal; font-variant: normal; text-decoration: none; vertical-align: baseline; white-space: pre-wrap;"&gt;&amp;#160;&lt;/span&gt;&lt;/p&gt;&lt;p style="line-height: 1.7999999999999998; text-indent: 71pt; text-align: justify; margin-top: 6pt; margin-bottom: 12pt;" dir="ltr"&gt;&lt;span style="font-size: 12pt; font-family: 'Times New Roman',serif; color: #000000; background-color: transparent; font-weight: 400; font-style: normal;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normal; text-decoration: none; vertical-align: baseline; white-space: pre-wrap;"&gt;Vistos, relatados e discutidos esses autos, acorda a Quinta Câmara de Direito Privado do Egrégio Tribunal de Justiça do Ceará, por unanimidade, em&lt;/span&gt; &lt;span style="font-size: 12pt; font-family: 'Times New Roman',serif; color: #000000; background-color: transparent; font- weight: 700; font-style: normal; font-variant: normal; text-decoration: none; vertical-align: baseline; white-space: pre-wrap;"&gt;CONHECER&lt;/span&gt; &lt;span style="font-size: 12pt; font- family: 'Times New Roman',serif; color: #000000; background-color: transparent; font- weight: 400; font-style: normal; font-variant: normal; text-decoration: none; vertical-align: baseline; white-space: pre-wrap;"&gt;e&lt;/span&gt;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pre-wrap;"&gt;NEGAR PROVIMENTO&lt;/span&gt; &lt;span style="font-size: 12pt; font- family: 'Times New Roman',serif; color: #000000; background-color: transparent; font- weight: 400; font-style: normal; font-variant: normal; text-decoration: none; vertical-align: baseline; white-space: pre-wrap;"&gt;ao presente agravo de instrumento, em conformidade com o voto do Relator.&lt;/span&gt;&lt;/p&gt;&lt;p style="line-height: 1.7999999999999998; text- indent: 71pt; text-align: justify; margin-top: 6pt; margin-bottom: 12pt;" dir="ltr"&gt; &lt;span style="font-size: 12pt; font-family: 'Times New Roman',serif; color: #000000; background- color: transparent; font-weight: 400; font-style: normal; font-variant: normal; text-decoration: none; vertical-align: baseline; white-space: pre-wrap;"&gt;Fortaleza, data registrada no sistema.&lt;/span&gt;&lt;/p&gt;&lt;p style="line-height: 1.7999999999999998; text-align: center;</w:t>
            </w:r>
          </w:p>
          <w:p>
            <w:pPr>
              <w:pStyle w:val="TableParagraph"/>
              <w:spacing w:line="208" w:lineRule="auto" w:before="0"/>
              <w:ind w:right="20"/>
              <w:rPr>
                <w:sz w:val="20"/>
              </w:rPr>
            </w:pPr>
            <w:r>
              <w:rPr>
                <w:sz w:val="20"/>
              </w:rPr>
              <w:t>margin-top: 12pt; margin-bottom: 12pt;"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pre-wrap;"&gt;&amp;#160;&lt;/span&gt;&lt;/p&gt;&lt;p style="line-height: 1.7999999999999998; text- align: center; margin-top: 12pt; margin-bottom: 12pt;" dir="ltr"&gt;  &lt;span style="font-size: 12pt; font-family: 'Times New Roman',serif; color: #000000; background-color: transparent; font-weight: 700; font-style: normal; font-variant: normal; text-decoration: none; vertical- align: baseline; white-space: pre-wrap;"&gt;MARIA REGINA OLIVEIRA CÂMARA&lt;/span&gt;&lt;/p&gt;&lt;p style="line-height: 1.7999999999999998; text-align: center;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pre-wrap;"&gt;Presidente do Órgão Julgador&lt;/span&gt;&lt;/p&gt;&lt;p style="line-height: 1.7999999999999998; text-align: center;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700; font-style: normal; font-variant: normal; text-decoration: none; vertical-align: baseline; white-space: pre- wrap;"&gt;&amp;#160;&lt;/span&gt;&lt;/p&gt;&lt;p style="line-height: 1.7999999999999998; text-align: center; margin-top: 12pt; margin-bottom: 12pt;" dir="ltr"&gt; &lt;span style="font-size: 12pt; font-family: 'Times New Roman',serif; color: #000000; background-color: transparent; font-weight: 700; font-style: normal; font-variant: normal; text-decoration: none; vertical-align: baseline; white- space: pre-wrap;"&gt;FRANCISCO LUCÍDIO DE QUEIROZ JÚNIOR&lt;/span&gt;&lt;/p&gt;&lt;p style="line-height: 1.7999999999999998; text-align: center; margin-top: 12pt; margin- bottom: 12pt;" dir="ltr"&gt; &lt;span style="font-size: 12pt; font-family: 'Times New Roman',serif; color: #000000; background-color: transparent; font-weight: 400; font-style: normal; font- variant: normal; text-decoration: none; vertical-align: baseline; white-space: pre- wrap;"&gt;&amp;#160;Desembargador Relator&lt;/span&gt;&lt;/p&gt;&lt;p style="line-height: 1.7999999999999998; text-indent: 2pt; text-align: justify; margin-top: 12pt; margin-bottom: 8pt;" dir="ltr"&gt; &lt;span style="font-size: 12pt; font-family: 'Times New Roman',serif; color: #000000; background-color: transparent; font-weight: 700; font-style: normal; font-variant: normal; text-decoration: none; vertical-align: baseline; white-space: pre- wrap;"&gt;&amp;#160;&lt;/span&gt;&lt;/p&gt;&lt;p style="line-height: 1.7999999999999998; text-indent: 2pt; text-align: center; margin-top: 12pt; margin-bottom: 8pt;" dir="ltr"&gt; &lt;span style="font-size: 12pt; font-family: 'Times New Roman',serif; color: #000000; background-color: transparent; font-weight: 700; font-style: normal; font-variant: normal; text-decoration: none; vertical- align: baseline; white-space: pre-wrap;"&gt;&amp;#160;&lt;/span&gt;&lt;/p&gt;&lt;p style="line-height: 1.7999999999999998; text-indent: 2pt; text-align: center; margin-top: 12pt; margin-bottom: 8pt;" dir="ltr"&gt; &lt;span style="font-size: 12pt; font-family: 'Times New Roman',serif; color: #000000; background-color: transparent; font-weight: 700; font-style: normal; font-variant: normal; text-decoration: none; vertical-align: baseline; white-space: pre- wrap;"&gt;RELATÓRIO&lt;/span&gt;&lt;/p&gt;&lt;p style="text-align: justify; font-family: &amp;quot;Times New Roman&amp;quot;; font-size: medium; line-height: 1.8; text-indent: 56.6929pt; margin-top: 12pt; margin-bottom: 8pt;"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preserve;"&gt;Trata- se de&lt;/span&gt; &lt;span style="font-size: 12pt; font-family: &amp;quot;Times New Roman&amp;quot;, serif; background-color: transparent; font-variant-numeric: normal; font-variant-east-asian: normal; font-variant-alternates: normal; font-variant-position: normal; font-variant-emoji: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normal; vertical-align: baseline; white-space-collapse: preserve;"&gt; &lt;strong&gt;Agravo de Instrumento&lt;/strong&gt;&lt;/span&gt;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preserve;"&gt;interposto por&lt;/span&gt; &lt;span style="font-size: 12pt;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preserve;"&gt;M. A. M. e E. A. M., representados por ANGRIA MESQUITA DA SILVA AVILA,&lt;/span&gt;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preserve;"&gt;em face de&lt;/span&gt; &lt;span style="font-size: 12pt; font-family: &amp;quot;Times New Roman&amp;quot;, serif; background-color: transparent; font-style: italic; font-variant-numeric: normal; font- variant-east-asian: normal; font-variant-alternates: normal; font-variant-position: normal; font-variant-emoji: normal; vertical-align: baseline; white-space-collapse: preserve;"&gt;decisum&lt;/span&gt;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preserve;"&gt;proferido pelo Juízo da&lt;/span&gt;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preserve;"&gt;5ª&lt;/span&gt;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preserve;"&gt;Vara da Família da Comarca de Fortaleza/CE&lt;/span&gt;&lt;span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 nos autos de nº&lt;/span&gt;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preserve;"&gt;0207068-98.2025.8.06.0001.&lt;/span&gt;&lt;/p&gt;&lt;p style="text-align: justify; font- family: &amp;quot;Times New Roman&amp;quot;; font-size: medium; line-height: 1.8; text-indent: 56.6929pt; margin-top: 12pt; margin-bottom: 8pt;" dir="ltr"&gt;&lt;span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preserve;"&gt;O&lt;/span&gt;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 &lt;strong&gt;recurso impugna decisão interlocutória&lt;/strong&gt;&lt;/span&gt;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preserve;"&gt;(id. 166014571 do processo de origem) que&lt;/span&gt;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 &lt;strong&gt;denegou a majoração de alimentos&lt;/strong&gt;&lt;/span&gt;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preserve;"&gt;nos autos de&lt;/span&gt; &lt;span style="font-size: 12pt;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preserve;"&gt;ação de revisão de alimentos&lt;/span&gt; &lt;span style="font-size: 12pt; font-family: &amp;quot;Times New Roman&amp;quot;, serif; background-color: transparent; font- variant-numeric: normal; font-variant-east-asian: normal; font-variant-alternates: normal; font-variant-position: normal; font-variant-emoji: normal; vertical-align: baseline; 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8"/>
              <w:rPr>
                <w:sz w:val="20"/>
              </w:rPr>
            </w:pPr>
            <w:r>
              <w:rPr>
                <w:sz w:val="20"/>
              </w:rPr>
              <w:t>space-collapse: preserve;"&gt;por não verificar a prova, naquele momento processual inicial, de mudança da possibilidade do alimentante e da necessidade dos alimentados.&lt;/span&gt;&lt;/p&gt;&lt;p style="text-align: justify; font-family: &amp;quot;Times New Roman&amp;quot;; font-size: medium; line-height: 1.8; text-indent: 56.6929pt; margin-top: 12pt; margin-bottom: 8pt;"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preserve;"&gt;Em suas&lt;/span&gt; &lt;span style="font-size: 12pt; font-family: &amp;quot;Times New Roman&amp;quot;, serif; background-color: transparent; font-weight: 700; font-variant-numeric: normal; font- variant-east-asian: normal; font-variant-alternates: normal; font-variant-position: normal; font-variant-emoji: normal; vertical-align: baseline; white-space-collapse: preserve;"&gt;razões&lt;/span&gt;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preserve;"&gt;de id. 25188676, a agravante sustenta a necessidade de reforma da decisão, para que sejam majorados os alimentos anteriormente fixados, assim como pleiteou a concessão de liminar antecipando tal majoração.&lt;/span&gt;&lt;/p&gt;&lt;p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preserve;"&gt;Apreciando o&lt;/span&gt; &lt;span style="font-size: 12pt; font-family: &amp;quot;Times New Roman&amp;quot;, serif; background-color: transparent; font-weight: 700; font-variant- numeric: normal; font-variant-east-asian: normal; font-variant-alternates: normal; font- variant-position: normal; font-variant-emoji: normal; vertical-align: baseline; white-space- collapse: preserve;"&gt;pedido de efeito suspensivo/ tutela antecipada recursal&lt;/span&gt;&lt;span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 esta relatoria decidiu pelo&lt;/span&gt;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preserve;"&gt;indeferimento&lt;/span&gt; &lt;span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preserve;"&gt;(id. 27146476).&lt;/span&gt;&lt;/p&gt;&lt;p style="text-align: justify; font-family: &amp;quot;Times New Roman&amp;quot;; font-size: medium; line-height: 1.8;</w:t>
            </w:r>
          </w:p>
          <w:p>
            <w:pPr>
              <w:pStyle w:val="TableParagraph"/>
              <w:spacing w:line="208" w:lineRule="auto" w:before="0"/>
              <w:ind w:right="76"/>
              <w:rPr>
                <w:sz w:val="20"/>
              </w:rPr>
            </w:pPr>
            <w:r>
              <w:rPr>
                <w:sz w:val="20"/>
              </w:rPr>
              <w:t>text-indent: 56.6929pt; margin-top: 12pt; margin-bottom: 12pt;" dir="ltr"&gt;&lt;span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preserve;"&gt;Intimado para&lt;/span&gt; &lt;span style="font-size: 12pt; font-family: &amp;quot;Times New Roman&amp;quot;, serif; background-color: transparent; font-weight: 700; font-variant-numeric: normal; font-variant-east-asian: normal; font-variant- alternates: normal; font-variant-position: normal; font-variant-emoji: normal; vertical-align: baseline; white-space-collapse: preserve;"&gt;contrarrazões&lt;/span&gt;&lt;span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 o agravado apresentou manifestação em id. 28717297, pugnando pela manutenção da decisão interlocutória.&lt;/span&gt;&lt;/p&gt;&lt;p style="text-align: justify; font-family: &amp;quot;Times New Roman&amp;quot;; font-size: medium; line-height: 1.8; text-indent: 56.6929pt; margin-top: 12pt; margin-bottom: 12pt;" dir="ltr"&gt;&lt;span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preserve;"&gt;Em parecer, a&lt;/span&gt; &lt;span style="font-size: 12pt; font-family: &amp;quot;Times New Roman&amp;quot;, serif; background-color: transparent; font-weight: 700; font-variant-numeric: normal; font-variant-east-asian: normal; font-variant- alternates: normal; font-variant-position: normal; font-variant-emoji: normal; vertical-align: baseline; white-space-collapse: preserve;"&gt;Douta Procuradoria Geral de Justiça&lt;/span&gt;</w:t>
            </w:r>
          </w:p>
          <w:p>
            <w:pPr>
              <w:pStyle w:val="TableParagraph"/>
              <w:spacing w:line="208" w:lineRule="auto" w:before="0"/>
              <w:ind w:right="420"/>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preserve;"&gt;se posicionou pelo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0"/>
              <w:rPr>
                <w:sz w:val="20"/>
              </w:rPr>
            </w:pPr>
            <w:r>
              <w:rPr>
                <w:sz w:val="20"/>
              </w:rPr>
              <w:t>conhecimento e não provimento do agravo de instrumento (id. 29097937).&lt;/span&gt;&lt;/p&gt;&lt;p style="text-align: justify; font-family: &amp;quot;Times New Roman&amp;quot;; font-size: medium; line-height: 1.8; text-indent: 56.6929pt; margin-top: 12pt; margin-bottom: 12pt;" dir="ltr"&gt;</w:t>
            </w:r>
          </w:p>
          <w:p>
            <w:pPr>
              <w:pStyle w:val="TableParagraph"/>
              <w:spacing w:line="208" w:lineRule="auto" w:before="0"/>
              <w:ind w:right="39"/>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preserve;"&gt;É o relatório.&lt;/span&gt;&lt;/p&gt;&lt;p style="line-height: 1.7999999999999998; text-indent: 2pt; text- align: center; margin-top: 12pt; margin-bottom: 7pt;" dir="ltr"&gt; &lt;span style="font-size: 12pt; font-family: 'Times New Roman',serif; color: #000000; background-color: transparent; font- weight: 700; font-style: normal; font-variant: normal; text-decoration: none; vertical-align: baseline; white-space: pre-wrap;"&gt;VOTO&lt;/span&gt;&lt;/p&gt;&lt;p style="line-height: 1.7999999999999998; text-indent: 54pt; text-align: justify; margin-top: 12pt; margin-bottom: 12pt;" dir="ltr"&gt; &lt;span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98"/>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4"/>
                <w:sz w:val="20"/>
              </w:rPr>
              <w:t>text- </w:t>
            </w:r>
            <w:r>
              <w:rPr>
                <w:sz w:val="20"/>
              </w:rPr>
              <w:t>decoration: underline;"&gt;1. Admissibilidade recursal.&lt;/span&gt;&lt;/p&gt;&lt;p style="line-height: 1.7999999999999998; text-indent: 56.692913385826756pt; text-align: justify; margin-top: 12pt; margin-bottom: 0pt;" dir="ltr"&gt; &lt;span style="font-size: 12pt; font-family: 'Times New Roman',serif; color: #000000; background-color: transparent; font-weight: 400; font-style: normal; font-variant: normal; text-decoration: none; vertical-align: baseline; white-space: pre-wrap;"&gt;Exercendo o juízo de admissibilidade recursal, constato a presença dos requisitos de admissibilidade extrínsecos e intrínsecos, pelo que conheço do recurso e passo à análise do mérito.&lt;/span&gt;&lt;/p&gt;&lt;p style="line-height: 1.7999999999999998; text- indent: 56.692913385826756pt; text-align: justify; margin-top: 1pt; margin-bottom: 12pt;" dir="ltr"&gt; &lt;span style="font-size: 12pt; font-family: &amp;quot;Times New Roman&amp;quot;, serif; color: #000000; background-color: transparent; font-weight: 700; font-style: normal; font- variant: normal; text-decoration-skip-ink: none; vertical-align: baseline; white-space: pre- wrap; text-decoration: underline;"&gt;2. Mérito&lt;/span&gt;&lt;/p&gt;&lt;p style="line-height: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pre-wrap;"&gt;A questão em discussão consiste em verificar a correção da decisão que fixou alimentos provisórios, buscando a agravante a majoração destes.&lt;/span&gt;&lt;/p&gt;&lt;p style="line-height: 1.7999999999999998; text-indent: 56.692913385826756pt; text-align: justify; margin-top: 1pt; margin-bottom: 12pt;" dir="ltr"&gt; &lt;span style="font-size: 12pt; font- family: 'Times New Roman',serif; color: #000000; background-color: transparent; font- weight: 400; font-style: normal; font-variant: normal; text-decoration: none; vertical-align: baseline; white-space: pre-wrap;"&gt;Inicialmente, ressalta-se que dada a natureza do provimento jurisdicional que se busca com o presente recurso de agravo de instrumento, inviável qualquer discussão acerca do mérito da causa, limitada à manutenção ou não, da decisão atacada.&lt;/span&gt;&lt;/p&gt;&lt;p style="line-height: 1.7999999999999998; text-indent: 56.692913385826756pt; text-align: justify; margin-top: 1pt;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pre-wrap;"&gt;Conforme dispõe o artigo 300 do CPC, para a concessão de tutela de urgência, é necessário que sejam demonstrados, ainda que de forma superficial, os requisitos cumulativos da probabilidade do direito alegado e o perigo de dano ou o risco ao resultado útil do processo.&lt;/span&gt;&lt;/p&gt;&lt;p style="line-height: 1.7999999999999998; text-indent: 56.692913385826756pt; text-align: justify; margin-top: 1pt; margin-bottom: 12pt;" dir="ltr"&gt;&lt;span style="font-size: 12pt; font-family: 'Times New Roman',serif; color: #000000; background-color: transparent; font-weight: 400; font-style: normal; font-variant: normal; text-decoration: none; vertical-align: baseline; white-space: pre-wrap;"&gt;Analisando os argumentos contidos nas razões recursais, cotejando-os com os fundamentos da decisão interlocutória agravada e a manifestação do&lt;/span&gt; &lt;span style="font-size: 12pt; font- family: 'Times New Roman',serif; color: #000000; background-color: transparent; font- weight: 400; font-style: italic; font-variant: normal; text-decoration: none; vertical-align: baseline; white-space: pre-wrap;"&gt;Parquet&lt;/span&gt;&lt;span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considero que não assiste razão à parte agravante.&lt;/span&gt;&lt;/p&gt;&lt;p style="line-height: 1.7999999999999998; text-indent: 56.692913385826756pt; text-align: justify; margin-top: 1pt; margin-bottom: 12pt;" dir="ltr"&gt; &lt;span style="font-size: 12pt;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family: 'Times New Roman',serif; color: #000000; background-color: transparent; font- weight: 400; font-style: normal; font-variant: normal; text-decoration: none; vertical-align: baseline; white-space: pre-wrap;"&gt;Na linha do pontuado na decisão interlocutória desta relatoria, na análise do pedido incipiente de tutela antecipada para revisar os alimentos anteriormente fixados, ainda não se formara o contraditório acerca das atuais condições econômicas do agravado, com suficiente instrução do feito.&lt;/span&gt;&lt;/p&gt;&lt;p style="line- 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pre-wrap;"&gt;É sabido que a obrigação alimentar tem por finalidade assegurar ao alimentando os meios necessários à sua manutenção, compreendida em sentido amplo, de modo a garantir-lhe condições dignas de subsistência. O valor da pensão deve atender às necessidades básicas do alimentando, observados os padrões e as possibilidades econômicas da família.&lt;/span&gt;&lt;/p&gt;&lt;p style="line-height: 1.7999999999999998; text- 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pre-wrap;"&gt;Em síntese, a fixação dos alimentos deve observar a proporcionalidade entre as necessidades do beneficiário e os recursos do alimentante, cabendo ao prudente arbítrio do magistrado estabelecer um parâmetro equitativo conforme as particularidades do caso concreto, nos termos do art. 1.694, §1º, do Código Civil.&lt;/span&gt;&lt;/p&gt;&lt;p style="line-height: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pre-wrap;"&gt;Uma vez fixados os alimentos, como já ocorreu na situação fática sob análise, sua posterior revisão demanda a modificação da situação financeira de quem os supre ou de quem os necessita, conforme art. 1.699, do Código Civil.&lt;/span&gt;&lt;/p&gt;&lt;p style="line- height: 1.7999999999999998; text-indent: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pre-wrap;"&gt;Ocorre que, para concessão da tutela antecipada, tais elementos devem estar suficientemente demonstrados para constatação da probabilidade do direito, sem que se necessite aguardar a instrução probatória. Contudo, no presente caso faz-se necessário aguardar a instrução probatória, com sopesamento das provas produzidas pelas partes.&lt;/span&gt;&lt;/p&gt;&lt;p style="line-height: 1.7999999999999998; text-indent: 56.692913385826756pt; text-align: justify; margin-top: 1pt; margin-bottom: 12pt;" dir="ltr"&gt;</w:t>
            </w:r>
          </w:p>
          <w:p>
            <w:pPr>
              <w:pStyle w:val="TableParagraph"/>
              <w:spacing w:line="208" w:lineRule="auto" w:before="0"/>
              <w:ind w:right="150"/>
              <w:rPr>
                <w:sz w:val="20"/>
              </w:rPr>
            </w:pPr>
            <w:r>
              <w:rPr>
                <w:sz w:val="20"/>
              </w:rPr>
              <w:t>&lt;span style="font-size: 12pt; font-family: 'Times New Roman',serif; color: #000000; background-color: transparent; font-weight: 400; font-style: normal; font-variant: normal; text-decoration: none; vertical-align: baseline; white-space: pre-wrap;"&gt;Isso porque, os elementos trazidos apenas na exordial não formaram, por si só e antes de formado o contraditório, suporte suficiente para concessão da tutela provisória. Inclusive, esse foi o entendimento compartilhado pelo órgão ministerial tanto em primeiro grau (id. 166014567 do processo originário) como em segundo grau (id. 29097937 destes autos recursais).&lt;/span&gt;&lt;/p&gt;&lt;p style="line-height: 1.7999999999999998; text-indent: 56.692913385826756pt; text-align: justify; margin-top: 1pt; margin-bottom: 12pt;"</w:t>
            </w:r>
            <w:r>
              <w:rPr>
                <w:spacing w:val="-17"/>
                <w:sz w:val="20"/>
              </w:rPr>
              <w:t> </w:t>
            </w:r>
            <w:r>
              <w:rPr>
                <w:sz w:val="20"/>
              </w:rPr>
              <w:t>dir="ltr"&gt;</w:t>
            </w:r>
          </w:p>
          <w:p>
            <w:pPr>
              <w:pStyle w:val="TableParagraph"/>
              <w:spacing w:line="208" w:lineRule="auto" w:before="0"/>
              <w:ind w:right="29"/>
              <w:rPr>
                <w:sz w:val="20"/>
              </w:rPr>
            </w:pPr>
            <w:r>
              <w:rPr>
                <w:sz w:val="20"/>
              </w:rPr>
              <w:t>&lt;span style="font-size: 12pt; font-family: 'Times New Roman',serif; color: #000000; background-color: transparent; font-weight: 400; font-style: normal; font-variant: normal; text-decoration: none; vertical-align: baseline; white-space: pre-wrap;"&gt;Diante desse contexto, é evidente que qualquer modificação do quadro atual demanda elementos </w:t>
            </w:r>
            <w:r>
              <w:rPr>
                <w:spacing w:val="-3"/>
                <w:sz w:val="20"/>
              </w:rPr>
              <w:t>fáticos </w:t>
            </w:r>
            <w:r>
              <w:rPr>
                <w:sz w:val="20"/>
              </w:rPr>
              <w:t>e jurídicos mais consistentes, sendo imprescindível uma instrução probatória mais ampla no processo principal, providência que não se mostra possível no âmbito limitado do agravo de instrumento.&lt;/span&gt;&lt;/p&gt;&lt;p style="line-height: 1.7999999999999998; text- indent: 56.692913385826756pt; text-align: justify; margin-top: 1pt; margin-bottom: 12pt;" dir="ltr"&gt; &lt;span style="font-size: 12pt; font-family: 'Times New Roman',serif; color: #000000; background-color: transparent; font-weight: 400; font-style: normal; font-variant: normal; text-decoration: none; vertical-align: baseline; white-space: pre-wrap;"&gt;Ressalte- se, ademais, que não há risco de irreversibilidade dos efeitos desta decisão, por se tratar de medida de natureza provisória, passível de revisão a qualquer tempo, especialmente após a produção de provas sob a condução do juízo de primeiro grau.&lt;/span&gt;&lt;/p&gt;&lt;p style="line-height: 1.7999999999999998; text-indent: 56.692913385826756pt; text-align: justify; margin-top: 1pt; margin-bottom: 12pt;" dir="ltr"&gt; &lt;span style="font-size: 12pt; font- family: 'Times New Roman',serif; color: #000000; background-color: transparent; font- weight: 400; font-style: normal; font-variant: normal; text-decoration: none; vertical-align: baseline; white-space: pre-wrap;"&gt;A apreciação mais detalhada do conjunto probatório permitirá uma compreensão mais precisa da real capacidade econômica do agravante e das necessidades dos alimentandos, possibilitando, assim, eventual revisão justa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0624433-06.2025.8.06.0000</w:t>
            </w:r>
          </w:p>
        </w:tc>
      </w:tr>
      <w:tr>
        <w:trPr>
          <w:trHeight w:val="96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8"/>
              <w:rPr>
                <w:sz w:val="20"/>
              </w:rPr>
            </w:pPr>
            <w:r>
              <w:rPr>
                <w:sz w:val="20"/>
              </w:rPr>
              <w:t>proporcional do valor fixado a título de alimentos.&lt;/span&gt;&lt;/p&gt;&lt;p style="line-height: 1.7999999999999998; text-indent: 56.692913385826756pt; text-align: justify; margin-top: 12pt; margin-bottom: 5pt;" dir="ltr"&gt; &lt;span style="font-size: 12pt; font-family: &amp;quot;Times New Roman&amp;quot;, serif; color: #000000; background-color: transparent; font-weight: 700; font-style: normal; font-variant: normal; text-decoration-skip-ink: none; vertical-align: baseline; white-space: pre-wrap; text-decoration: underline;"&gt;3. Dispositivo&lt;/span&gt;&lt;/p&gt;&lt;p style="line-height: 1.7999999999999998; text-indent: 56.692913385826756pt; text-align: justify; margin-top: 12pt; margin-bottom: 12pt;" dir="ltr"&gt;&lt;span style="font-size: 12pt; font- family: 'Times New Roman',serif; color: #000000; background-color: transparent; font- weight: 400; font-style: normal; font-variant: normal; text-decoration: none; vertical-align: baseline; white-space: pre-wrap;"&gt;Diante do que acima foi exposto e fundamentado,&lt;/span&gt; &lt;span style="font-size: 12pt; font-family: 'Times New Roman',serif; color: #000000; background-color: transparent; font-weight: 700; font-style: normal; font- variant: normal; text-decoration: none; vertical-align: baseline; white-space: pre- wrap;"&gt;CONHEÇO DO AGRAVO DE INSTRUMENTO PARA NEGAR-LHE</w:t>
            </w:r>
          </w:p>
          <w:p>
            <w:pPr>
              <w:pStyle w:val="TableParagraph"/>
              <w:spacing w:line="208" w:lineRule="auto" w:before="0"/>
              <w:ind w:right="53"/>
              <w:rPr>
                <w:sz w:val="20"/>
              </w:rPr>
            </w:pPr>
            <w:r>
              <w:rPr>
                <w:sz w:val="20"/>
              </w:rPr>
              <w:t>PROVIMENTO,&lt;/span&gt; &lt;span style="font-size: 12pt; font-family: 'Times New Roman',serif; color: #000000; background-color: transparent; font-weight: 400; font-style: normal; font- variant: normal; text-decoration: none; vertical-align: baseline; white-space: pre- wrap;"&gt;mantendo a decisão recorrida.&lt;/span&gt;&lt;/p&gt;&lt;p style="line-height: 1.7999999999999998; text-indent: 56.692913385826756pt; text-align: justify; margin-top: 12pt; margin-bottom: 6pt;" dir="ltr"&gt; &lt;span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 indent: 56.692913385826756pt; text-align: justify; margin-top: 12pt; margin-bottom: 6pt;" dir="ltr"&gt; &lt;span style="font-size: 12pt; font-family: 'Times New Roman',serif; color: #000000; background-color: transparent; font-weight: 400; font-style: normal; font-variant: normal; text-decoration: none; vertical-align: baseline; white-space: pre-wrap;"&gt;Fortaleza, data registrada no sistema.&lt;/span&gt;&lt;/p&gt;&lt;p style="line-height: 1.7999999999999998; text- indent: 2pt; text-align: justify; margin-top: 12pt; margin-bottom: 6pt;" dir="ltr"&gt; &lt;span style="font-size: 12pt; font-family: 'Times New Roman',serif; color: #000000; background- color: transparent; font-weight: 400; font-style: normal; font-variant: normal; text-decoration: none; vertical-align: baseline; white-space: pre-wrap;"&gt;&amp;#160;&lt;/span&gt;&lt;/p&gt;&lt;p style="line- height: 1.7999999999999998; text-align: center; margin-top: 12pt; margin-bottom: 6pt;" dir="ltr"&gt; &lt;span style="font-size: 12pt; font-family: 'Times New Roman',serif; color: #000000; background-color: transparent; font-weight: 700; font-style: normal; font-variant: normal; text-decoration: none; vertical-align: baseline; white-space: pre- wrap;"&gt;FRANCISCO LUCÍDIO DE QUEIROZ JUNIOR&lt;/span&gt;&lt;/p&gt;&lt;p style="line-height: 1.7999999999999998; text-align: center; margin-top: 12pt; margin-bottom: 6pt;" dir="ltr"&gt;</w:t>
            </w:r>
          </w:p>
          <w:p>
            <w:pPr>
              <w:pStyle w:val="TableParagraph"/>
              <w:tabs>
                <w:tab w:pos="1294" w:val="left" w:leader="none"/>
                <w:tab w:pos="5720" w:val="left" w:leader="none"/>
              </w:tabs>
              <w:spacing w:line="208" w:lineRule="auto" w:before="0"/>
              <w:ind w:right="163"/>
              <w:rPr>
                <w:sz w:val="20"/>
              </w:rPr>
            </w:pPr>
            <w:r>
              <w:rPr>
                <w:sz w:val="20"/>
              </w:rPr>
              <w:t>&lt;span style="font-size: 12pt; font-family: 'Times New Roman',serif; color: #000000; background-color: transparent; font-weight: 400; font-style: normal; font-variant: normal; text-decoration: none; vertical-align: baseline; white-space: pre-wrap;"&gt;Desembargador Relator&lt;/span&gt;&lt;/p&gt;&lt;div&gt; &lt;span style="font-size: 12pt; font-family: 'Times New Roman',serif; color: #000000; background-color: transparent; font-weight: 400; font-style: normal; font-variant: normal; text-decoration: none; vertical-align: baseline; white-space: pre-wrap;"&gt;</w:t>
              <w:tab/>
              <w:t>&lt;br /&gt; &lt;/span&gt;&lt;/div&gt;&lt;br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GAPLAN ADMINISTRADORA DE CONSORCIO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705"/>
              <w:rPr>
                <w:sz w:val="20"/>
              </w:rPr>
            </w:pPr>
            <w:r>
              <w:rPr>
                <w:sz w:val="20"/>
              </w:rPr>
              <w:t>ZE FILHO COMERCIO DE CAMINHOES E SERVICOS DE TRANSPORTES LTDA JOSE SILVEIRA FILHO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LUAN AZEVEDO SILVEIRA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 w:pos="2773" w:val="left" w:leader="none"/>
                <w:tab w:pos="4799" w:val="left" w:leader="none"/>
                <w:tab w:pos="5643" w:val="left" w:leader="none"/>
              </w:tabs>
              <w:spacing w:line="208" w:lineRule="auto" w:before="0"/>
              <w:ind w:right="60"/>
              <w:rPr>
                <w:sz w:val="20"/>
              </w:rPr>
            </w:pPr>
            <w:r>
              <w:rPr>
                <w:sz w:val="20"/>
              </w:rPr>
              <w:t>JÚNIOR&lt;/strong&gt;&lt;/p&gt;&lt;p style="text-align: center;"&gt;&amp;#160;&lt;/p&gt;&lt;p&gt; &lt;span style="font- size: small;"&gt;</w:t>
              <w:tab/>
              <w:t>&lt;span style="font-size: medium;"&gt;</w:t>
              <w:tab/>
              <w:t>&lt;span style="font-family:</w:t>
            </w:r>
            <w:r>
              <w:rPr>
                <w:spacing w:val="-16"/>
                <w:sz w:val="20"/>
              </w:rPr>
              <w:t> </w:t>
            </w:r>
            <w:r>
              <w:rPr>
                <w:sz w:val="20"/>
              </w:rPr>
              <w:t>&amp;quot;times new roman&amp;quot;, times;"&gt;</w:t>
              <w:tab/>
              <w:t>&lt;strong&gt;PROCESSO&lt;/strong&gt;:&amp;#160;0056379- 04.2009.8.06.0001 -&amp;#160;APELAÇÃO CÍVEL (198)&lt;/span&gt;</w:t>
              <w:tab/>
              <w:t>&lt;/span&gt; &lt;/span&gt;&lt;/p&gt;&lt;p&gt;</w:t>
            </w:r>
          </w:p>
          <w:p>
            <w:pPr>
              <w:pStyle w:val="TableParagraph"/>
              <w:tabs>
                <w:tab w:pos="972" w:val="left" w:leader="none"/>
                <w:tab w:pos="3044" w:val="left" w:leader="none"/>
                <w:tab w:pos="3174" w:val="left" w:leader="none"/>
                <w:tab w:pos="4332" w:val="left" w:leader="none"/>
                <w:tab w:pos="6404" w:val="left" w:leader="none"/>
                <w:tab w:pos="6886" w:val="left" w:leader="none"/>
              </w:tabs>
              <w:spacing w:line="208" w:lineRule="auto" w:before="0"/>
              <w:ind w:right="103"/>
              <w:rPr>
                <w:sz w:val="20"/>
              </w:rPr>
            </w:pPr>
            <w:r>
              <w:rPr>
                <w:sz w:val="20"/>
              </w:rPr>
              <w:t>&lt;span style="font-size: small;"&gt;</w:t>
              <w:tab/>
              <w:t>&lt;span style="font-size: medium;"&gt;</w:t>
              <w:tab/>
              <w:t>&lt;span style="font- family: &amp;quot;times new roman&amp;quot;, times;"&gt;APELANTE: GAPLAN ADMINISTRADORA DE CONSORCIO LTDA.&lt;/span&gt;</w:t>
              <w:tab/>
              <w:tab/>
              <w:t>&lt;/span&gt; &lt;/span&gt;&lt;/p&gt;&lt;p&gt; &lt;span style="font-size: small;"&gt;</w:t>
              <w:tab/>
              <w:t>&lt;span style="font-size: medium;"&gt;</w:t>
              <w:tab/>
              <w:t>&lt;span style="font-family: &amp;quot;times </w:t>
            </w:r>
            <w:r>
              <w:rPr>
                <w:spacing w:val="-6"/>
                <w:sz w:val="20"/>
              </w:rPr>
              <w:t>new </w:t>
            </w:r>
            <w:r>
              <w:rPr>
                <w:sz w:val="20"/>
              </w:rPr>
              <w:t>roman&amp;quot;, times;"&gt;APELADO: ZE FILHO COMERCIO DE CAMINHOES E SERVICOS DE TRANSPORTES LTDA, ESPOLIO DE JOSE SILVEIRA FILHO&lt;/span&gt;</w:t>
              <w:tab/>
              <w:t>&lt;/span&gt;</w:t>
            </w:r>
          </w:p>
          <w:p>
            <w:pPr>
              <w:pStyle w:val="TableParagraph"/>
              <w:tabs>
                <w:tab w:pos="4868" w:val="left" w:leader="none"/>
              </w:tabs>
              <w:spacing w:line="190" w:lineRule="exact" w:before="0"/>
              <w:rPr>
                <w:sz w:val="20"/>
              </w:rPr>
            </w:pPr>
            <w:r>
              <w:rPr>
                <w:sz w:val="20"/>
              </w:rPr>
              <w:t>&lt;/span&gt;&lt;/p&gt;&lt;p&gt;  &lt;span style="font-size: medium;"&gt;</w:t>
              <w:tab/>
              <w:t>&lt;span style="font-size: medium;"&gt;</w:t>
            </w:r>
          </w:p>
          <w:p>
            <w:pPr>
              <w:pStyle w:val="TableParagraph"/>
              <w:tabs>
                <w:tab w:pos="6234" w:val="left" w:leader="none"/>
                <w:tab w:pos="7090" w:val="left" w:leader="none"/>
              </w:tabs>
              <w:spacing w:line="200" w:lineRule="exact" w:before="0"/>
              <w:rPr>
                <w:sz w:val="20"/>
              </w:rPr>
            </w:pPr>
            <w:r>
              <w:rPr>
                <w:sz w:val="20"/>
              </w:rPr>
              <w:t>&lt;span style="font-family: &amp;quot;times new roman&amp;quot;, times;"&gt;</w:t>
              <w:tab/>
              <w:t>&lt;br /&gt;</w:t>
              <w:tab/>
              <w:t>&lt;/span&gt;</w:t>
            </w:r>
          </w:p>
          <w:p>
            <w:pPr>
              <w:pStyle w:val="TableParagraph"/>
              <w:tabs>
                <w:tab w:pos="5517" w:val="left" w:leader="none"/>
                <w:tab w:pos="6751" w:val="left" w:leader="none"/>
                <w:tab w:pos="6933" w:val="left" w:leader="none"/>
              </w:tabs>
              <w:spacing w:line="208" w:lineRule="auto" w:before="7"/>
              <w:ind w:right="445"/>
              <w:rPr>
                <w:sz w:val="20"/>
              </w:rPr>
            </w:pPr>
            <w:r>
              <w:rPr>
                <w:sz w:val="20"/>
              </w:rPr>
              <w:t>&lt;/span&gt; &lt;/span&gt;&lt;/p&gt;&lt;p class="EmentadoAcf3rde3o" style="margin-bottom:6.0pt;text- align:justify;text-justify:inter-ideograph"&gt;  &lt;span style="font-size: medium;"&gt;</w:t>
              <w:tab/>
              <w:tab/>
              <w:t>&lt;span style="font-family: &amp;quot;times new roman&amp;quot;, times;"&gt;</w:t>
              <w:tab/>
              <w:t>&lt;strong&gt;</w:t>
              <w:tab/>
              <w:t>&lt;em&gt;</w:t>
            </w:r>
          </w:p>
          <w:p>
            <w:pPr>
              <w:pStyle w:val="TableParagraph"/>
              <w:tabs>
                <w:tab w:pos="1683" w:val="left" w:leader="none"/>
                <w:tab w:pos="3153" w:val="left" w:leader="none"/>
                <w:tab w:pos="3484" w:val="left" w:leader="none"/>
                <w:tab w:pos="4384" w:val="left" w:leader="none"/>
                <w:tab w:pos="5563" w:val="left" w:leader="none"/>
              </w:tabs>
              <w:spacing w:line="208" w:lineRule="auto" w:before="0"/>
              <w:ind w:right="29"/>
              <w:rPr>
                <w:sz w:val="20"/>
              </w:rPr>
            </w:pPr>
            <w:r>
              <w:rPr>
                <w:sz w:val="20"/>
              </w:rPr>
              <w:t>&lt;span style="font-variant-numeric: normal; font-variant-east-asian: normal; font-variant- caps: small-caps; font-variant-alternates: normal; font-variant-position: normal; font-variant- emoji: normal;"&gt;EMENTA&lt;/span&gt;</w:t>
              <w:tab/>
              <w:tab/>
              <w:t>&lt;/em&gt;</w:t>
              <w:tab/>
              <w:t>&lt;/strong&gt;</w:t>
              <w:tab/>
              <w:t>&lt;span style="font-variant- numeric: normal; font-variant-east-asian: normal; font-variant-caps: small-caps; font- variant-alternates: normal; font-variant-position: normal; font-variant-emoji: normal;"&gt;: direito civil e processual civil. apelação cível. ação de execução de título extrajudicial. contrato de alienação fiduciária decorrente de consórcio. insurgência contra o reconhecimento de prescrição. data de encerramento do grupo comprovada. termo inicial fixado no encerramento do grupo. transcurso integral do prazo. prescrição quinquenal reconhecida. ausência de citação apta a interromper o prazo prescricional. Recurso conhecido e desprovido.&lt;/span&gt;</w:t>
              <w:tab/>
              <w:t>&lt;/span&gt; &lt;/span&gt;&lt;/p&gt;&lt;p class="EmentadoAcf3rde3o" style="margin-bottom:6.0pt;text-align:justify;text-justify:inter-ideograph"&gt; &lt;span </w:t>
            </w:r>
            <w:r>
              <w:rPr>
                <w:spacing w:val="-2"/>
                <w:sz w:val="20"/>
              </w:rPr>
              <w:t>style="font- </w:t>
            </w:r>
            <w:r>
              <w:rPr>
                <w:sz w:val="20"/>
              </w:rPr>
              <w:t>size: medium;"&gt;</w:t>
              <w:tab/>
              <w:t>&lt;span style="font-family: &amp;quot;times new roman&amp;quot;, times;"&gt;</w:t>
            </w:r>
          </w:p>
          <w:p>
            <w:pPr>
              <w:pStyle w:val="TableParagraph"/>
              <w:tabs>
                <w:tab w:pos="1273" w:val="left" w:leader="none"/>
                <w:tab w:pos="5229" w:val="left" w:leader="none"/>
                <w:tab w:pos="6297" w:val="left" w:leader="none"/>
              </w:tabs>
              <w:spacing w:line="208" w:lineRule="auto" w:before="0"/>
              <w:ind w:right="131"/>
              <w:rPr>
                <w:sz w:val="20"/>
              </w:rPr>
            </w:pPr>
            <w:r>
              <w:rPr>
                <w:sz w:val="20"/>
              </w:rPr>
              <w:t>&lt;strong&gt;</w:t>
              <w:tab/>
              <w:t>&lt;span style="font-variant-numeric: normal; font-variant-east-asian: normal; font-variant-caps: small-caps; font-variant-alternates: normal; font-variant-position: </w:t>
            </w:r>
            <w:r>
              <w:rPr>
                <w:spacing w:val="-3"/>
                <w:sz w:val="20"/>
              </w:rPr>
              <w:t>normal; </w:t>
            </w:r>
            <w:r>
              <w:rPr>
                <w:sz w:val="20"/>
              </w:rPr>
              <w:t>font-variant-emoji: normal;"&gt;I. Caso em exame&lt;/span&gt;</w:t>
              <w:tab/>
              <w:t>&lt;/strong&gt;</w:t>
              <w:tab/>
              <w:t>&lt;/span&gt;</w:t>
            </w:r>
          </w:p>
          <w:p>
            <w:pPr>
              <w:pStyle w:val="TableParagraph"/>
              <w:tabs>
                <w:tab w:pos="1216" w:val="left" w:leader="none"/>
                <w:tab w:pos="6933" w:val="left" w:leader="none"/>
                <w:tab w:pos="7300" w:val="left" w:leader="none"/>
              </w:tabs>
              <w:spacing w:line="208" w:lineRule="auto" w:before="0"/>
              <w:ind w:right="64"/>
              <w:rPr>
                <w:sz w:val="20"/>
              </w:rPr>
            </w:pPr>
            <w:r>
              <w:rPr>
                <w:sz w:val="20"/>
              </w:rPr>
              <w:t>&lt;/span&gt;&lt;/p&gt;&lt;p class="EmentadoAcf3rde3o" style="margin-bottom:6.0pt;text- align:justify;text-justify:inter-ideograph"&gt;  &lt;span style="font-size: medium;"&gt;</w:t>
              <w:tab/>
              <w:t>&lt;span style="font-family: &amp;quot;times new roman&amp;quot;, times;"&gt;1. Apelação Cível interposta contra sentença que declarou extinta a execução de título extrajudicial, com fundamento na prescrição da pretensão executiva considerando o decurso do prazo de cinco anos, sem que tenha ocorrido a citação da parte executada e a consequente interrupção do prazo prescricional.&lt;/span&gt; &lt;/span&gt;&lt;/p&gt;&lt;p class="EmentadoAcf3rde3o" style="margin- bottom:6.0pt;text-align:justify;text-justify:inter-ideograph"&gt; &lt;span style="font-size: medium;"&gt;</w:t>
              <w:tab/>
              <w:t>&lt;span style="font-family: &amp;quot;times new roman&amp;quot;, times;"&gt;</w:t>
              <w:tab/>
            </w:r>
            <w:r>
              <w:rPr>
                <w:spacing w:val="-3"/>
                <w:sz w:val="20"/>
              </w:rPr>
              <w:t>&lt;strong&gt;</w:t>
            </w:r>
          </w:p>
          <w:p>
            <w:pPr>
              <w:pStyle w:val="TableParagraph"/>
              <w:tabs>
                <w:tab w:pos="4796" w:val="left" w:leader="none"/>
                <w:tab w:pos="5863" w:val="left" w:leader="none"/>
              </w:tabs>
              <w:spacing w:line="208" w:lineRule="auto" w:before="0"/>
              <w:ind w:right="76"/>
              <w:rPr>
                <w:sz w:val="20"/>
              </w:rPr>
            </w:pPr>
            <w:r>
              <w:rPr>
                <w:sz w:val="20"/>
              </w:rPr>
              <w:t>&lt;span style="font-variant-numeric: normal; font-variant-east-asian: normal; font-variant- caps: small-caps; font-variant-alternates: normal; font-variant-position: normal; </w:t>
            </w:r>
            <w:r>
              <w:rPr>
                <w:spacing w:val="-2"/>
                <w:sz w:val="20"/>
              </w:rPr>
              <w:t>font-variant- </w:t>
            </w:r>
            <w:r>
              <w:rPr>
                <w:sz w:val="20"/>
              </w:rPr>
              <w:t>emoji: normal;"&gt;II. Questão em discussão&lt;/span&gt;</w:t>
              <w:tab/>
              <w:t>&lt;/strong&gt;</w:t>
              <w:tab/>
              <w:t>&lt;/span&gt;  &lt;/span&gt;&lt;/p&gt;&lt;p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4477" w:val="left" w:leader="none"/>
                <w:tab w:pos="7300" w:val="left" w:leader="none"/>
              </w:tabs>
              <w:spacing w:line="208" w:lineRule="auto" w:before="26"/>
              <w:ind w:right="64"/>
              <w:rPr>
                <w:sz w:val="20"/>
              </w:rPr>
            </w:pPr>
            <w:r>
              <w:rPr>
                <w:sz w:val="20"/>
              </w:rPr>
              <w:t>class="EmentadoAcf3rde3o" style="margin-bottom:6.0pt;text-align:justify;text-justify:inter- ideograph"&gt;  &lt;span style="font-size: medium;"&gt;</w:t>
              <w:tab/>
              <w:t>&lt;span style="font-family: &amp;quot;times new roman&amp;quot;, times;"&gt;2. A questão em discussão consiste em verificar se agiu com acerto o juízo de origem ao reconhecer a prescrição do direito pretendido pelo recorrente.&lt;/span&gt; &lt;/span&gt;&lt;/p&gt;&lt;p class="EmentadoAcf3rde3o" style="margin- bottom:6.0pt;text-align:justify;text-justify:inter-ideograph"&gt; &lt;span style="font-size: medium;"&gt;</w:t>
              <w:tab/>
              <w:t>&lt;span style="font-family: &amp;quot;times new roman&amp;quot;, times;"&gt;</w:t>
              <w:tab/>
            </w:r>
            <w:r>
              <w:rPr>
                <w:spacing w:val="-3"/>
                <w:sz w:val="20"/>
              </w:rPr>
              <w:t>&lt;strong&gt;</w:t>
            </w:r>
          </w:p>
          <w:p>
            <w:pPr>
              <w:pStyle w:val="TableParagraph"/>
              <w:tabs>
                <w:tab w:pos="1216" w:val="left" w:leader="none"/>
                <w:tab w:pos="2682" w:val="left" w:leader="none"/>
                <w:tab w:pos="4418" w:val="left" w:leader="none"/>
                <w:tab w:pos="4477" w:val="left" w:leader="none"/>
                <w:tab w:pos="5485" w:val="left" w:leader="none"/>
              </w:tabs>
              <w:spacing w:line="208" w:lineRule="auto" w:before="0"/>
              <w:ind w:right="76"/>
              <w:rPr>
                <w:sz w:val="20"/>
              </w:rPr>
            </w:pPr>
            <w:r>
              <w:rPr>
                <w:sz w:val="20"/>
              </w:rPr>
              <w:t>&lt;span style="font-variant-numeric: normal; font-variant-east-asian: normal; font-variant- caps: small-caps; font-variant-alternates: normal; font-variant-position: normal; </w:t>
            </w:r>
            <w:r>
              <w:rPr>
                <w:spacing w:val="-2"/>
                <w:sz w:val="20"/>
              </w:rPr>
              <w:t>font-variant- </w:t>
            </w:r>
            <w:r>
              <w:rPr>
                <w:sz w:val="20"/>
              </w:rPr>
              <w:t>emoji: normal;"&gt;III. Razões de decidir&lt;/span&gt;</w:t>
              <w:tab/>
              <w:t>&lt;/strong&gt;</w:t>
              <w:tab/>
              <w:t>&lt;/span&gt; &lt;/span&gt;&lt;/p&gt;&lt;p class="EmentadoAcf3rde3o" style="margin-bottom:6.0pt;text-align:justify;text-justify:inter- ideograph"&gt;  &lt;span style="font-size: medium;"&gt;</w:t>
              <w:tab/>
              <w:tab/>
              <w:t>&lt;span style="font-family: &amp;quot;times new roman&amp;quot;, times;"&gt;3. Nos termos do artigo 206, § 5º, inciso I, do Código Civil, o prazo prescricional para a cobrança de dívidas líquidas constantes em instrumentos públicos ou particulares é de cinco anos. Contudo, tratando-se de contrato de consórcio, deve ser observada a regra especial prevista no artigo 31, § 2º, da Lei nº 11.795/2008, segundo a qual o termo inicial do prazo prescricional deve ser fixado a partir da data de encerramento do grupo consorcial, momento em que se torna possível o exercício da pretensão.&lt;/span&gt; &lt;/span&gt;&lt;/p&gt;&lt;p class="Standard" style="margin-bottom:6.0pt;text- align:justify;text-justify:inter-ideograph;line-height:normal;mso-pagination:none"&gt; &lt;span style="font-size: medium;"&gt;</w:t>
              <w:tab/>
              <w:t>&lt;span style="font-family: &amp;quot;times new roman&amp;quot;, times;"&gt;4. Ao analisar o conjunto probatório constante nos autos, constata-se que o encerramento do grupo ocorreu em fevereiro de 2010. Assim, o prazo prescricional de cinco anos para o ajuizamento da ação de cobrança se estenderia até fevereiro de 2015.&lt;/span&gt; &lt;/span&gt;&lt;/p&gt;&lt;p class="EmentadoAcf3rde3o" style="margin- bottom:6.0pt;text-align:justify;text-justify:inter-ideograph"&gt; &lt;span style="font-size: medium;"&gt;</w:t>
              <w:tab/>
              <w:t>&lt;span style="font-family: &amp;quot;times new roman&amp;quot;, times;"&gt;5.</w:t>
            </w:r>
          </w:p>
          <w:p>
            <w:pPr>
              <w:pStyle w:val="TableParagraph"/>
              <w:tabs>
                <w:tab w:pos="1140" w:val="left" w:leader="none"/>
                <w:tab w:pos="4477" w:val="left" w:leader="none"/>
              </w:tabs>
              <w:spacing w:line="208" w:lineRule="auto" w:before="0"/>
              <w:ind w:right="43"/>
              <w:rPr>
                <w:sz w:val="20"/>
              </w:rPr>
            </w:pPr>
            <w:r>
              <w:rPr>
                <w:sz w:val="20"/>
              </w:rPr>
              <w:t>Consoante o entendimento do Superior Tribunal de Justiça, somente ocorrerá a interrupção do prazo prescricional quando ocorrer a citação válida, não bastando que tenha havido o despacho citatório. Portanto, não tendo ocorrido a citação do devedor no caso concreto, não restou interrompida a prescrição, que manteve seu marco inicial inalterado</w:t>
              <w:tab/>
              <w:t>&lt;span style="color: #c9211e;"&gt;.&lt;/span&gt;&lt;/span&gt; &lt;/span&gt;&lt;/p&gt;&lt;p class="EmentadoAcf3rde3o" style="margin-bottom:6.0pt;text-align:justify;text-justify:inter- ideograph"&gt;  &lt;span style="font-size: medium;"&gt;</w:t>
              <w:tab/>
              <w:t>&lt;span style="font-family: &amp;quot;times new roman&amp;quot;, times;"&gt;6. No caso vertente, observa-se que a demora na tramitação </w:t>
            </w:r>
            <w:r>
              <w:rPr>
                <w:spacing w:val="-9"/>
                <w:sz w:val="20"/>
              </w:rPr>
              <w:t>do </w:t>
            </w:r>
            <w:r>
              <w:rPr>
                <w:sz w:val="20"/>
              </w:rPr>
              <w:t>feito não pode ser atribuída exclusivamente ao serviço judiciário, que atuou prontamente quando provocado, de modo que não aplica o enunciado da Súmula 106 do STJ.&lt;/span&gt;</w:t>
            </w:r>
          </w:p>
          <w:p>
            <w:pPr>
              <w:pStyle w:val="TableParagraph"/>
              <w:tabs>
                <w:tab w:pos="1216" w:val="left" w:leader="none"/>
                <w:tab w:pos="6933" w:val="left" w:leader="none"/>
                <w:tab w:pos="7300" w:val="left" w:leader="none"/>
              </w:tabs>
              <w:spacing w:line="208" w:lineRule="auto" w:before="0"/>
              <w:ind w:right="64"/>
              <w:rPr>
                <w:sz w:val="20"/>
              </w:rPr>
            </w:pPr>
            <w:r>
              <w:rPr>
                <w:sz w:val="20"/>
              </w:rPr>
              <w:t>&lt;/span&gt;&lt;/p&gt;&lt;p class="EmentadoAcf3rde3o" style="margin-bottom:6.0pt;text- align:justify;text-justify:inter-ideograph"&gt;  &lt;span style="font-size: medium;"&gt;</w:t>
              <w:tab/>
              <w:t>&lt;span style="font-family: &amp;quot;times new roman&amp;quot;, times;"&gt;7. Verifica-se a ocorrência da prescrição da pretensão executiva, a qual se consumou no curso do processo, uma vez que o prazo prescricional não foi interrompido em razão da ausência de citação válida da parte devedora.&lt;/span&gt; &lt;/span&gt;&lt;/p&gt;&lt;p class="EmentadoAcf3rde3o" style="margin- bottom:6.0pt;text-align:justify;text-justify:inter-ideograph"&gt; &lt;span style="font-size: medium;"&gt;</w:t>
              <w:tab/>
              <w:t>&lt;span style="font-family: &amp;quot;times new roman&amp;quot;, times;"&gt;</w:t>
              <w:tab/>
            </w:r>
            <w:r>
              <w:rPr>
                <w:spacing w:val="-3"/>
                <w:sz w:val="20"/>
              </w:rPr>
              <w:t>&lt;strong&gt;</w:t>
            </w:r>
          </w:p>
          <w:p>
            <w:pPr>
              <w:pStyle w:val="TableParagraph"/>
              <w:tabs>
                <w:tab w:pos="1962" w:val="left" w:leader="none"/>
                <w:tab w:pos="4407" w:val="left" w:leader="none"/>
                <w:tab w:pos="4477" w:val="left" w:leader="none"/>
                <w:tab w:pos="5056" w:val="left" w:leader="none"/>
                <w:tab w:pos="5474" w:val="left" w:leader="none"/>
              </w:tabs>
              <w:spacing w:line="208" w:lineRule="auto" w:before="0"/>
              <w:ind w:right="70"/>
              <w:rPr>
                <w:sz w:val="20"/>
              </w:rPr>
            </w:pPr>
            <w:r>
              <w:rPr>
                <w:sz w:val="20"/>
              </w:rPr>
              <w:t>&lt;span style="font-variant-numeric: normal; font-variant-east-asian: normal; font-variant- caps: small-caps; font-variant-alternates: normal; font-variant-position: normal; font-variant- emoji: normal;"&gt;IV. Dispositivo e tese&lt;/span&gt;</w:t>
              <w:tab/>
              <w:t>&lt;/strong&gt;</w:t>
              <w:tab/>
              <w:t>&lt;/span&gt; &lt;/span&gt;&lt;/p&gt;&lt;p class="EmentadoAcf3rde3o" style="margin-bottom:6.0pt;text-align:justify;text-justify:inter- ideograph"&gt;  &lt;span style="font-size: medium;"&gt;</w:t>
              <w:tab/>
              <w:tab/>
              <w:t>&lt;span style="font-family: &amp;quot;times new roman&amp;quot;, times;"&gt;8. Recurso conhecido e não provido.&lt;/span&gt; &lt;/span&gt;&lt;/p&gt;&lt;p class="EmentadoAcf3rde3o" style="margin-bottom:6.0pt;text-align:justify;text-justify:inter- ideograph"&gt;  &lt;em&gt;</w:t>
              <w:tab/>
              <w:t>&lt;span style="color: #c9211e;"&gt;</w:t>
              <w:tab/>
              <w:t>&lt;span style="font-size:</w:t>
            </w:r>
            <w:r>
              <w:rPr>
                <w:spacing w:val="-18"/>
                <w:sz w:val="20"/>
              </w:rPr>
              <w:t> </w:t>
            </w:r>
            <w:r>
              <w:rPr>
                <w:sz w:val="20"/>
              </w:rPr>
              <w:t>medium;"&gt;</w:t>
            </w:r>
          </w:p>
          <w:p>
            <w:pPr>
              <w:pStyle w:val="TableParagraph"/>
              <w:spacing w:line="190" w:lineRule="exact" w:before="0"/>
              <w:rPr>
                <w:sz w:val="20"/>
              </w:rPr>
            </w:pPr>
            <w:r>
              <w:rPr>
                <w:sz w:val="20"/>
              </w:rPr>
              <w:t>&lt;span style="font-family: &amp;quot;times new roman&amp;quot;, times;"&gt;&amp;#160;&lt;/span&gt;</w:t>
            </w:r>
          </w:p>
          <w:p>
            <w:pPr>
              <w:pStyle w:val="TableParagraph"/>
              <w:tabs>
                <w:tab w:pos="985" w:val="left" w:leader="none"/>
                <w:tab w:pos="2973" w:val="left" w:leader="none"/>
                <w:tab w:pos="4541" w:val="left" w:leader="none"/>
              </w:tabs>
              <w:spacing w:line="208" w:lineRule="auto" w:before="6"/>
              <w:ind w:right="93"/>
              <w:rPr>
                <w:sz w:val="20"/>
              </w:rPr>
            </w:pPr>
            <w:r>
              <w:rPr>
                <w:sz w:val="20"/>
              </w:rPr>
              <w:t>&lt;/span&gt;</w:t>
              <w:tab/>
              <w:t>&lt;/span&gt; &lt;/em&gt; &lt;span style="font-family: &amp;quot;times new roman&amp;quot;, </w:t>
            </w:r>
            <w:r>
              <w:rPr>
                <w:spacing w:val="-3"/>
                <w:sz w:val="20"/>
              </w:rPr>
              <w:t>times; </w:t>
            </w:r>
            <w:r>
              <w:rPr>
                <w:sz w:val="20"/>
              </w:rPr>
              <w:t>font-size: medium;"&gt;</w:t>
            </w:r>
            <w:r>
              <w:rPr>
                <w:sz w:val="20"/>
                <w:u w:val="single"/>
              </w:rPr>
              <w:t> </w:t>
              <w:tab/>
            </w:r>
            <w:r>
              <w:rPr>
                <w:sz w:val="20"/>
              </w:rPr>
              <w:t>&lt;/span&gt;  &lt;em&gt;</w:t>
              <w:tab/>
              <w:t>&lt;span style="font-size: medium;"&gt;</w:t>
            </w:r>
          </w:p>
          <w:p>
            <w:pPr>
              <w:pStyle w:val="TableParagraph"/>
              <w:tabs>
                <w:tab w:pos="7369" w:val="left" w:leader="none"/>
              </w:tabs>
              <w:spacing w:line="190" w:lineRule="exact" w:before="0"/>
              <w:rPr>
                <w:sz w:val="20"/>
              </w:rPr>
            </w:pPr>
            <w:r>
              <w:rPr>
                <w:sz w:val="20"/>
              </w:rPr>
              <w:t>&lt;span style="font-family: &amp;quot;times new roman&amp;quot;, times;"&gt;&amp;#160;&lt;/span&gt;</w:t>
              <w:tab/>
              <w:t>&lt;/span&gt;</w:t>
            </w:r>
          </w:p>
          <w:p>
            <w:pPr>
              <w:pStyle w:val="TableParagraph"/>
              <w:tabs>
                <w:tab w:pos="4477" w:val="left" w:leader="none"/>
                <w:tab w:pos="5406" w:val="left" w:leader="none"/>
                <w:tab w:pos="6933" w:val="left" w:leader="none"/>
              </w:tabs>
              <w:spacing w:line="208" w:lineRule="auto" w:before="10"/>
              <w:ind w:right="32"/>
              <w:rPr>
                <w:sz w:val="20"/>
              </w:rPr>
            </w:pPr>
            <w:r>
              <w:rPr>
                <w:sz w:val="20"/>
              </w:rPr>
              <w:t>&lt;/em&gt;&lt;/p&gt;&lt;p class="EmentadoAcf3rde3o" style="margin-bottom:6.0pt;text- align:justify;text-justify:inter-ideograph"&gt;  &lt;span style="font-size: medium;"&gt;</w:t>
              <w:tab/>
              <w:t>&lt;span style="font-family: &amp;quot;times new roman&amp;quot;, times;"&gt;</w:t>
              <w:tab/>
              <w:t>&lt;em&gt;Dispositivos relevantes citados&lt;/em&gt;: CC, arts.206, 240; Súmula 106/STJ.&lt;/span&gt; &lt;/span&gt; &lt;span style="font- family: &amp;quot;times new roman&amp;quot;, times; font-size: medium;"&gt;&amp;#160;&lt;/span&gt;&lt;/p&gt;&lt;p class="EmentadoAcf3rde3o" style="margin-bottom:6.0pt;text-align:justify;text-justify:inter- ideograph"&gt;  &lt;span style="font-size: medium;"&gt;</w:t>
              <w:tab/>
              <w:t>&lt;span style="font-family: &amp;quot;times new roman&amp;quot;, times;"&gt;ACÓRDÃO: Vistos, relatados e discutidos estes autos, acorda </w:t>
            </w:r>
            <w:r>
              <w:rPr>
                <w:spacing w:val="-18"/>
                <w:sz w:val="20"/>
              </w:rPr>
              <w:t>a </w:t>
            </w:r>
            <w:r>
              <w:rPr>
                <w:sz w:val="20"/>
              </w:rPr>
              <w:t>Quinta Câmara de Direito Privado Tribunal de Justiça do Estado do Ceará, por unanimidade em CONHECER DO RECURSO PARA NEGAR-LHE PROVIMENTO, nos</w:t>
            </w:r>
          </w:p>
          <w:p>
            <w:pPr>
              <w:pStyle w:val="TableParagraph"/>
              <w:tabs>
                <w:tab w:pos="5756" w:val="left" w:leader="none"/>
              </w:tabs>
              <w:spacing w:line="208" w:lineRule="auto" w:before="0"/>
              <w:ind w:right="229"/>
              <w:rPr>
                <w:sz w:val="20"/>
              </w:rPr>
            </w:pPr>
            <w:r>
              <w:rPr>
                <w:sz w:val="20"/>
              </w:rPr>
              <w:t>termos do voto do relator, parte integrante deste.&lt;/span&gt; &lt;/span&gt;&lt;/p&gt;&lt;p class="EmentadoAcf3rde3o" style="margin-bottom:6.0pt;text-align:justify;text-justify:inter- ideograph;line-height:115%"&gt;  &lt;span style="color: #c9211e;"&gt;</w:t>
              <w:tab/>
              <w: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7" w:val="left" w:leader="none"/>
                <w:tab w:pos="2340" w:val="left" w:leader="none"/>
                <w:tab w:pos="2682" w:val="left" w:leader="none"/>
                <w:tab w:pos="2773" w:val="left" w:leader="none"/>
                <w:tab w:pos="4518" w:val="left" w:leader="none"/>
                <w:tab w:pos="4754" w:val="left" w:leader="none"/>
                <w:tab w:pos="5263" w:val="left" w:leader="none"/>
                <w:tab w:pos="6023" w:val="left" w:leader="none"/>
              </w:tabs>
              <w:spacing w:line="208" w:lineRule="auto" w:before="26"/>
              <w:ind w:right="35"/>
              <w:rPr>
                <w:sz w:val="20"/>
              </w:rPr>
            </w:pPr>
            <w:r>
              <w:rPr>
                <w:sz w:val="20"/>
              </w:rPr>
              <w:t>medium;"&gt;</w:t>
              <w:tab/>
              <w:t>&lt;span style="font-family: &amp;quot;times new roman&amp;quot;, times;"&gt;&amp;#160;&lt;/span&gt;</w:t>
              <w:tab/>
              <w:t>&lt;/span&gt; &lt;/span&gt;&lt;/p&gt;&lt;p class="EmentadoAcf3rde3o" style="margin-bottom:6.0pt;text-align:center;line-height:115%" align="center"&gt; &lt;span style="font-size: medium;"&gt;</w:t>
              <w:tab/>
              <w:t>&lt;span style="font-family: &amp;quot;times new roman&amp;quot;, times;"&gt;Fortaleza, data registrada no sistema.&lt;/span&gt; &lt;/span&gt;&lt;/p&gt;&lt;p class="EmentadoAcf3rde3o" style="margin-bottom:6.0pt;text-align:justify;text-justify:inter- ideograph;line-height:115%"&gt;  &lt;span style="font-size: medium;"&gt;</w:t>
              <w:tab/>
              <w:t>&lt;span style="font- family: &amp;quot;times new roman&amp;quot;, times;"&gt;&amp;#160;&lt;/span&gt; &lt;/span&gt;&lt;/p&gt;&lt;p class="EmentadoAcf3rde3o" style="margin-bottom:6.0pt;text-align:justify;text-justify:inter- ideograph;line-height:115%"&gt;  &lt;span style="font-size: medium;"&gt;</w:t>
              <w:tab/>
              <w:t>&lt;span style="font- family: &amp;quot;times new roman&amp;quot;, times;"&gt;</w:t>
              <w:tab/>
              <w:t>&lt;br /&gt;</w:t>
              <w:tab/>
              <w:t>&lt;/span&gt; &lt;/span&gt;&lt;/p&gt;&lt;p class="EmentadoAcf3rde3o" style="margin-bottom:6.0pt;text-align:center;line-height:115%" align="center"&gt;  &lt;span style="font-size: medium;"&gt;</w:t>
              <w:tab/>
              <w:t>&lt;span style="font-family: &amp;quot;times new roman&amp;quot;, times;"&gt;</w:t>
              <w:tab/>
              <w:tab/>
              <w:t>&lt;strong&gt;MARIA REGINA OLIVEIRA CÂMARA&lt;/strong&gt;</w:t>
            </w:r>
          </w:p>
          <w:p>
            <w:pPr>
              <w:pStyle w:val="TableParagraph"/>
              <w:tabs>
                <w:tab w:pos="7460" w:val="left" w:leader="none"/>
              </w:tabs>
              <w:spacing w:line="208" w:lineRule="auto" w:before="0"/>
              <w:ind w:right="131"/>
              <w:rPr>
                <w:sz w:val="20"/>
              </w:rPr>
            </w:pPr>
            <w:r>
              <w:rPr>
                <w:sz w:val="20"/>
              </w:rPr>
              <w:t>&lt;/span&gt; &lt;/span&gt;&lt;/p&gt;&lt;p class="EmentadoAcf3rde3o" style="margin-bottom:6.0pt;text- align:center;line-height:115%" align="center"&gt;  &lt;span style="font-size: medium;"&gt;</w:t>
              <w:tab/>
              <w:t>&lt;span style="font-family: &amp;quot;times new roman&amp;quot;, times;"&gt;Desembargadora Presidente </w:t>
            </w:r>
            <w:r>
              <w:rPr>
                <w:spacing w:val="-8"/>
                <w:sz w:val="20"/>
              </w:rPr>
              <w:t>do </w:t>
            </w:r>
            <w:r>
              <w:rPr>
                <w:sz w:val="20"/>
              </w:rPr>
              <w:t>Órgão Julgador&lt;/span&gt; &lt;/span&gt;&lt;/p&gt;&lt;p class="EmentadoAcf3rde3o" style="margin- bottom:6.0pt;text-align:center" align="center"&gt;  &lt;span style="font-size: medium;"&gt;</w:t>
              <w:tab/>
            </w:r>
            <w:r>
              <w:rPr>
                <w:spacing w:val="-4"/>
                <w:sz w:val="20"/>
              </w:rPr>
              <w:t>&lt;span </w:t>
            </w:r>
            <w:r>
              <w:rPr>
                <w:sz w:val="20"/>
              </w:rPr>
              <w:t>style="font-family: &amp;quot;times new roman&amp;quot;, times;"&gt;&amp;#160;&lt;/span&gt; &lt;/span&gt;&lt;/p&gt;&lt;p class="EmentadoAcf3rde3o" style="margin-bottom:6.0pt;text-align:center" align="center"&gt;</w:t>
            </w:r>
          </w:p>
          <w:p>
            <w:pPr>
              <w:pStyle w:val="TableParagraph"/>
              <w:tabs>
                <w:tab w:pos="1216" w:val="left" w:leader="none"/>
                <w:tab w:pos="3288" w:val="left" w:leader="none"/>
              </w:tabs>
              <w:spacing w:line="208" w:lineRule="auto" w:before="0"/>
              <w:ind w:right="637"/>
              <w:rPr>
                <w:sz w:val="20"/>
              </w:rPr>
            </w:pPr>
            <w:r>
              <w:rPr>
                <w:sz w:val="20"/>
              </w:rPr>
              <w:t>&lt;span style="font-size: medium;"&gt;</w:t>
              <w:tab/>
              <w:t>&lt;span style="font-family: &amp;quot;times new roman&amp;quot;, times;"&gt;&amp;#160;&lt;/span&gt; &lt;/span&gt;&lt;/p&gt;&lt;p class="EmentadoAcf3rde3o" style="margin-bottom:6.0pt;text-align:center" align="center"&gt; &lt;span style="font-size: medium;"&gt;</w:t>
              <w:tab/>
              <w:t>&lt;span style="font-family: &amp;quot;times new roman&amp;quot;, times;"&gt;</w:t>
            </w:r>
          </w:p>
          <w:p>
            <w:pPr>
              <w:pStyle w:val="TableParagraph"/>
              <w:tabs>
                <w:tab w:pos="6041" w:val="left" w:leader="none"/>
              </w:tabs>
              <w:spacing w:line="190" w:lineRule="exact" w:before="0"/>
              <w:rPr>
                <w:sz w:val="20"/>
              </w:rPr>
            </w:pPr>
            <w:r>
              <w:rPr>
                <w:sz w:val="20"/>
              </w:rPr>
              <w:t>&lt;strong&gt;FRANCISCO LUCÍDIO DE QUEIROZ JÚNIOR&lt;/strong&gt;</w:t>
              <w:tab/>
              <w:t>&lt;/span&gt;</w:t>
            </w:r>
          </w:p>
          <w:p>
            <w:pPr>
              <w:pStyle w:val="TableParagraph"/>
              <w:tabs>
                <w:tab w:pos="1439" w:val="left" w:leader="none"/>
                <w:tab w:pos="2451" w:val="left" w:leader="none"/>
                <w:tab w:pos="2516" w:val="left" w:leader="none"/>
                <w:tab w:pos="3396" w:val="left" w:leader="none"/>
                <w:tab w:pos="4754" w:val="left" w:leader="none"/>
                <w:tab w:pos="5844" w:val="left" w:leader="none"/>
              </w:tabs>
              <w:spacing w:line="208" w:lineRule="auto" w:before="8"/>
              <w:ind w:right="104"/>
              <w:rPr>
                <w:sz w:val="20"/>
              </w:rPr>
            </w:pPr>
            <w:r>
              <w:rPr>
                <w:sz w:val="20"/>
              </w:rPr>
              <w:t>&lt;/span&gt;&lt;/p&gt;&lt;p class="EmentadoAcf3rde3o" style="margin-bottom:6.0pt;text-align:center" align="center"&gt;  &lt;span style="font-size: medium;"&gt;</w:t>
              <w:tab/>
              <w:t>&lt;span style="font-family: &amp;quot;times new roman&amp;quot;, times;"&gt;Desembargador Relator&lt;/span&gt; &lt;/span&gt;&lt;/p&gt;&lt;p class="Standard" style="margin-bottom:5.0pt;text-align:center;mso-pagination:none" align="center"&gt;  &lt;strong&gt;</w:t>
              <w:tab/>
              <w:tab/>
              <w:t>&lt;span style="line-height: 115%;"&gt;</w:t>
              <w:tab/>
              <w:t>&lt;span style="font-size: medium;"&gt;</w:t>
              <w:tab/>
              <w:t>&lt;span style="font-family: &amp;quot;times new roman&amp;quot;, times;"&gt;&amp;#160;&lt;/span&gt;</w:t>
              <w:tab/>
              <w:t>&lt;/span&gt;</w:t>
              <w:tab/>
              <w:t>&lt;/span&gt; &lt;/strong&gt;&lt;/p&gt;&lt;p class="Standard" style="margin-bottom:5.0pt;text-align:center;mso-pagination:none" align="center"&gt;&amp;#160;&lt;/p&gt;&lt;p class="Standard" style="margin-bottom:5.0pt;text- align:center;mso-pagination:none" align="center"&gt; &lt;span style="font-size: medium;"&gt;</w:t>
            </w:r>
          </w:p>
          <w:p>
            <w:pPr>
              <w:pStyle w:val="TableParagraph"/>
              <w:spacing w:line="190" w:lineRule="exact" w:before="0"/>
              <w:rPr>
                <w:sz w:val="20"/>
              </w:rPr>
            </w:pPr>
            <w:r>
              <w:rPr>
                <w:sz w:val="20"/>
              </w:rPr>
              <w:t>&lt;span style="font-family: &amp;quot;times new roman&amp;quot;, times;"&gt;&amp;#160;&lt;/span&gt;</w:t>
            </w:r>
          </w:p>
          <w:p>
            <w:pPr>
              <w:pStyle w:val="TableParagraph"/>
              <w:tabs>
                <w:tab w:pos="1683" w:val="left" w:leader="none"/>
              </w:tabs>
              <w:spacing w:line="208" w:lineRule="auto" w:before="10"/>
              <w:ind w:right="102"/>
              <w:rPr>
                <w:sz w:val="20"/>
              </w:rPr>
            </w:pPr>
            <w:r>
              <w:rPr>
                <w:sz w:val="20"/>
              </w:rPr>
              <w:t>&lt;/span&gt;&lt;/p&gt;&lt;p class="Standard" style="margin-bottom:5.0pt;text-align:center;mso- pagination:none" align="center"&gt; &lt;span style="font-family: &amp;quot;times new roman&amp;quot;, times; font-size: medium;"&gt;&amp;#160;&lt;/span&gt;&lt;/p&gt;&lt;p class="Standard" style="margin- bottom:5.0pt;text-align:center;mso-pagination:none" align="center"&gt; &lt;span style="font- size: medium;"&gt;</w:t>
              <w:tab/>
              <w:t>&lt;span style="font-family: &amp;quot;times new roman&amp;quot;, times;"&gt;&amp;#160;&lt;/span&gt; &lt;/span&gt;&lt;/p&gt;&lt;p class="Standard" style="margin-bottom:5.0pt;text- align:center;mso-pagination:none" align="center"&gt; &lt;span style="font-size: medium;"&gt;</w:t>
            </w:r>
          </w:p>
          <w:p>
            <w:pPr>
              <w:pStyle w:val="TableParagraph"/>
              <w:spacing w:line="190" w:lineRule="exact" w:before="0"/>
              <w:rPr>
                <w:sz w:val="20"/>
              </w:rPr>
            </w:pPr>
            <w:r>
              <w:rPr>
                <w:sz w:val="20"/>
              </w:rPr>
              <w:t>&lt;span style="font-family: &amp;quot;times new roman&amp;quot;, times;"&gt;&amp;#160;&lt;/span&gt;</w:t>
            </w:r>
          </w:p>
          <w:p>
            <w:pPr>
              <w:pStyle w:val="TableParagraph"/>
              <w:tabs>
                <w:tab w:pos="2427" w:val="left" w:leader="none"/>
                <w:tab w:pos="2496" w:val="left" w:leader="none"/>
                <w:tab w:pos="3006" w:val="left" w:leader="none"/>
                <w:tab w:pos="4074" w:val="left" w:leader="none"/>
                <w:tab w:pos="4518" w:val="left" w:leader="none"/>
                <w:tab w:pos="5685" w:val="left" w:leader="none"/>
                <w:tab w:pos="5752" w:val="left" w:leader="none"/>
                <w:tab w:pos="5787" w:val="left" w:leader="none"/>
                <w:tab w:pos="6304" w:val="left" w:leader="none"/>
              </w:tabs>
              <w:spacing w:line="208" w:lineRule="auto" w:before="9"/>
              <w:ind w:right="181"/>
              <w:rPr>
                <w:sz w:val="20"/>
              </w:rPr>
            </w:pPr>
            <w:r>
              <w:rPr>
                <w:sz w:val="20"/>
              </w:rPr>
              <w:t>&lt;/span&gt;&lt;/p&gt;&lt;p class="Standard" style="margin-bottom:5.0pt;text-align:center;mso- pagination:none" align="center"&gt;  &lt;span style="font-size: medium;"&gt;</w:t>
              <w:tab/>
              <w:t>&lt;span style="font- family: &amp;quot;times new roman&amp;quot;, times;"&gt;</w:t>
              <w:tab/>
              <w:t>&lt;strong&gt;</w:t>
              <w:tab/>
              <w:tab/>
              <w:t>&lt;span style="line-height: 115%;"&gt;RELATÓRIO&lt;/span&gt;</w:t>
              <w:tab/>
              <w:t>&lt;/strong&gt;</w:t>
              <w:tab/>
              <w:t>&lt;/span&gt; &lt;/span&gt;&lt;/p&gt;&lt;p class="Standard" style="margin-bottom:5.0pt;text-align:center;mso-pagination:none" align="center"&gt;&amp;#160;&lt;/p&gt;&lt;p class="Textbody" style="margin-bottom:6.0pt;text- align:justify;text-justify:inter-ideograph;text-indent:2.0cm;line-height:150%"&gt; &lt;span style="color: #010101;"&gt;</w:t>
              <w:tab/>
              <w:t>&lt;span style="font-size: medium;"&gt;</w:t>
              <w:tab/>
              <w:tab/>
              <w:tab/>
              <w:t>&lt;span style="font-family: &amp;quot;times new roman&amp;quot;, times;"&gt;Trata-se de recurso</w:t>
              <w:tab/>
              <w:t>&lt;strong&gt;de apelação interposto&lt;/strong&gt; por</w:t>
              <w:tab/>
              <w:tab/>
              <w:t>&lt;strong&gt;GAPLAN Administradora de Consórcio LTDA.,&lt;/strong&gt;&amp;#160;adversando a sentença proferida pelo Douto Juiz de Direito do&amp;#160;Núcleo de Justiça 4.0 - Execuções de Título Extrajudicial da&amp;#160;Comarca de Fortaleza/CE, na qual foi reconhecida a prescrição do título que embasa a&amp;#160;</w:t>
            </w:r>
          </w:p>
          <w:p>
            <w:pPr>
              <w:pStyle w:val="TableParagraph"/>
              <w:tabs>
                <w:tab w:pos="1996" w:val="left" w:leader="none"/>
                <w:tab w:pos="2374" w:val="left" w:leader="none"/>
              </w:tabs>
              <w:spacing w:line="208" w:lineRule="auto" w:before="0"/>
              <w:ind w:right="63"/>
              <w:rPr>
                <w:sz w:val="20"/>
              </w:rPr>
            </w:pPr>
            <w:r>
              <w:rPr>
                <w:sz w:val="20"/>
              </w:rPr>
              <w:t>&lt;strong&gt;Ação de Execução de Título Extrajudicial&lt;/strong&gt;&amp;#160;ajuizada pelo recorrente em face do&amp;#160;</w:t>
              <w:tab/>
              <w:t>&lt;strong&gt;Espólio de José Silveira Filho&lt;/strong&gt;, representado pelo inventariante, o&amp;#160;</w:t>
              <w:tab/>
              <w:t>&lt;strong&gt;herdeiro Luan Azevedo Silveira.&lt;/strong&gt;&lt;/span&gt;</w:t>
            </w:r>
          </w:p>
          <w:p>
            <w:pPr>
              <w:pStyle w:val="TableParagraph"/>
              <w:tabs>
                <w:tab w:pos="2427" w:val="left" w:leader="none"/>
                <w:tab w:pos="5719" w:val="left" w:leader="none"/>
                <w:tab w:pos="5787" w:val="left" w:leader="none"/>
                <w:tab w:pos="5849" w:val="left" w:leader="none"/>
              </w:tabs>
              <w:spacing w:line="208" w:lineRule="auto" w:before="0"/>
              <w:ind w:right="108"/>
              <w:rPr>
                <w:sz w:val="20"/>
              </w:rPr>
            </w:pPr>
            <w:r>
              <w:rPr>
                <w:sz w:val="20"/>
              </w:rPr>
              <w:t>&lt;/span&gt; &lt;/span&gt;&lt;/p&gt;&lt;p class="Textbody" style="margin-bottom:6.0pt;text- align:justify;text-justify:inter-ideograph;text-indent:2.0cm;line-height:150%"&gt; &lt;span style="color: #010101;"&gt;</w:t>
              <w:tab/>
              <w:t>&lt;span style="font-size: medium;"&gt;</w:t>
              <w:tab/>
              <w:tab/>
              <w:t>&lt;span style="font-family: &amp;quot;times new roman&amp;quot;, times;"&gt;O Magistrado&amp;#160;</w:t>
              <w:tab/>
              <w:t>&lt;em&gt;a quo,&amp;#160;&lt;/em&gt;através da sentença de id. 28196218, julgou extinto o processo sem resolução de mérito, reconhecendo a prescrição da pretensão executória considerando o decurso do prazo de cinco anos, desde o vencimento da obrigação, sem que tenha ocorrido a citação da parte executada e a consequente interrupção do prazo prescricional, nos termos do artigo 206, §5º, inciso I, do Código Civil.&lt;/span&gt;</w:t>
              <w:tab/>
              <w:tab/>
              <w:tab/>
              <w:t>&lt;/span&gt; &lt;/span&gt;&lt;/p&gt;&lt;p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4920" w:val="left" w:leader="none"/>
                <w:tab w:pos="5198" w:val="left" w:leader="none"/>
                <w:tab w:pos="6131" w:val="left" w:leader="none"/>
                <w:tab w:pos="7357" w:val="left" w:leader="none"/>
              </w:tabs>
              <w:spacing w:line="208" w:lineRule="auto" w:before="26"/>
              <w:ind w:right="186"/>
              <w:rPr>
                <w:sz w:val="20"/>
              </w:rPr>
            </w:pPr>
            <w:r>
              <w:rPr>
                <w:sz w:val="20"/>
              </w:rPr>
              <w:t>class="Textbody" style="margin-bottom:6.0pt;text-align:justify;text-justify:inter- ideograph;text-indent:2.0cm;line-height:150%"&gt;  &lt;span style="color: #010101;"&gt;</w:t>
              <w:tab/>
              <w:t>&lt;span style="font-size: medium;"&gt;</w:t>
              <w:tab/>
              <w:t>&lt;span style="font-family: &amp;quot;times new roman&amp;quot;, times;"&gt;A autora/recorrente, através das razões de id. 28196220, requer que seja reformada a sentença de primeiro grau. Sustenta que o prazo prescricional quinquenal para o recebimento das parcelas de consórcio tem início apenas com o encerramento do grupo, conforme dispõe o art. 32, §2º, da Lei nº 11.795/08. Aduz, ainda, que sempre deu regular andamento ao feito, não havendo que se falar em desídia capaz de ensejar o reconhecimento da prescrição da pretensão executiva. Assim, diante da ausência de inércia processual, requer o provimento do recurso, a fim de afastar o reconhecimento </w:t>
            </w:r>
            <w:r>
              <w:rPr>
                <w:spacing w:val="-9"/>
                <w:sz w:val="20"/>
              </w:rPr>
              <w:t>da </w:t>
            </w:r>
            <w:r>
              <w:rPr>
                <w:sz w:val="20"/>
              </w:rPr>
              <w:t>prescrição, com a consequente anulação da sentença recorrida e o regular prosseguimento da demanda em primeiro grau.&lt;/span&gt;</w:t>
              <w:tab/>
              <w:t>&lt;/span&gt; &lt;/span&gt;&lt;/p&gt;&lt;p class="Textbody" style="margin-bottom:6.0pt;text-align:justify;text-justify:inter- ideograph;text-indent:2.0cm;line-height:150%"&gt;  &lt;span style="color: #010101;"&gt;</w:t>
              <w:tab/>
              <w:t>&lt;span style="font-size: medium;"&gt;</w:t>
              <w:tab/>
              <w:t>&lt;span style="font-family: &amp;quot;times new roman&amp;quot;, times;"&gt;Ausente a intimação para apresentação de contrarrazões, uma vez que a parte recorrida sequer foi citada em primeiro grau.&lt;/span&gt;</w:t>
              <w:tab/>
              <w:t>&lt;/span&gt; &lt;/span&gt;&lt;/p&gt;&lt;p class="Textbody" style="margin-bottom:6.0pt;text-align:justify;text-justify:inter- ideograph;text-indent:2.0cm;line-height:150%"&gt;  &lt;span style="color: #010101;"&gt;</w:t>
              <w:tab/>
              <w:t>&lt;span style="font-size: medium;"&gt;</w:t>
              <w:tab/>
              <w:t>&lt;span style="font-family: &amp;quot;times new roman&amp;quot;, times;"&gt;Deixei de remeter os autos para apreciação da douta Procuradoria-Geral de Justiça por se tratar de causa exclusivamente patrimonial.&lt;/span&gt;</w:t>
              <w:tab/>
              <w:t>&lt;/span&gt;</w:t>
            </w:r>
          </w:p>
          <w:p>
            <w:pPr>
              <w:pStyle w:val="TableParagraph"/>
              <w:tabs>
                <w:tab w:pos="1284" w:val="left" w:leader="none"/>
                <w:tab w:pos="4018" w:val="left" w:leader="none"/>
                <w:tab w:pos="4518" w:val="left" w:leader="none"/>
                <w:tab w:pos="4644" w:val="left" w:leader="none"/>
              </w:tabs>
              <w:spacing w:line="208" w:lineRule="auto" w:before="0"/>
              <w:ind w:right="213"/>
              <w:rPr>
                <w:sz w:val="20"/>
              </w:rPr>
            </w:pPr>
            <w:r>
              <w:rPr>
                <w:sz w:val="20"/>
              </w:rPr>
              <w:t>&lt;/span&gt;&lt;/p&gt;&lt;p class="Textbody" style="margin-bottom:6.0pt;text-align:justify;text- justify:inter-ideograph;text-indent:2.0cm;line-height:150%"&gt; &lt;span style="color: #010101;"&gt;</w:t>
              <w:tab/>
              <w:t>&lt;span style="font-size: medium;"&gt;</w:t>
              <w:tab/>
              <w:tab/>
              <w:t>&lt;span style="font-family: &amp;quot;times new roman&amp;quot;, times;"&gt;É o relatório.&lt;/span&gt;</w:t>
              <w:tab/>
              <w:t>&lt;/span&gt; &lt;/span&gt;&lt;/p&gt;&lt;p class="Textbody" style="margin-bottom:5.0pt;text-align:justify;text-justify:inter- ideograph;text-indent:2.0cm;line-height:150%;tab-stops:183.4pt"&gt; &lt;span style="color: #010101;"&gt;</w:t>
              <w:tab/>
              <w:t>&lt;span style="font-size: medium;"&gt;</w:t>
              <w:tab/>
              <w:tab/>
              <w:t>&lt;span style="font-family: &amp;quot;times new roman&amp;quot;, times;"&gt;&amp;#160;&lt;/span&gt;</w:t>
              <w:tab/>
              <w:t>&lt;/span&gt; &lt;/span&gt;&lt;/p&gt;&lt;p class="Textbody" style="margin-bottom:5.0pt;text-align:justify;text-justify:inter-ideograph;text- indent:2.0cm;line-height:150%;tab-stops:183.4pt"&gt;&amp;#160;&lt;/p&gt;&lt;p class="Textbody" style="margin-bottom:5.0pt;text-align:justify;text-justify:inter-ideograph;text- indent:2.0cm;line-height:150%;tab-stops:183.4pt"&gt; &lt;span style="color: #010101;"&gt;</w:t>
            </w:r>
          </w:p>
          <w:p>
            <w:pPr>
              <w:pStyle w:val="TableParagraph"/>
              <w:tabs>
                <w:tab w:pos="2461" w:val="left" w:leader="none"/>
                <w:tab w:pos="3317" w:val="left" w:leader="none"/>
                <w:tab w:pos="3400" w:val="left" w:leader="none"/>
                <w:tab w:pos="3852" w:val="left" w:leader="none"/>
                <w:tab w:pos="4262" w:val="left" w:leader="none"/>
                <w:tab w:pos="4518" w:val="left" w:leader="none"/>
                <w:tab w:pos="4919" w:val="left" w:leader="none"/>
                <w:tab w:pos="5752" w:val="left" w:leader="none"/>
                <w:tab w:pos="6081" w:val="left" w:leader="none"/>
              </w:tabs>
              <w:spacing w:line="208" w:lineRule="auto" w:before="0"/>
              <w:ind w:right="19"/>
              <w:rPr>
                <w:sz w:val="20"/>
              </w:rPr>
            </w:pPr>
            <w:r>
              <w:rPr>
                <w:sz w:val="20"/>
              </w:rPr>
              <w:t>&lt;span style="font-size: medium;"&gt;</w:t>
              <w:tab/>
              <w:tab/>
              <w:t>&lt;span style="font-family: &amp;quot;times new roman&amp;quot;, times;"&gt;</w:t>
              <w:tab/>
              <w:t>&lt;br /&gt;</w:t>
              <w:tab/>
              <w:t>&lt;/span&gt;</w:t>
              <w:tab/>
              <w:t>&lt;/span&gt; &lt;/span&gt;&lt;/p&gt;&lt;p class="Standard" style="margin-bottom:5.0pt;text-align:center;line-height:150%;mso-pagination:none;tab- stops:183.4pt" align="center"&gt;  &lt;span style="font-size: medium;"&gt;</w:t>
              <w:tab/>
              <w:t>&lt;span style="font- family: &amp;quot;times new roman&amp;quot;, times;"&gt;</w:t>
              <w:tab/>
              <w:tab/>
              <w:t>&lt;strong&gt;</w:t>
              <w:tab/>
              <w:t>&lt;span style="line-height: 150%; color: #010101;"&gt;VOTO&lt;/span&gt;</w:t>
              <w:tab/>
              <w:t>&lt;/strong&gt;</w:t>
              <w:tab/>
              <w:t>&lt;/span&gt; &lt;/span&gt;&lt;/p&gt;&lt;p class="Standarduser" style="margin-top:0cm;margin-right:0cm;margin-bottom:6.0pt;margin- left:1.0cm;text-align:justify;text-justify:inter-ideograph;line-height:150%"&gt; &lt;span</w:t>
            </w:r>
          </w:p>
          <w:p>
            <w:pPr>
              <w:pStyle w:val="TableParagraph"/>
              <w:tabs>
                <w:tab w:pos="1094" w:val="left" w:leader="none"/>
                <w:tab w:pos="1863" w:val="left" w:leader="none"/>
                <w:tab w:pos="2328" w:val="left" w:leader="none"/>
                <w:tab w:pos="2682" w:val="left" w:leader="none"/>
                <w:tab w:pos="2930" w:val="left" w:leader="none"/>
                <w:tab w:pos="6278" w:val="left" w:leader="none"/>
              </w:tabs>
              <w:spacing w:line="208" w:lineRule="auto" w:before="0"/>
              <w:ind w:right="30"/>
              <w:rPr>
                <w:sz w:val="20"/>
              </w:rPr>
            </w:pPr>
            <w:r>
              <w:rPr>
                <w:sz w:val="20"/>
              </w:rPr>
              <w:t>style="font-size: medium;"&gt;</w:t>
              <w:tab/>
              <w:t>&lt;span style="font-family: &amp;quot;times new roman&amp;quot;, times;"&gt;</w:t>
              <w:tab/>
              <w:t>&lt;strong&gt;</w:t>
              <w:tab/>
              <w:t>&lt;span style="text-decoration: underline;"&gt;1 – Admissibilidade recursal.&lt;/span&gt;</w:t>
              <w:tab/>
              <w:t>&lt;/strong&gt;</w:t>
              <w:tab/>
              <w:t>&lt;/span&gt; &lt;/span&gt;&lt;/p&gt;&lt;p class="Standarduser" style="margin-bottom:6.0pt;text-align:justify;text-justify:inter-ideograph;text- indent:2.0cm;line-height:150%"&gt;  &lt;span style="font-size: medium;"&gt;</w:t>
              <w:tab/>
              <w:t>&lt;span style="font- family: &amp;quot;times new roman&amp;quot;, times;"&gt;Exercendo o juízo de admissibilidade, verifico que estão presentes os pressupostos de admissibilidade, conhecendo do recurso </w:t>
            </w:r>
            <w:r>
              <w:rPr>
                <w:spacing w:val="-18"/>
                <w:sz w:val="20"/>
              </w:rPr>
              <w:t>e </w:t>
            </w:r>
            <w:r>
              <w:rPr>
                <w:sz w:val="20"/>
              </w:rPr>
              <w:t>passando à sua análise.&lt;/span&gt; &lt;/span&gt;&lt;/p&gt;&lt;p class="Standard" style="margin- bottom:5.0pt;text-align:justify;text-justify:inter-ideograph;text-indent:1.0cm;line- height:150%;mso-pagination:none"&gt;&amp;#160;&lt;/p&gt;&lt;p class="Standard" style="margin- bottom:5.0pt;text-align:justify;text-justify:inter-ideograph;text-indent:1.0cm;line- height:150%;mso-pagination:none;tab-stops:183.4pt"&gt; &lt;span style="font-size: medium;"&gt;</w:t>
            </w:r>
          </w:p>
          <w:p>
            <w:pPr>
              <w:pStyle w:val="TableParagraph"/>
              <w:tabs>
                <w:tab w:pos="1216" w:val="left" w:leader="none"/>
                <w:tab w:pos="1683" w:val="left" w:leader="none"/>
                <w:tab w:pos="2786" w:val="left" w:leader="none"/>
                <w:tab w:pos="3853" w:val="left" w:leader="none"/>
                <w:tab w:pos="6123" w:val="left" w:leader="none"/>
                <w:tab w:pos="7357" w:val="left" w:leader="none"/>
              </w:tabs>
              <w:spacing w:line="208" w:lineRule="auto" w:before="0"/>
              <w:ind w:right="108"/>
              <w:rPr>
                <w:sz w:val="20"/>
              </w:rPr>
            </w:pPr>
            <w:r>
              <w:rPr>
                <w:sz w:val="20"/>
              </w:rPr>
              <w:t>&lt;span style="font-family: &amp;quot;times new roman&amp;quot;, times;"&gt;</w:t>
              <w:tab/>
              <w:t>&lt;strong&gt;</w:t>
              <w:tab/>
              <w:t>&lt;span style="text-decoration: underline;"&gt;2 – Mérito recursal: pedido de revisão do débito e quitação do débito.&lt;/span&gt;</w:t>
              <w:tab/>
              <w:t>&lt;/strong&gt;</w:t>
              <w:tab/>
              <w:t>&lt;/span&gt; &lt;/span&gt;&lt;/p&gt;&lt;p class="Standard" style="margin-bottom:7.0pt;text-align:justify;text-justify:inter-ideograph;text- indent:2.0cm;line-height:150%;mso-pagination:lines-together"&gt; &lt;span style="font-size: medium;"&gt;</w:t>
              <w:tab/>
              <w:t>&lt;span style="font-family: &amp;quot;times new roman&amp;quot;, times;"&gt;O cerne da controvérsia consiste em analisar a ocorrência ou não da prescrição, considerando os marcos estabelecidos para contagem do prazo prescricional.&lt;/span&gt; &lt;/span&gt;&lt;/p&gt;&lt;p class="Standard" style="margin-bottom:7.0pt;text-align:justify;text-justify:inter- ideograph;text-indent:2.0cm;line-height:150%;mso-pagination:none"&gt; &lt;span style="font- size: medium;"&gt;</w:t>
              <w:tab/>
              <w:t>&lt;span style="font-family: &amp;quot;times new roman&amp;quot;, times;"&gt;Inicialmente, vale destacar que nos termos do artigo 206, § 5º, inciso I, do Código Civil, o prazo prescricional para o ajuizamento de ação que objetiva a cobrança de </w:t>
            </w:r>
            <w:r>
              <w:rPr>
                <w:spacing w:val="-3"/>
                <w:sz w:val="20"/>
              </w:rPr>
              <w:t>dívidas </w:t>
            </w:r>
            <w:r>
              <w:rPr>
                <w:sz w:val="20"/>
              </w:rPr>
              <w:t>líquidas constantes de instrumento público ou particular é de cinco anos, senão vejamos:&lt;/span&gt; &lt;/span&gt;&lt;/p&gt;&lt;p class="Standard" style="margin-bottom:7.0pt;text- align:justify;text-justify:inter-ideograph;text-indent:2.0cm;line-height:150%;mso-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884" w:val="left" w:leader="none"/>
                <w:tab w:pos="4629" w:val="left" w:leader="none"/>
                <w:tab w:pos="5011" w:val="left" w:leader="none"/>
                <w:tab w:pos="6952" w:val="left" w:leader="none"/>
              </w:tabs>
              <w:spacing w:line="208" w:lineRule="auto" w:before="26"/>
              <w:ind w:right="408"/>
              <w:rPr>
                <w:sz w:val="20"/>
              </w:rPr>
            </w:pPr>
            <w:r>
              <w:rPr>
                <w:sz w:val="20"/>
              </w:rPr>
              <w:t>pagination:none"&gt;  &lt;span style="font-size: medium;"&gt;</w:t>
              <w:tab/>
              <w:t>&lt;span style="font-family: &amp;quot;times new roman&amp;quot;, times;"&gt;</w:t>
              <w:tab/>
              <w:t>&lt;br /&gt;</w:t>
              <w:tab/>
              <w:t>&lt;/span&gt; &lt;/span&gt;&lt;/p&gt;&lt;p class="Standard" style="margin-top:0cm;margin-right:0cm;margin-bottom:7.0pt;margin- left:4.0cm;text-align:justify;text-justify:inter-ideograph;line-height:150%;mso- pagination:none"&gt;  &lt;span style="font-size: medium;"&gt;</w:t>
              <w:tab/>
              <w:t>&lt;span style="font-family: &amp;quot;times new roman&amp;quot;, times;"&gt;</w:t>
              <w:tab/>
              <w:t>&lt;em&gt;Art. 206. Prescreve:&lt;/em&gt;</w:t>
              <w:tab/>
              <w:t>&lt;/span&gt;</w:t>
            </w:r>
          </w:p>
          <w:p>
            <w:pPr>
              <w:pStyle w:val="TableParagraph"/>
              <w:tabs>
                <w:tab w:pos="5517" w:val="left" w:leader="none"/>
                <w:tab w:pos="6623" w:val="left" w:leader="none"/>
                <w:tab w:pos="7151" w:val="left" w:leader="none"/>
              </w:tabs>
              <w:spacing w:line="208" w:lineRule="auto" w:before="0"/>
              <w:ind w:right="278"/>
              <w:rPr>
                <w:sz w:val="20"/>
              </w:rPr>
            </w:pPr>
            <w:r>
              <w:rPr>
                <w:sz w:val="20"/>
              </w:rPr>
              <w:t>&lt;/span&gt;&lt;/p&gt;&lt;p class="Standard" style="margin-top:0cm;margin-right:0cm;margin- bottom:7.0pt;margin-left:4.0cm;text-align:justify;text-justify:inter-ideograph;line- height:150%;mso-pagination:none"&gt;  &lt;span style="font-size: medium;"&gt;</w:t>
              <w:tab/>
              <w:t>&lt;span style="font-family: &amp;quot;times new roman&amp;quot;, times;"&gt;</w:t>
              <w:tab/>
              <w:t>&lt;em&gt;(…)&lt;/em&gt;</w:t>
              <w:tab/>
            </w:r>
            <w:r>
              <w:rPr>
                <w:spacing w:val="-3"/>
                <w:sz w:val="20"/>
              </w:rPr>
              <w:t>&lt;/span&gt;</w:t>
            </w:r>
          </w:p>
          <w:p>
            <w:pPr>
              <w:pStyle w:val="TableParagraph"/>
              <w:tabs>
                <w:tab w:pos="1318" w:val="left" w:leader="none"/>
                <w:tab w:pos="5517" w:val="left" w:leader="none"/>
                <w:tab w:pos="6623" w:val="left" w:leader="none"/>
              </w:tabs>
              <w:spacing w:line="208" w:lineRule="auto" w:before="0"/>
              <w:ind w:right="290"/>
              <w:rPr>
                <w:sz w:val="20"/>
              </w:rPr>
            </w:pPr>
            <w:r>
              <w:rPr>
                <w:sz w:val="20"/>
              </w:rPr>
              <w:t>&lt;/span&gt;&lt;/p&gt;&lt;p class="Standard" style="margin-top:0cm;margin-right:0cm;margin- bottom:7.0pt;margin-left:4.0cm;text-align:justify;text-justify:inter-ideograph;line- height:150%;mso-pagination:none"&gt;  &lt;span style="font-size: medium;"&gt;</w:t>
              <w:tab/>
              <w:t>&lt;span style="font-family: &amp;quot;times new roman&amp;quot;, times;"&gt;</w:t>
              <w:tab/>
              <w:t>&lt;em&gt;§ 5º Em cinco anos:&lt;/em&gt;</w:t>
              <w:tab/>
              <w:t>&lt;/span&gt; &lt;/span&gt;&lt;/p&gt;&lt;p class="Standard" style="margin-top:0cm;margin- right:0cm;margin-bottom:7.0pt;margin-left:4.0cm;text-align:justify;text-justify:inter- ideograph;line-height:150%;mso-pagination:none"&gt; &lt;span style="font-size: medium;"&gt;</w:t>
            </w:r>
          </w:p>
          <w:p>
            <w:pPr>
              <w:pStyle w:val="TableParagraph"/>
              <w:tabs>
                <w:tab w:pos="1216" w:val="left" w:leader="none"/>
                <w:tab w:pos="1818" w:val="left" w:leader="none"/>
                <w:tab w:pos="2885" w:val="left" w:leader="none"/>
                <w:tab w:pos="6123" w:val="left" w:leader="none"/>
                <w:tab w:pos="7300" w:val="left" w:leader="none"/>
                <w:tab w:pos="7357" w:val="left" w:leader="none"/>
              </w:tabs>
              <w:spacing w:line="208" w:lineRule="auto" w:before="0"/>
              <w:ind w:right="61"/>
              <w:rPr>
                <w:sz w:val="20"/>
              </w:rPr>
            </w:pPr>
            <w:r>
              <w:rPr>
                <w:sz w:val="20"/>
              </w:rPr>
              <w:t>&lt;span style="font-family: &amp;quot;times new roman&amp;quot;, times;"&gt;</w:t>
              <w:tab/>
              <w:t>&lt;strong&gt;</w:t>
              <w:tab/>
              <w:tab/>
              <w:t>&lt;em&gt;I </w:t>
            </w:r>
            <w:r>
              <w:rPr>
                <w:spacing w:val="-17"/>
                <w:sz w:val="20"/>
              </w:rPr>
              <w:t>– </w:t>
            </w:r>
            <w:r>
              <w:rPr>
                <w:sz w:val="20"/>
              </w:rPr>
              <w:t>a pretensão de cobrança de dívidas líquidas constantes de instrumento público ou particular;&lt;/em&gt;</w:t>
              <w:tab/>
              <w:t>&lt;/strong&gt;</w:t>
              <w:tab/>
              <w:t>&lt;/span&gt; &lt;/span&gt;&lt;/p&gt;&lt;p class="Standard" style="margin- top:0cm;margin-right:0cm;margin-bottom:7.0pt;margin-left:4.0cm;text-align:justify;text- justify:inter-ideograph;line-height:150%;mso-pagination:none"&gt; &lt;span style="font-size: medium;"&gt;</w:t>
              <w:tab/>
              <w:t>&lt;span style="font-family: &amp;quot;times new roman&amp;quot;, times;"&gt;</w:t>
              <w:tab/>
            </w:r>
            <w:r>
              <w:rPr>
                <w:spacing w:val="-1"/>
                <w:sz w:val="20"/>
              </w:rPr>
              <w:t>&lt;strong&gt;</w:t>
            </w:r>
          </w:p>
          <w:p>
            <w:pPr>
              <w:pStyle w:val="TableParagraph"/>
              <w:tabs>
                <w:tab w:pos="1106" w:val="left" w:leader="none"/>
                <w:tab w:pos="1216" w:val="left" w:leader="none"/>
                <w:tab w:pos="2074" w:val="left" w:leader="none"/>
                <w:tab w:pos="2974" w:val="left" w:leader="none"/>
                <w:tab w:pos="4041" w:val="left" w:leader="none"/>
                <w:tab w:pos="4964" w:val="left" w:leader="none"/>
              </w:tabs>
              <w:spacing w:line="208" w:lineRule="auto" w:before="0"/>
              <w:ind w:right="63"/>
              <w:rPr>
                <w:sz w:val="20"/>
              </w:rPr>
            </w:pPr>
            <w:r>
              <w:rPr>
                <w:sz w:val="20"/>
              </w:rPr>
              <w:t>&lt;em&gt;</w:t>
              <w:tab/>
              <w:t>&lt;br /&gt;</w:t>
              <w:tab/>
              <w:t>&lt;/em&gt;</w:t>
              <w:tab/>
              <w:t>&lt;/strong&gt;</w:t>
              <w:tab/>
              <w:t>&lt;/span&gt; &lt;/span&gt;&lt;/p&gt;&lt;p class="Standard" style="margin-bottom:7.0pt;text-align:justify;text-justify:inter-ideograph;text- indent:2.0cm;line-height:150%;mso-pagination:lines-together"&gt; &lt;span style="font-size: medium;"&gt;</w:t>
              <w:tab/>
              <w:tab/>
              <w:t>&lt;span style="font-family: &amp;quot;times new roman&amp;quot;, times;"&gt;Entretanto, tratando-se de contratos de consórcio, há regramento específico previsto na Lei nº 11.795/2008, cuja aplicação afasta, em parte, a regra geral do Código Civil. Nos termos </w:t>
            </w:r>
            <w:r>
              <w:rPr>
                <w:spacing w:val="-9"/>
                <w:sz w:val="20"/>
              </w:rPr>
              <w:t>do </w:t>
            </w:r>
            <w:r>
              <w:rPr>
                <w:sz w:val="20"/>
              </w:rPr>
              <w:t>artigo 32, § 2º, da mencionada lei, o prazo prescricional quinquenal para a cobrança de obrigações consorciais tem como termo inicial a data de encerramento do grupo de consórcio, e não o vencimento de parcelas isoladas.</w:t>
              <w:tab/>
              <w:t>&lt;em&gt;In verbis&lt;/em&gt;:&lt;/span&gt;</w:t>
            </w:r>
          </w:p>
          <w:p>
            <w:pPr>
              <w:pStyle w:val="TableParagraph"/>
              <w:spacing w:line="208" w:lineRule="auto" w:before="0"/>
              <w:ind w:right="187"/>
              <w:rPr>
                <w:sz w:val="20"/>
              </w:rPr>
            </w:pPr>
            <w:r>
              <w:rPr>
                <w:sz w:val="20"/>
              </w:rPr>
              <w:t>&lt;/span&gt;&lt;/p&gt;&lt;p class="Standard" style="margin-bottom:7.0pt;text-align:justify;text- justify:inter-ideograph;text-indent:2.0cm;line-height:150%;mso-pagination:lines-together"&gt;</w:t>
            </w:r>
          </w:p>
          <w:p>
            <w:pPr>
              <w:pStyle w:val="TableParagraph"/>
              <w:tabs>
                <w:tab w:pos="2350" w:val="left" w:leader="none"/>
                <w:tab w:pos="3095" w:val="left" w:leader="none"/>
                <w:tab w:pos="3288" w:val="left" w:leader="none"/>
              </w:tabs>
              <w:spacing w:line="208" w:lineRule="auto" w:before="0"/>
              <w:ind w:right="343"/>
              <w:rPr>
                <w:sz w:val="20"/>
              </w:rPr>
            </w:pPr>
            <w:r>
              <w:rPr>
                <w:sz w:val="20"/>
              </w:rPr>
              <w:t>&lt;span style="font-size: medium;"&gt;</w:t>
              <w:tab/>
              <w:tab/>
              <w:t>&lt;span style="font-family: &amp;quot;times new roman&amp;quot;, times;"&gt;</w:t>
              <w:tab/>
              <w:t>&lt;br /&gt;</w:t>
              <w:tab/>
              <w:t>&lt;/span&gt; &lt;/span&gt;&lt;/p&gt;&lt;p class="Standard" style="margin-top:0cm;margin-right:0cm;margin-bottom:6.0pt;margin-left:4.0cm;text- align:justify;text-justify:inter-ideograph;line-height:150%;mso-pagination:lines-together"&gt;</w:t>
            </w:r>
          </w:p>
          <w:p>
            <w:pPr>
              <w:pStyle w:val="TableParagraph"/>
              <w:tabs>
                <w:tab w:pos="2350" w:val="left" w:leader="none"/>
                <w:tab w:pos="3252" w:val="left" w:leader="none"/>
                <w:tab w:pos="3288" w:val="left" w:leader="none"/>
                <w:tab w:pos="3884" w:val="left" w:leader="none"/>
                <w:tab w:pos="5153" w:val="left" w:leader="none"/>
                <w:tab w:pos="5765" w:val="left" w:leader="none"/>
              </w:tabs>
              <w:spacing w:line="208" w:lineRule="auto" w:before="0"/>
              <w:ind w:right="32"/>
              <w:rPr>
                <w:sz w:val="20"/>
              </w:rPr>
            </w:pPr>
            <w:r>
              <w:rPr>
                <w:sz w:val="20"/>
              </w:rPr>
              <w:t>&lt;span style="font-size: medium;"&gt;</w:t>
              <w:tab/>
              <w:tab/>
              <w:t>&lt;span style="font-family: &amp;quot;times new roman&amp;quot;, times;"&gt;</w:t>
              <w:tab/>
              <w:t>&lt;em&gt;Art. 32. O encerramento do grupo deve ocorrer no prazo máximo de 120 (cento e vinte) dias, contado da data da realização da última assembléia de contemplação do grupo de consórcio e desde que decorridos, no mínimo, 30 (trinta) dias da comunicação de que trata o art. 31, ocasião em que se deve proceder à definitiva prestação de contas do grupo, discriminando-se:&lt;/em&gt;</w:t>
              <w:tab/>
              <w:t>&lt;/span&gt; &lt;/span&gt;&lt;/p&gt;&lt;p class="Standard" style="margin-top:0cm;margin-right:0cm;margin-bottom:6.0pt;margin- left:4.0cm;text-align:justify;text-justify:inter-ideograph;line-height:150%;mso- pagination:lines-together"&gt;  &lt;span style="font-size: medium;"&gt;</w:t>
              <w:tab/>
              <w:t>&lt;span style="font-family: &amp;quot;times new roman&amp;quot;, times;"&gt;</w:t>
              <w:tab/>
              <w:t>&lt;em&gt;I – as disponibilidades remanescentes dos respectivos consorciados e participantes excluídos;&lt;/em&gt;</w:t>
              <w:tab/>
              <w:t>&lt;/span&gt; &lt;/span&gt;&lt;/p&gt;&lt;p class="Standard" style="margin-top:0cm;margin-right:0cm;margin-bottom:6.0pt;margin- left:4.0cm;text-align:justify;text-justify:inter-ideograph;line-height:150%;mso- pagination:lines-together"&gt;  &lt;span style="font-size: medium;"&gt;</w:t>
              <w:tab/>
              <w:t>&lt;span style="font-family: &amp;quot;times new roman&amp;quot;, times;"&gt;</w:t>
              <w:tab/>
              <w:t>&lt;em&gt;II – os valores pendentes de </w:t>
            </w:r>
            <w:r>
              <w:rPr>
                <w:spacing w:val="-2"/>
                <w:sz w:val="20"/>
              </w:rPr>
              <w:t>recebimento, </w:t>
            </w:r>
            <w:r>
              <w:rPr>
                <w:sz w:val="20"/>
              </w:rPr>
              <w:t>objeto de cobrança judicial.&lt;/em&gt;</w:t>
              <w:tab/>
              <w:t>&lt;/span&gt; &lt;/span&gt;&lt;/p&gt;&lt;p class="Standard" style="margin-top:0cm;margin-right:0cm;margin-bottom:6.0pt;margin-left:4.0cm;text- align:justify;text-justify:inter-ideograph;line-height:150%;mso-pagination:lines-together"&gt;</w:t>
            </w:r>
          </w:p>
          <w:p>
            <w:pPr>
              <w:pStyle w:val="TableParagraph"/>
              <w:tabs>
                <w:tab w:pos="2350" w:val="left" w:leader="none"/>
                <w:tab w:pos="3288" w:val="left" w:leader="none"/>
                <w:tab w:pos="7010" w:val="left" w:leader="none"/>
              </w:tabs>
              <w:spacing w:line="208" w:lineRule="auto" w:before="0"/>
              <w:ind w:right="219"/>
              <w:rPr>
                <w:sz w:val="20"/>
              </w:rPr>
            </w:pPr>
            <w:r>
              <w:rPr>
                <w:sz w:val="20"/>
              </w:rPr>
              <w:t>&lt;span style="font-size: medium;"&gt;</w:t>
              <w:tab/>
              <w:t>&lt;span style="font-family: &amp;quot;times new roman&amp;quot;, times;"&gt;</w:t>
              <w:tab/>
              <w:t>&lt;em&gt;§ 1º Os valores pendentes de recebimento, uma vez recuperados, devem ser rateados proporcionalmente entre os beneficiários, devendo a administradora, até 120 (cento e vinte) dias após o seu recebimento, comunicar-lhes </w:t>
            </w:r>
            <w:r>
              <w:rPr>
                <w:spacing w:val="-6"/>
                <w:sz w:val="20"/>
              </w:rPr>
              <w:t>que </w:t>
            </w:r>
            <w:r>
              <w:rPr>
                <w:sz w:val="20"/>
              </w:rPr>
              <w:t>os respectivos saldos estão à disposição para devolução em espécie.&lt;/em&gt;</w:t>
              <w:tab/>
              <w:t>&lt;/span&gt;</w:t>
            </w:r>
          </w:p>
          <w:p>
            <w:pPr>
              <w:pStyle w:val="TableParagraph"/>
              <w:tabs>
                <w:tab w:pos="5517" w:val="left" w:leader="none"/>
                <w:tab w:pos="6362" w:val="left" w:leader="none"/>
                <w:tab w:pos="7390" w:val="left" w:leader="none"/>
              </w:tabs>
              <w:spacing w:line="208" w:lineRule="auto" w:before="0"/>
              <w:ind w:right="212"/>
              <w:rPr>
                <w:sz w:val="20"/>
              </w:rPr>
            </w:pPr>
            <w:r>
              <w:rPr>
                <w:sz w:val="20"/>
              </w:rPr>
              <w:t>&lt;/span&gt;&lt;/p&gt;&lt;p class="Standard" style="margin-top:0cm;margin-right:0cm;margin- bottom:6.0pt;margin-left:4.0cm;text-align:justify;text-justify:inter-ideograph;line- height:150%;mso-pagination:lines-together"&gt;  &lt;span style="font-size: medium;"&gt;</w:t>
              <w:tab/>
            </w:r>
            <w:r>
              <w:rPr>
                <w:spacing w:val="-4"/>
                <w:sz w:val="20"/>
              </w:rPr>
              <w:t>&lt;span </w:t>
            </w:r>
            <w:r>
              <w:rPr>
                <w:sz w:val="20"/>
              </w:rPr>
              <w:t>style="font-family: &amp;quot;times new roman&amp;quot;, times;"&gt;</w:t>
              <w:tab/>
              <w:t>&lt;em&gt;</w:t>
              <w:tab/>
              <w:t>&lt;strong&gt;</w:t>
            </w:r>
          </w:p>
          <w:p>
            <w:pPr>
              <w:pStyle w:val="TableParagraph"/>
              <w:tabs>
                <w:tab w:pos="2452" w:val="left" w:leader="none"/>
                <w:tab w:pos="3686" w:val="left" w:leader="none"/>
              </w:tabs>
              <w:spacing w:line="208" w:lineRule="auto" w:before="0"/>
              <w:ind w:right="165"/>
              <w:rPr>
                <w:sz w:val="20"/>
              </w:rPr>
            </w:pPr>
            <w:r>
              <w:rPr>
                <w:sz w:val="20"/>
              </w:rPr>
              <w:t>&lt;span style="text-decoration: underline;"&gt;§ 2º Prescreverá em 5 (cinco) anos a pretensão do consorciado&lt;/span&gt;</w:t>
              <w:tab/>
              <w:t>&lt;/strong&gt;</w:t>
              <w:tab/>
              <w:t>&lt;span style="text-decoration: underline;"&gt;</w:t>
            </w:r>
          </w:p>
          <w:p>
            <w:pPr>
              <w:pStyle w:val="TableParagraph"/>
              <w:spacing w:line="190" w:lineRule="exact" w:before="0"/>
              <w:rPr>
                <w:sz w:val="20"/>
              </w:rPr>
            </w:pPr>
            <w:r>
              <w:rPr>
                <w:sz w:val="20"/>
              </w:rPr>
              <w:t>&lt;strong&gt;ou do excluído contra o grupo ou a administradora, e destes&lt;/strong&gt;</w:t>
            </w:r>
          </w:p>
          <w:p>
            <w:pPr>
              <w:pStyle w:val="TableParagraph"/>
              <w:spacing w:line="200" w:lineRule="exact" w:before="0"/>
              <w:rPr>
                <w:sz w:val="20"/>
              </w:rPr>
            </w:pPr>
            <w:r>
              <w:rPr>
                <w:sz w:val="20"/>
              </w:rPr>
              <w:t>&lt;strong&gt;contra aqueles, a contar da data referida no caput.&lt;/strong&gt;&lt;/span&gt;&lt;/em&gt;</w:t>
            </w:r>
          </w:p>
          <w:p>
            <w:pPr>
              <w:pStyle w:val="TableParagraph"/>
              <w:spacing w:line="215" w:lineRule="exact" w:before="0"/>
              <w:rPr>
                <w:sz w:val="20"/>
              </w:rPr>
            </w:pPr>
            <w:r>
              <w:rPr>
                <w:sz w:val="20"/>
              </w:rPr>
              <w:t>&lt;/span&gt; &lt;/span&gt;&lt;/p&gt;&lt;p class="Standard" style="margin-bottom:6.0pt;text-align:justify;text-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340" w:val="left" w:leader="none"/>
                <w:tab w:pos="2794" w:val="left" w:leader="none"/>
                <w:tab w:pos="3773" w:val="left" w:leader="none"/>
                <w:tab w:pos="7498" w:val="left" w:leader="none"/>
              </w:tabs>
              <w:spacing w:line="208" w:lineRule="auto" w:before="26"/>
              <w:ind w:right="18"/>
              <w:rPr>
                <w:sz w:val="20"/>
              </w:rPr>
            </w:pPr>
            <w:r>
              <w:rPr>
                <w:sz w:val="20"/>
              </w:rPr>
              <w:t>justify:inter-ideograph;line-height:150%;mso-pagination:lines-together"&gt;  &lt;strong&gt;</w:t>
              <w:tab/>
              <w:t>&lt;span style="font-size: medium;"&gt;</w:t>
              <w:tab/>
              <w:t>&lt;span style="font-family: &amp;quot;times new roman&amp;quot;, times;"&gt;&amp;#160;&lt;/span&gt;</w:t>
              <w:tab/>
              <w:t>&lt;/span&gt; &lt;/strong&gt; &lt;span style="font-family: &amp;quot;times new roman&amp;quot;, times; font-size: medium; text-indent: 2cm;"&gt;&amp;#160;&lt;/span&gt;&lt;/p&gt;&lt;p class="Standard" style="margin-bottom: 6.0pt; text-align: justify; text-justify: inter-ideograph; text-indent: 2.0cm; line-height: 150%; mso-pagination: none;"&gt; &lt;span style="font-family: &amp;quot;times new roman&amp;quot;, times;"&gt;</w:t>
              <w:tab/>
              <w:t>&lt;span style="font-size: medium;"&gt;A tese central da apelante reside na correta identificação do termo inicial do prazo prescricional. De fato, conforme explicado acima, para a cobrança de dívidas de consorciados, a jurisprudência e a legislação especial (Lei nº 11.795/2008) estabelecem que o prazo quinquenal se inicia a partir do encerramento do grupo. Conforme consta nos autos (id. 28195213), tal data ocorreu em fevereiro de 2010. Portanto, o prazo para o ajuizamento da ação de cobrança se estenderia até fevereiro de 2015.&lt;/span&gt; &lt;/span&gt;&lt;/p&gt;&lt;p class="Standard" style="margin-bottom:6.0pt;text-align:justify;text-justify:inter-ideograph;text- indent:2.0cm;line-height:150%;mso-pagination:none"&gt; &lt;span style="font-size: medium;"&gt;</w:t>
            </w:r>
          </w:p>
          <w:p>
            <w:pPr>
              <w:pStyle w:val="TableParagraph"/>
              <w:tabs>
                <w:tab w:pos="1216" w:val="left" w:leader="none"/>
                <w:tab w:pos="5011" w:val="left" w:leader="none"/>
                <w:tab w:pos="7189" w:val="left" w:leader="none"/>
              </w:tabs>
              <w:spacing w:line="208" w:lineRule="auto" w:before="0"/>
              <w:ind w:right="174"/>
              <w:rPr>
                <w:sz w:val="20"/>
              </w:rPr>
            </w:pPr>
            <w:r>
              <w:rPr>
                <w:sz w:val="20"/>
              </w:rPr>
              <w:t>&lt;span style="font-family: &amp;quot;times new roman&amp;quot;, times;"&gt;O ponto&lt;/span&gt; &lt;span style="font-family: &amp;quot;times new roman&amp;quot;, times;"&gt;fulcral da questão, no entanto, não é o marco inicial, mas sim a ausência de um marco interruptivo da prescrição.&lt;/span&gt;&lt;/span&gt;&lt;/p&gt;&lt;p class="Standard" style="margin-bottom:6.0pt;text- align:justify;text-justify:inter-ideograph;text-indent:2.0cm;line-height:150%;mso- pagination:none"&gt;  &lt;span style="font-size: medium;"&gt;</w:t>
              <w:tab/>
              <w:t>&lt;span style="font-family: &amp;quot;times new roman&amp;quot;, times;"&gt;A sentença extinguiu o feito ao reconhecer a ocorrência da prescrição, fundamentando que, embora a ação tenha sido ajuizada em 15/06/2009, decorreram mais de oito anos sem que os executados fossem citados, o que impediu a interrupção do prazo prescricional.&lt;/span&gt; &lt;/span&gt;&lt;/p&gt;&lt;p class="Standard" style="margin-bottom:6.0pt;text-align:justify;text-justify:inter-ideograph;text- indent:2.0cm;line-height:150%;mso-pagination:lines-together"&gt; &lt;span style="font-size: medium;"&gt;</w:t>
              <w:tab/>
              <w:t>&lt;span style="font-family: &amp;quot;times new roman&amp;quot;, times;"&gt;</w:t>
              <w:tab/>
            </w:r>
            <w:r>
              <w:rPr>
                <w:spacing w:val="-3"/>
                <w:sz w:val="20"/>
              </w:rPr>
              <w:t>&lt;strong&gt;</w:t>
            </w:r>
          </w:p>
          <w:p>
            <w:pPr>
              <w:pStyle w:val="TableParagraph"/>
              <w:spacing w:line="208" w:lineRule="auto" w:before="0"/>
              <w:ind w:right="243"/>
              <w:rPr>
                <w:sz w:val="20"/>
              </w:rPr>
            </w:pPr>
            <w:r>
              <w:rPr>
                <w:sz w:val="20"/>
              </w:rPr>
              <w:t>&lt;span style="text-decoration: underline;"&gt;Para que a prescrição seja interrompida com a citação, esta deve realizar dentro do prazo previsto no § 2º do art. 240 do CPC.&lt;/span&gt;</w:t>
            </w:r>
          </w:p>
          <w:p>
            <w:pPr>
              <w:pStyle w:val="TableParagraph"/>
              <w:spacing w:line="208" w:lineRule="auto" w:before="0"/>
              <w:ind w:right="279"/>
              <w:rPr>
                <w:sz w:val="20"/>
              </w:rPr>
            </w:pPr>
            <w:r>
              <w:rPr>
                <w:sz w:val="20"/>
              </w:rPr>
              <w:t>&lt;/strong&gt; O Código de Processo Civil de 2015, por seu turno, em seu art. 240, tratou de regular a matéria em substituição ao antigo diploma processual civil:&lt;/span&gt;</w:t>
            </w:r>
          </w:p>
          <w:p>
            <w:pPr>
              <w:pStyle w:val="TableParagraph"/>
              <w:spacing w:line="208" w:lineRule="auto" w:before="0"/>
              <w:ind w:right="187"/>
              <w:rPr>
                <w:sz w:val="20"/>
              </w:rPr>
            </w:pPr>
            <w:r>
              <w:rPr>
                <w:sz w:val="20"/>
              </w:rPr>
              <w:t>&lt;/span&gt;&lt;/p&gt;&lt;p class="Standard" style="margin-bottom:6.0pt;text-align:justify;text- justify:inter-ideograph;text-indent:2.0cm;line-height:150%;mso-pagination:lines-together"&gt;</w:t>
            </w:r>
          </w:p>
          <w:p>
            <w:pPr>
              <w:pStyle w:val="TableParagraph"/>
              <w:tabs>
                <w:tab w:pos="2350" w:val="left" w:leader="none"/>
                <w:tab w:pos="3095" w:val="left" w:leader="none"/>
                <w:tab w:pos="3288" w:val="left" w:leader="none"/>
              </w:tabs>
              <w:spacing w:line="208" w:lineRule="auto" w:before="0"/>
              <w:ind w:right="343"/>
              <w:rPr>
                <w:sz w:val="20"/>
              </w:rPr>
            </w:pPr>
            <w:r>
              <w:rPr>
                <w:sz w:val="20"/>
              </w:rPr>
              <w:t>&lt;span style="font-size: medium;"&gt;</w:t>
              <w:tab/>
              <w:tab/>
              <w:t>&lt;span style="font-family: &amp;quot;times new roman&amp;quot;, times;"&gt;</w:t>
              <w:tab/>
              <w:t>&lt;br /&gt;</w:t>
              <w:tab/>
              <w:t>&lt;/span&gt; &lt;/span&gt;&lt;/p&gt;&lt;p class="Standard" style="margin-top:0cm;margin-right:0cm;margin-bottom:6.0pt;margin-left:4.0cm;text- align:justify;text-justify:inter-ideograph;line-height:150%;mso-pagination:lines-together"&gt;</w:t>
            </w:r>
          </w:p>
          <w:p>
            <w:pPr>
              <w:pStyle w:val="TableParagraph"/>
              <w:tabs>
                <w:tab w:pos="1683" w:val="left" w:leader="none"/>
                <w:tab w:pos="2085" w:val="left" w:leader="none"/>
                <w:tab w:pos="2350" w:val="left" w:leader="none"/>
                <w:tab w:pos="3288" w:val="left" w:leader="none"/>
              </w:tabs>
              <w:spacing w:line="208" w:lineRule="auto" w:before="0"/>
              <w:ind w:right="31"/>
              <w:rPr>
                <w:sz w:val="20"/>
              </w:rPr>
            </w:pPr>
            <w:r>
              <w:rPr>
                <w:sz w:val="20"/>
              </w:rPr>
              <w:t>&lt;span style="font-size: medium;"&gt;</w:t>
              <w:tab/>
              <w:t>&lt;span style="font-family: &amp;quot;times new roman&amp;quot;, times;"&gt;</w:t>
              <w:tab/>
              <w:tab/>
              <w:t>&lt;em&gt;Art. 240. A citação válida, ainda quando ordenada por </w:t>
            </w:r>
            <w:r>
              <w:rPr>
                <w:spacing w:val="-4"/>
                <w:sz w:val="20"/>
              </w:rPr>
              <w:t>juízo </w:t>
            </w:r>
            <w:r>
              <w:rPr>
                <w:sz w:val="20"/>
              </w:rPr>
              <w:t>incompetente, induz litispendência, torna litigiosa a coisa e constitui em mora o devedor, ressalvado o disposto nos arts. 397 e 398 da Lei no 10.406, de 10 de janeiro de 2002 (Código Civil).&lt;/em&gt;</w:t>
              <w:tab/>
              <w:t>&lt;/span&gt; &lt;/span&gt;&lt;/p&gt;&lt;p class="Standard" style="margin- top:0cm;margin-right:0cm;margin-bottom:6.0pt;margin-left:4.0cm;text-align:justify;text- justify:inter-ideograph;line-height:150%;mso-pagination:lines-together"&gt; &lt;span style="font- size: medium;"&gt;</w:t>
              <w:tab/>
              <w:t>&lt;span style="font-family: &amp;quot;times new roman&amp;quot;, times;"&gt;</w:t>
            </w:r>
          </w:p>
          <w:p>
            <w:pPr>
              <w:pStyle w:val="TableParagraph"/>
              <w:spacing w:line="208" w:lineRule="auto" w:before="0"/>
              <w:ind w:right="5"/>
              <w:rPr>
                <w:sz w:val="20"/>
              </w:rPr>
            </w:pPr>
            <w:r>
              <w:rPr>
                <w:sz w:val="20"/>
              </w:rPr>
              <w:t>&lt;em&gt;§ 1º A interrupção da prescrição, operada pelo despacho que ordena a citação, ainda que proferido por juízo incompetente, retroagirá à data de propositura da ação.&lt;/em&gt;</w:t>
            </w:r>
          </w:p>
          <w:p>
            <w:pPr>
              <w:pStyle w:val="TableParagraph"/>
              <w:tabs>
                <w:tab w:pos="2484" w:val="left" w:leader="none"/>
                <w:tab w:pos="4282" w:val="left" w:leader="none"/>
                <w:tab w:pos="4740" w:val="left" w:leader="none"/>
                <w:tab w:pos="5338" w:val="left" w:leader="none"/>
                <w:tab w:pos="5955" w:val="left" w:leader="none"/>
                <w:tab w:pos="6283" w:val="left" w:leader="none"/>
                <w:tab w:pos="6476" w:val="left" w:leader="none"/>
              </w:tabs>
              <w:spacing w:line="208" w:lineRule="auto" w:before="0"/>
              <w:ind w:right="82"/>
              <w:rPr>
                <w:sz w:val="20"/>
              </w:rPr>
            </w:pPr>
            <w:r>
              <w:rPr>
                <w:sz w:val="20"/>
              </w:rPr>
              <w:t>&lt;/span&gt; &lt;/span&gt;&lt;/p&gt;&lt;p class="Standard" style="margin-top:0cm;margin- right:0cm;margin-bottom:6.0pt;margin-left:4.0cm;text-align:justify;text-justify:inter- ideograph;line-height:150%;mso-pagination:lines-together"&gt;  &lt;strong&gt;</w:t>
              <w:tab/>
              <w:tab/>
              <w:t>&lt;span </w:t>
            </w:r>
            <w:r>
              <w:rPr>
                <w:spacing w:val="-2"/>
                <w:sz w:val="20"/>
              </w:rPr>
              <w:t>style="text- </w:t>
            </w:r>
            <w:r>
              <w:rPr>
                <w:sz w:val="20"/>
              </w:rPr>
              <w:t>decoration: underline;"&gt;</w:t>
              <w:tab/>
              <w:t>&lt;span style="font-size: medium;"&gt;</w:t>
              <w:tab/>
              <w:t>&lt;span style="font- family: &amp;quot;times new roman&amp;quot;, times;"&gt;</w:t>
              <w:tab/>
              <w:tab/>
              <w:t>&lt;em&gt;§ 2º Incumbe ao autor adotar, no prazo de 10 (dez) dias, as providências necessárias para viabilizar a citação, sob pena de não se aplicar o disposto no § 1º.&lt;/em&gt;</w:t>
              <w:tab/>
              <w:t>&lt;/span&gt;</w:t>
              <w:tab/>
              <w:t>&lt;/span&gt;</w:t>
              <w:tab/>
              <w:t>&lt;/span&gt;</w:t>
            </w:r>
          </w:p>
          <w:p>
            <w:pPr>
              <w:pStyle w:val="TableParagraph"/>
              <w:tabs>
                <w:tab w:pos="5517" w:val="left" w:leader="none"/>
                <w:tab w:pos="7390" w:val="left" w:leader="none"/>
              </w:tabs>
              <w:spacing w:line="208" w:lineRule="auto" w:before="0"/>
              <w:ind w:right="49"/>
              <w:rPr>
                <w:sz w:val="20"/>
              </w:rPr>
            </w:pPr>
            <w:r>
              <w:rPr>
                <w:sz w:val="20"/>
              </w:rPr>
              <w:t>&lt;/strong&gt;&lt;/p&gt;&lt;p class="Standard" style="margin-top:0cm;margin-right:0cm;margin- bottom:6.0pt;margin-left:4.0cm;text-align:justify;text-justify:inter-ideograph;line- height:150%;mso-pagination:lines-together"&gt;  &lt;span style="font-size: medium;"&gt;</w:t>
              <w:tab/>
              <w:t>&lt;span style="font-family: &amp;quot;times new roman&amp;quot;, times;"&gt;</w:t>
              <w:tab/>
              <w:t>&lt;em&gt;&amp;#160;§ 3º A parte </w:t>
            </w:r>
            <w:r>
              <w:rPr>
                <w:spacing w:val="-6"/>
                <w:sz w:val="20"/>
              </w:rPr>
              <w:t>não </w:t>
            </w:r>
            <w:r>
              <w:rPr>
                <w:sz w:val="20"/>
              </w:rPr>
              <w:t>será prejudicada pela demora imputável exclusivamente ao serviço judiciário.&lt;/em&gt;</w:t>
            </w:r>
          </w:p>
          <w:p>
            <w:pPr>
              <w:pStyle w:val="TableParagraph"/>
              <w:tabs>
                <w:tab w:pos="1216" w:val="left" w:leader="none"/>
                <w:tab w:pos="3163" w:val="left" w:leader="none"/>
                <w:tab w:pos="7300" w:val="left" w:leader="none"/>
              </w:tabs>
              <w:spacing w:line="208" w:lineRule="auto" w:before="0"/>
              <w:ind w:right="229"/>
              <w:rPr>
                <w:sz w:val="20"/>
              </w:rPr>
            </w:pPr>
            <w:r>
              <w:rPr>
                <w:sz w:val="20"/>
              </w:rPr>
              <w:t>&lt;/span&gt; &lt;/span&gt;&lt;/p&gt;&lt;p class="Standard" style="margin-top:0cm;margin- right:0cm;margin-bottom:6.0pt;margin-left:4.0cm;text-align:justify;text-justify:inter- ideograph;line-height:150%;mso-pagination:lines-together"&gt; &lt;span style="font-size: medium;"&gt;</w:t>
              <w:tab/>
              <w:t>&lt;span style="font-family: &amp;quot;times new roman&amp;quot;, times;"&gt;</w:t>
              <w:tab/>
            </w:r>
            <w:r>
              <w:rPr>
                <w:spacing w:val="-4"/>
                <w:sz w:val="20"/>
              </w:rPr>
              <w:t>&lt;em&gt;§ </w:t>
            </w:r>
            <w:r>
              <w:rPr>
                <w:sz w:val="20"/>
              </w:rPr>
              <w:t>4º O efeito retroativo a que se refere o §1o aplica-se à decadência e aos demais prazos extintivos previstos em lei.&lt;/em&gt;</w:t>
              <w:tab/>
              <w:t>&lt;/span&gt; &lt;/span&gt;&lt;/p&gt;&lt;p class="Standard" style="margin-top:0cm;margin-right:0cm;margin-bottom:6.0pt;margin-left:4.0cm;text- align:justify;text-justify:inter-ideograph;line-height:150%;mso-pagination:lines-together"&gt;</w:t>
            </w:r>
          </w:p>
          <w:p>
            <w:pPr>
              <w:pStyle w:val="TableParagraph"/>
              <w:tabs>
                <w:tab w:pos="2350" w:val="left" w:leader="none"/>
                <w:tab w:pos="3095" w:val="left" w:leader="none"/>
                <w:tab w:pos="3288" w:val="left" w:leader="none"/>
              </w:tabs>
              <w:spacing w:line="208" w:lineRule="auto" w:before="0"/>
              <w:ind w:right="1146"/>
              <w:rPr>
                <w:sz w:val="20"/>
              </w:rPr>
            </w:pPr>
            <w:r>
              <w:rPr>
                <w:sz w:val="20"/>
              </w:rPr>
              <w:t>&lt;span style="font-size: medium;"&gt;</w:t>
              <w:tab/>
              <w:tab/>
              <w:t>&lt;span style="font-family: &amp;quot;times </w:t>
            </w:r>
            <w:r>
              <w:rPr>
                <w:spacing w:val="-6"/>
                <w:sz w:val="20"/>
              </w:rPr>
              <w:t>new </w:t>
            </w:r>
            <w:r>
              <w:rPr>
                <w:sz w:val="20"/>
              </w:rPr>
              <w:t>roman&amp;quot;, times;"&gt;</w:t>
              <w:tab/>
              <w:t>&lt;br /&gt;</w:t>
              <w:tab/>
              <w:t>&lt;/span&gt; &lt;/span&gt;&lt;/p&gt;&lt;p class="Standard"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2682" w:val="left" w:leader="none"/>
                <w:tab w:pos="5965" w:val="left" w:leader="none"/>
              </w:tabs>
              <w:spacing w:line="208" w:lineRule="auto" w:before="26"/>
              <w:ind w:right="150"/>
              <w:rPr>
                <w:sz w:val="20"/>
              </w:rPr>
            </w:pPr>
            <w:r>
              <w:rPr>
                <w:sz w:val="20"/>
              </w:rPr>
              <w:t>style="margin-bottom:6.0pt;text-align:justify;text-justify:inter-ideograph;text- indent:2.0cm;line-height:150%;mso-pagination:lines-together"&gt; &lt;span style="font-size: medium;"&gt;</w:t>
              <w:tab/>
              <w:t>&lt;span style="font-family: &amp;quot;times new roman&amp;quot;, times;"&gt;No caso, apesar do relativo empenho do credor e das inúmeras diligências realizadas, transcorrido quase 8 (oito) anos após o despacho que determinou a citação,</w:t>
              <w:tab/>
              <w:t>&lt;strong&gt;não ocorreu a citação válida do executado até o presente momento e, por consequência, não houve a interrupção da prescrição.&lt;/strong&gt;&lt;/span&gt; &lt;/span&gt;&lt;/p&gt;&lt;p class="Standard" style="margin-bottom:5.0pt;text-align:justify;text-justify:inter-ideograph;text- indent:2.0cm;line-height:150%;mso-pagination:none;tab-stops:183.4pt"&gt; &lt;span style="font-size: medium;"&gt;</w:t>
              <w:tab/>
              <w:t>&lt;span style="font-family: &amp;quot;times new roman&amp;quot;, times;"&gt;Ora, ainda que ajuizada a ação de execução antes do decurso do prazo prescricional, não ocorrendo citação válida do executado não há se falar em causa interruptiva da prescrição.&lt;/span&gt; &lt;/span&gt;&lt;/p&gt;&lt;p class="Standard" style="margin- bottom:5.0pt;text-align:justify;text-justify:inter-ideograph;text-indent:2.0cm;line- height:150%;mso-pagination:none;tab-stops:183.4pt"&gt;  &lt;span style="font-size:</w:t>
            </w:r>
            <w:r>
              <w:rPr>
                <w:spacing w:val="-18"/>
                <w:sz w:val="20"/>
              </w:rPr>
              <w:t> </w:t>
            </w:r>
            <w:r>
              <w:rPr>
                <w:sz w:val="20"/>
              </w:rPr>
              <w:t>medium;"&gt;</w:t>
            </w:r>
          </w:p>
          <w:p>
            <w:pPr>
              <w:pStyle w:val="TableParagraph"/>
              <w:tabs>
                <w:tab w:pos="6054" w:val="left" w:leader="none"/>
              </w:tabs>
              <w:spacing w:line="208" w:lineRule="auto" w:before="0"/>
              <w:ind w:right="19"/>
              <w:rPr>
                <w:sz w:val="20"/>
              </w:rPr>
            </w:pPr>
            <w:r>
              <w:rPr>
                <w:sz w:val="20"/>
              </w:rPr>
              <w:t>&lt;span style="font-family: &amp;quot;times new roman&amp;quot;, times;"&gt;É assente na jurisprudência da Corte de Uniformização Infraconstitucional que</w:t>
              <w:tab/>
              <w:t>&lt;em&gt;"A citação válida retroage à data da propositura da ação para efeitos de interrupção da prescrição, </w:t>
            </w:r>
            <w:r>
              <w:rPr>
                <w:spacing w:val="-3"/>
                <w:sz w:val="20"/>
              </w:rPr>
              <w:t>conforme </w:t>
            </w:r>
            <w:r>
              <w:rPr>
                <w:sz w:val="20"/>
              </w:rPr>
              <w:t>o art.219, §1º, do CPC/1973 (correspondente ao art. 240, § 1º, do CPC/2015). Por outro lado, o § 4º do aludido dispositivo prevê que, se a citação não for efetivada nos prazos legais, haver-se-á por não interrompida a prescrição, salvo nos casos em que o atraso não puder ser imputado ao autor da ação (Súmula 106/STJ)."&lt;/em&gt; ( AgInt no AREsp 1300199/PR, Rel. Ministro MARCO AURÉLIO BELLIZZE, TERCEIRA TURMA, julgado em</w:t>
            </w:r>
          </w:p>
          <w:p>
            <w:pPr>
              <w:pStyle w:val="TableParagraph"/>
              <w:spacing w:line="208" w:lineRule="auto" w:before="0"/>
              <w:ind w:right="150"/>
              <w:rPr>
                <w:sz w:val="20"/>
              </w:rPr>
            </w:pPr>
            <w:r>
              <w:rPr>
                <w:sz w:val="20"/>
              </w:rPr>
              <w:t>29/3/2021, DJe 6/4/2021)&lt;/span&gt; &lt;/span&gt;&lt;/p&gt;&lt;p class="Standard" style="margin- bottom:5.0pt;text-align:justify;text-justify:inter-ideograph;text-indent:2.0cm;line- height:150%;mso-pagination:none;tab-stops:183.4pt"&gt;  &lt;span style="font-size:</w:t>
            </w:r>
            <w:r>
              <w:rPr>
                <w:spacing w:val="-18"/>
                <w:sz w:val="20"/>
              </w:rPr>
              <w:t> </w:t>
            </w:r>
            <w:r>
              <w:rPr>
                <w:sz w:val="20"/>
              </w:rPr>
              <w:t>medium;"&gt;</w:t>
            </w:r>
          </w:p>
          <w:p>
            <w:pPr>
              <w:pStyle w:val="TableParagraph"/>
              <w:tabs>
                <w:tab w:pos="2682" w:val="left" w:leader="none"/>
              </w:tabs>
              <w:spacing w:line="208" w:lineRule="auto" w:before="0"/>
              <w:ind w:right="161"/>
              <w:rPr>
                <w:sz w:val="20"/>
              </w:rPr>
            </w:pPr>
            <w:r>
              <w:rPr>
                <w:sz w:val="20"/>
              </w:rPr>
              <w:t>&lt;span style="font-family: &amp;quot;times new roman&amp;quot;, times;"&gt;Assim, resta configurada a ocorrência da prescrição quinquenal do fundo de direito, porquanto, embora a apelante tenha diligenciado minimamente a fim de localizar o apelado, inclusive com o auxílio da máquina judiciária, que reiteradamente empreendeu esforços neste desiderato, a citação válida do demandado sequer aconteceu.&lt;/span&gt; &lt;/span&gt;&lt;/p&gt;&lt;p class="Standard" style="margin-bottom:5.0pt;text-align:justify;text-justify:inter-ideograph;text- indent:2.0cm;line-height:150%;mso-pagination:none;tab-stops:183.4pt"&gt; &lt;span style="font-size: medium;"&gt;</w:t>
              <w:tab/>
              <w:t>&lt;span style="font-family: &amp;quot;times new roman&amp;quot;, times;"&gt;A atuação do credor ao não se empenhar para a efetiva localização e alcance do devedor para consumação da citação válida, ainda que ficta, concretiza a possibilidade oportuna do reconhecimento e declaração da prescrição, uma vez que não operada a hipótese de interrupção do prazo prescricional, com retroação à data do ajuizamento da</w:t>
            </w:r>
          </w:p>
          <w:p>
            <w:pPr>
              <w:pStyle w:val="TableParagraph"/>
              <w:spacing w:line="208" w:lineRule="auto" w:before="0"/>
              <w:ind w:right="29"/>
              <w:rPr>
                <w:sz w:val="20"/>
              </w:rPr>
            </w:pPr>
            <w:r>
              <w:rPr>
                <w:sz w:val="20"/>
              </w:rPr>
              <w:t>ação, nos termos do artigo 240, § 2º, do Código de Processo Civil.&lt;/span&gt; </w:t>
            </w:r>
            <w:r>
              <w:rPr>
                <w:spacing w:val="-2"/>
                <w:sz w:val="20"/>
              </w:rPr>
              <w:t>&lt;/span&gt;&lt;/p&gt;&lt;p </w:t>
            </w:r>
            <w:r>
              <w:rPr>
                <w:sz w:val="20"/>
              </w:rPr>
              <w:t>class="Standard" style="margin-bottom:5.0pt;text-align:justify;text-justify:inter- ideograph;text-indent:2.0cm;line-height:150%;mso-pagination:none;tab-stops:183.4pt"&gt;</w:t>
            </w:r>
          </w:p>
          <w:p>
            <w:pPr>
              <w:pStyle w:val="TableParagraph"/>
              <w:tabs>
                <w:tab w:pos="2200" w:val="left" w:leader="none"/>
                <w:tab w:pos="3288" w:val="left" w:leader="none"/>
                <w:tab w:pos="6612" w:val="left" w:leader="none"/>
              </w:tabs>
              <w:spacing w:line="208" w:lineRule="auto" w:before="0"/>
              <w:ind w:right="41"/>
              <w:rPr>
                <w:sz w:val="20"/>
              </w:rPr>
            </w:pPr>
            <w:r>
              <w:rPr>
                <w:sz w:val="20"/>
              </w:rPr>
              <w:t>&lt;span style="font-size: medium;"&gt;</w:t>
              <w:tab/>
              <w:t>&lt;span style="font-family: &amp;quot;times new roman&amp;quot;, times;"&gt;Feitas tais considerações, resta somente a análise quanto às razões que levaram à ausência da citação, de modo a averiguar se houve demora exclusivamente imputável ao serviço judiciário, o que teria o condão de afastar o reconhecimento da prescrição.&lt;/span&gt; &lt;/span&gt;&lt;/p&gt;&lt;p class="Standard" style="margin-bottom:5.0pt;text- align:justify;text-justify:inter-ideograph;text-indent:2.0cm;line-height:150%;mso- pagination:none;tab-stops:183.4pt"&gt;  &lt;span style="font-size: medium;"&gt;</w:t>
              <w:tab/>
              <w:t>&lt;span style="font-family: &amp;quot;times new roman&amp;quot;, times;"&gt;De acordo com o enunciado da Súmula 106 do STJ: "</w:t>
              <w:tab/>
              <w:t>&lt;em&gt;Proposta a ação no prazo fixado para o seu exercício, a demora na citação, por motivos inerentes ao mecanismo da Justiça, não justifica o acolhimento da arguição de prescrição ou decadência."&lt;/em&gt;&lt;/span&gt; &lt;/span&gt;&lt;/p&gt;&lt;p class="Standard" style="margin-bottom:5.0pt;text-align:justify;text-justify:inter- ideograph;text-indent:2.0cm;line-height:150%;mso-pagination:none;tab-stops:183.4pt"&gt;</w:t>
            </w:r>
          </w:p>
          <w:p>
            <w:pPr>
              <w:pStyle w:val="TableParagraph"/>
              <w:tabs>
                <w:tab w:pos="3288" w:val="left" w:leader="none"/>
                <w:tab w:pos="6708" w:val="left" w:leader="none"/>
              </w:tabs>
              <w:spacing w:line="208" w:lineRule="auto" w:before="0"/>
              <w:ind w:right="654"/>
              <w:rPr>
                <w:sz w:val="20"/>
              </w:rPr>
            </w:pPr>
            <w:r>
              <w:rPr>
                <w:sz w:val="20"/>
              </w:rPr>
              <w:t>&lt;span style="font-size: medium;"&gt;</w:t>
              <w:tab/>
              <w:t>&lt;span style="font-family: &amp;quot;times new roman&amp;quot;, times;"&gt;No entanto, ao examinar os autos, verifica-se que</w:t>
              <w:tab/>
            </w:r>
            <w:r>
              <w:rPr>
                <w:spacing w:val="-3"/>
                <w:sz w:val="20"/>
              </w:rPr>
              <w:t>&lt;strong&gt;</w:t>
            </w:r>
          </w:p>
          <w:p>
            <w:pPr>
              <w:pStyle w:val="TableParagraph"/>
              <w:tabs>
                <w:tab w:pos="6633" w:val="left" w:leader="none"/>
              </w:tabs>
              <w:spacing w:line="208" w:lineRule="auto" w:before="0"/>
              <w:ind w:right="74"/>
              <w:rPr>
                <w:sz w:val="20"/>
              </w:rPr>
            </w:pPr>
            <w:r>
              <w:rPr>
                <w:sz w:val="20"/>
              </w:rPr>
              <w:t>&lt;span style="text-decoration: underline;"&gt;foram empreendidas diversas diligências com o objetivo de localizar o representante legal da parte demandada.&lt;/span&gt;</w:t>
              <w:tab/>
              <w:t>&lt;/strong&gt; Todavia, tais esforços restaram infrutíferos, não tendo sido possível efetuar a citação do devedor. Desta forma, não ocorrendo a citação do devedor na ação interposta, não cabe </w:t>
            </w:r>
            <w:r>
              <w:rPr>
                <w:spacing w:val="-18"/>
                <w:sz w:val="20"/>
              </w:rPr>
              <w:t>a </w:t>
            </w:r>
            <w:r>
              <w:rPr>
                <w:sz w:val="20"/>
              </w:rPr>
              <w:t>interrupção do prazo prescricional sob fundamento da Súmula 106 do STJ.&lt;/span&gt;</w:t>
            </w:r>
          </w:p>
          <w:p>
            <w:pPr>
              <w:pStyle w:val="TableParagraph"/>
              <w:tabs>
                <w:tab w:pos="4788" w:val="left" w:leader="none"/>
              </w:tabs>
              <w:spacing w:line="208" w:lineRule="auto" w:before="0"/>
              <w:ind w:right="69"/>
              <w:rPr>
                <w:sz w:val="20"/>
              </w:rPr>
            </w:pPr>
            <w:r>
              <w:rPr>
                <w:sz w:val="20"/>
              </w:rPr>
              <w:t>&lt;/span&gt;&lt;/p&gt;&lt;p class="Standard" style="margin-bottom:5.0pt;text-align:justify;text- justify:inter-ideograph;text-indent:2.0cm;line-height:150%;mso-pagination:none;tab- stops:183.4pt"&gt;  &lt;span style="font-size: medium;"&gt;</w:t>
              <w:tab/>
              <w:t>&lt;span style="font-family: &amp;quot;times new roman&amp;quot;, times;"&gt;Corroborando com este entendimento, colho jurisprudência desta egrégia Corte de Justiça:&lt;/span&gt; &lt;/span&gt;&lt;/p&gt;&lt;p class="Standard" style="margin- bottom:5.0pt;text-align:justify;text-justify:inter-ideograph;text-indent:2.0cm;line- height:150%;mso-pagination:none;tab-stops:183.4pt"&gt; &lt;span style="font-size: 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spacing w:line="215" w:lineRule="exact" w:before="0"/>
              <w:rPr>
                <w:sz w:val="20"/>
              </w:rPr>
            </w:pPr>
            <w:r>
              <w:rPr>
                <w:sz w:val="20"/>
              </w:rPr>
              <w:t>&lt;/span&gt;&lt;/p&gt;&lt;p class="Standard" style="margin-top:0cm;margin-right:0cm;margin-</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0"/>
              <w:jc w:val="both"/>
              <w:rPr>
                <w:sz w:val="20"/>
              </w:rPr>
            </w:pPr>
            <w:r>
              <w:rPr>
                <w:sz w:val="20"/>
              </w:rPr>
              <w:t>bottom:6.0pt;margin-left:4.0cm;text-align:justify;text-justify:inter-ideograph;line- height:150%;mso-pagination:none;tab-stops:183.4pt"&gt; &lt;span style="font-size: medium;"&gt;</w:t>
            </w:r>
          </w:p>
          <w:p>
            <w:pPr>
              <w:pStyle w:val="TableParagraph"/>
              <w:spacing w:line="208" w:lineRule="auto" w:before="0"/>
              <w:ind w:right="777"/>
              <w:jc w:val="both"/>
              <w:rPr>
                <w:sz w:val="20"/>
              </w:rPr>
            </w:pPr>
            <w:r>
              <w:rPr>
                <w:sz w:val="20"/>
              </w:rPr>
              <w:t>&lt;span style="font-family: &amp;quot;times new roman&amp;quot;, times;"&gt;DIREITO CIVIL E PROCESSUAL CIVIL. APELAÇÃO CÍVEL EM AÇÃO DE EXECUÇÃO DE TÍTULO EXTRAJUDICIAL. CÉDULA DE CRÉDITO. DÉBITO VENCIDO EM 2012.</w:t>
            </w:r>
          </w:p>
          <w:p>
            <w:pPr>
              <w:pStyle w:val="TableParagraph"/>
              <w:spacing w:line="208" w:lineRule="auto" w:before="0"/>
              <w:ind w:right="27"/>
              <w:rPr>
                <w:sz w:val="20"/>
              </w:rPr>
            </w:pPr>
            <w:r>
              <w:rPr>
                <w:sz w:val="20"/>
              </w:rPr>
              <w:t>&lt;strong&gt;PROCESSO EXTINTO COM RESOLUÇÃO DE MÉRITO. PRAZO PRESCRICIONAL DE CINCO ANOS (ART. 206, §5º, DO CC). DEMORA NA CITAÇÃO IMPUTADA À PARTE AUTORA. INEXISTÊNCIA DE PEDIDO DE CITAÇÃO POR EDITAL. DEMORA NÃO ATRIBUÍDA AO MECANISMO DA JUSTIÇA, QUE POR VÁRIOS ANOS PROVIDENCIOU TODOS OS PROCEDIMENTOS SOLICITADO PELO CREDOR. CITAÇÃO PELO DJ, AR, INFOJUD, SISBAJUD, QUE NÃO OBTIVERAM ÊXITO. AUSÊNCIA DE FORMAÇÃO DA TRÍADE PROCESSUAL. INAPLICABILIDADE DA SÚMULA 106 DO STJ. PRESCRIÇÃO CONFIGURADA.&lt;/strong&gt; PRECEDENTES DO STJ. RECURSO CONHECIDO E DESPROVIDO. SENTENÇA MANTIDA. I ¿ No caso dos</w:t>
            </w:r>
          </w:p>
          <w:p>
            <w:pPr>
              <w:pStyle w:val="TableParagraph"/>
              <w:spacing w:line="208" w:lineRule="auto" w:before="0"/>
              <w:ind w:right="19"/>
              <w:rPr>
                <w:sz w:val="20"/>
              </w:rPr>
            </w:pPr>
            <w:r>
              <w:rPr>
                <w:sz w:val="20"/>
              </w:rPr>
              <w:t>autos, a Instituição Financeira apelou da sentença na qual foi reconhecida a prejudicial de prescrição, visto a ausência de citação que interromperia o prazo prescricional. II ¿ A cobrança de dívida líquida constante de instrumento particular está subordinada ao prazo prescricional de 5 (cinco) anos previsto no artigo 206, § 5º, I, do Código Civil. III ¿ O simples ajuizamento de ação de execução de título extrajudicial dentro do prazo prescricional de cinco anos não tem o condão de interromper a prescrição se não ocorrer a citação válida e regular do Réu dentro do prazo legal, nos termos do § 2º, do art. 240, do CPC. IV ¿ A demora na citação decorrente da dificuldade do Autor em localizar o Réu e da delonga em requerer a citação por edital não pode ser atribuída ao Poder Judiciário, sobretudo quando se verifica que todas as diligências requeridas pela parte Autora a fim de encontrar o Réu foram deferidas e realizadas pelo juízo em tempo razoável, afastando- se, assim, a incidência da Súmula 106 do STJ. V ¿ Não tendo o interessado requerido a citação por edital dentro do prazo prescricional de cinco anos, não há que se falar em interrupção da prescrição, devendo ser reconhecida a prescrição, que enseja à extinção </w:t>
            </w:r>
            <w:r>
              <w:rPr>
                <w:spacing w:val="-9"/>
                <w:sz w:val="20"/>
              </w:rPr>
              <w:t>do </w:t>
            </w:r>
            <w:r>
              <w:rPr>
                <w:sz w:val="20"/>
              </w:rPr>
              <w:t>processo, nos termos do art. 487, II, do CPC. VI ¿ Portanto, a decisão de primeiro grau encontra-se em total harmonia com a jurisprudência dos Tribunais Pátrios e do Superior Tribunal de Justiça. VII ¿ Recurso conhecido e desprovido. Sentença mantida. (Apelação Cível&amp;#160;- 0010025-14.2014.8.06.0075, Rel. Desembargador(a) PAULO DE TARSO</w:t>
            </w:r>
          </w:p>
          <w:p>
            <w:pPr>
              <w:pStyle w:val="TableParagraph"/>
              <w:tabs>
                <w:tab w:pos="4788" w:val="left" w:leader="none"/>
              </w:tabs>
              <w:spacing w:line="208" w:lineRule="auto" w:before="0"/>
              <w:ind w:right="69"/>
              <w:rPr>
                <w:sz w:val="20"/>
              </w:rPr>
            </w:pPr>
            <w:r>
              <w:rPr>
                <w:sz w:val="20"/>
              </w:rPr>
              <w:t>PIRES NOGUEIRA, 3ª Câmara Direito Privado, data do julgamento:&amp;#160; 18/06/2025, data da publicação:&amp;#160; 18/06/2025)&lt;/span&gt; &lt;/span&gt;&lt;/p&gt;&lt;p class="Standard" style="margin-top:0cm;margin-right:0cm;margin-bottom:6.0pt;margin-left:4.0cm;text- align:justify;text-justify:inter-ideograph;line-height:150%;mso-pagination:none;tab- stops:183.4pt"&gt;  &lt;span style="font-size: medium;"&gt;</w:t>
              <w:tab/>
              <w:t>&lt;span style="font-family: &amp;quot;times new roman&amp;quot;, times;"&gt;&amp;#160;&lt;/span&gt; &lt;/span&gt;&lt;/p&gt;&lt;p class="Standard" style="margin-top:0cm;margin-right:0cm;margin-bottom:6.0pt;margin-left:4.0cm;text- align:justify;text-justify:inter-ideograph;line-height:150%;mso-pagination:none;tab- stops:183.4pt"&gt;  &lt;span style="font-size: medium;"&gt;</w:t>
              <w:tab/>
              <w:t>&lt;span style="font-family:</w:t>
            </w:r>
            <w:r>
              <w:rPr>
                <w:spacing w:val="-15"/>
                <w:sz w:val="20"/>
              </w:rPr>
              <w:t> </w:t>
            </w:r>
            <w:r>
              <w:rPr>
                <w:sz w:val="20"/>
              </w:rPr>
              <w:t>&amp;quot;times</w:t>
            </w:r>
          </w:p>
          <w:p>
            <w:pPr>
              <w:pStyle w:val="TableParagraph"/>
              <w:tabs>
                <w:tab w:pos="2607" w:val="left" w:leader="none"/>
              </w:tabs>
              <w:spacing w:line="208" w:lineRule="auto" w:before="0"/>
              <w:ind w:right="33"/>
              <w:rPr>
                <w:sz w:val="20"/>
              </w:rPr>
            </w:pPr>
            <w:r>
              <w:rPr>
                <w:sz w:val="20"/>
              </w:rPr>
              <w:t>new roman&amp;quot;, times;"&gt;APELAÇÃO CÍVEL. AÇÃO DE COBRANÇA. PRESCRIÇÃO </w:t>
            </w:r>
            <w:r>
              <w:rPr>
                <w:spacing w:val="-9"/>
                <w:sz w:val="20"/>
              </w:rPr>
              <w:t>DA </w:t>
            </w:r>
            <w:r>
              <w:rPr>
                <w:sz w:val="20"/>
              </w:rPr>
              <w:t>PRETENSÃO AUTORAL.</w:t>
              <w:tab/>
              <w:t>&lt;strong&gt;AUSÊNCIA DE CITAÇÃO APTA A INTERROMPER O PRAZO PRESCRICIONAL. DEMORA NÃO ATRIBUÍDA AO SERVIÇO JUDICIÁRIO. DECURSO DE MAIS DE 08 (OITO) ANOS SEM QUE A DEMANDADA TENHA SIDO</w:t>
            </w:r>
          </w:p>
          <w:p>
            <w:pPr>
              <w:pStyle w:val="TableParagraph"/>
              <w:tabs>
                <w:tab w:pos="2463" w:val="left" w:leader="none"/>
              </w:tabs>
              <w:spacing w:line="208" w:lineRule="auto" w:before="0"/>
              <w:ind w:right="54"/>
              <w:rPr>
                <w:sz w:val="20"/>
              </w:rPr>
            </w:pPr>
            <w:r>
              <w:rPr>
                <w:sz w:val="20"/>
              </w:rPr>
              <w:t>LOCALIZADA.&lt;/strong&gt;</w:t>
              <w:tab/>
              <w:t>&lt;strong&gt;PRESCRIÇÃO CONFIGURADA.&lt;/strong&gt; RECURSO CONHECIDO E IMPROVIDO. 1. Trata-se de recurso de apelação interposto Wilka e </w:t>
            </w:r>
            <w:r>
              <w:rPr>
                <w:spacing w:val="-4"/>
                <w:sz w:val="20"/>
              </w:rPr>
              <w:t>Ponte </w:t>
            </w:r>
            <w:r>
              <w:rPr>
                <w:sz w:val="20"/>
              </w:rPr>
              <w:t>LTDA ¿ Hospital Gênesis contra a sentença de fls. 113/118, proferida pelo Juízo de Direito da 28ª Vara Cível da Comarca de Fortaleza, que reputou estar prescrita a pretensão de cobrança dos créditos pretendidos pela ora recorrente e decretou a extinção do processo, com base no art. 485, inciso II, do Código de Processo Civil. 2. Em suas razões recursais, a apelante alega que foi diligente durante todo o deslinde processual e requestou por diversas vezes atos que garantissem a citação da promovida, inexistindo, portanto, desídia. Assim, considerando que o processo não ficou paralisado por sua inércia e que a demora na citação não lhe pode ser imputada, não é devido o reconhecimento da prescrição. 3. Em detida análise dos autos, verifica-se que a frustração na citação da apelada não pode ser imputada ao Judiciário, uma vez que o juízo de origem deferiu todas as medidas requestadas pela recorrente, as quais, todavia, não foram frutíferas. Ademais, somente após a configuração do prazo prescricional a recorrente postulou a citação editalícia, de maneira que não se presta a promover a interrupção do prazo. Logo, não merece reforma a sentença que reconheceu a prescrição. 4. Recurso conhecido e improvido.&amp;#160; &amp;#160;(Apelação Cível&amp;#160;- 0198945-63.2015.8.06.0001, Rel.</w:t>
            </w:r>
          </w:p>
          <w:p>
            <w:pPr>
              <w:pStyle w:val="TableParagraph"/>
              <w:spacing w:line="208" w:lineRule="auto" w:before="0"/>
              <w:ind w:right="151"/>
              <w:rPr>
                <w:sz w:val="20"/>
              </w:rPr>
            </w:pPr>
            <w:r>
              <w:rPr>
                <w:sz w:val="20"/>
              </w:rPr>
              <w:t>Desembargador(a) PAULO AIRTON ALBUQUERQUE FILHO, 2ª Câmara Direito Privado, data do julgamento:&amp;#160; 14/08/2024, data da publicação:&amp;#160; 14/08/2024)&lt;/span&gt;</w:t>
            </w:r>
          </w:p>
          <w:p>
            <w:pPr>
              <w:pStyle w:val="TableParagraph"/>
              <w:spacing w:line="208" w:lineRule="auto" w:before="0"/>
              <w:ind w:right="150"/>
              <w:rPr>
                <w:sz w:val="20"/>
              </w:rPr>
            </w:pPr>
            <w:r>
              <w:rPr>
                <w:sz w:val="20"/>
              </w:rPr>
              <w:t>&lt;/span&gt;&lt;/p&gt;&lt;p class="Standard" style="margin-top:0cm;margin-right:0cm;margin- bottom:6.0pt;margin-left:4.0cm;text-align:justify;text-justify:inter-ideograph;line- height:150%;mso-pagination:none;tab-stops:183.4pt"&gt; &lt;span style="font-size: medium;"&gt;</w:t>
            </w:r>
          </w:p>
          <w:p>
            <w:pPr>
              <w:pStyle w:val="TableParagraph"/>
              <w:spacing w:line="190" w:lineRule="exact" w:before="0"/>
              <w:rPr>
                <w:sz w:val="20"/>
              </w:rPr>
            </w:pPr>
            <w:r>
              <w:rPr>
                <w:sz w:val="20"/>
              </w:rPr>
              <w:t>&lt;span style="font-family: &amp;quot;times new roman&amp;quot;, times;"&gt;&amp;#160;&lt;/span&gt;</w:t>
            </w:r>
          </w:p>
          <w:p>
            <w:pPr>
              <w:pStyle w:val="TableParagraph"/>
              <w:spacing w:line="208" w:lineRule="auto" w:before="5"/>
              <w:ind w:right="846"/>
              <w:rPr>
                <w:sz w:val="20"/>
              </w:rPr>
            </w:pPr>
            <w:r>
              <w:rPr>
                <w:sz w:val="20"/>
              </w:rPr>
              <w:t>&lt;/span&gt;&lt;/p&gt;&lt;p class="Standard" style="margin-top:0cm;margin-right:0cm;margin- bottom:6.0pt;margin-left:4.0cm;text-align:justify;text-justify:inter-ideograph;line-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height:150%;mso-pagination:none;tab-stops:183.4pt"&gt; &lt;span style="font-size: medium;"&gt;</w:t>
            </w:r>
          </w:p>
          <w:p>
            <w:pPr>
              <w:pStyle w:val="TableParagraph"/>
              <w:spacing w:line="200" w:lineRule="exact" w:before="0"/>
              <w:rPr>
                <w:sz w:val="20"/>
              </w:rPr>
            </w:pPr>
            <w:r>
              <w:rPr>
                <w:sz w:val="20"/>
              </w:rPr>
              <w:t>&lt;span style="font-family: &amp;quot;times new roman&amp;quot;, times;"&gt;APELAÇÃO CÍVEL.</w:t>
            </w:r>
          </w:p>
          <w:p>
            <w:pPr>
              <w:pStyle w:val="TableParagraph"/>
              <w:spacing w:line="208" w:lineRule="auto" w:before="9"/>
              <w:ind w:right="138"/>
              <w:rPr>
                <w:sz w:val="20"/>
              </w:rPr>
            </w:pPr>
            <w:r>
              <w:rPr>
                <w:sz w:val="20"/>
              </w:rPr>
              <w:t>&lt;strong&gt;EXECUÇÃO DE TÍTULO EXTRAJUDICIAL. PRESCRIÇÃO DA PRETENSÃO EXECUTIVA EMBASADA EM INSTRUMENTO PARTICULAR. PRESCRIÇÃO QUINQUENAL RECONHECIDA. AUSÊNCIA DE CITAÇÃO APTA A INTERROMPER O PRAZO PRESCRICIONAL DA EXECUÇÃO. DEMORA NÃO ATRIBUÍDA AO SERVIÇO JUDICIÁRIO. DILIGÊNCIAS DEFERIDAS E REALIZADAS EM PRAZO RAZOÁVEL. BUSCA INEFICIENTE NA LOCALIZAÇÃO DA PARTE DEVEDORA.&lt;/strong&gt; PRESCRIÇÃO RECONHECIDA. RECURSO IMPROVIDO. SENTENÇA INALTERADA. 1.</w:t>
            </w:r>
          </w:p>
          <w:p>
            <w:pPr>
              <w:pStyle w:val="TableParagraph"/>
              <w:tabs>
                <w:tab w:pos="1196" w:val="left" w:leader="none"/>
                <w:tab w:pos="1996" w:val="left" w:leader="none"/>
              </w:tabs>
              <w:spacing w:line="208" w:lineRule="auto" w:before="0"/>
              <w:ind w:right="18"/>
              <w:rPr>
                <w:sz w:val="20"/>
              </w:rPr>
            </w:pPr>
            <w:r>
              <w:rPr>
                <w:sz w:val="20"/>
              </w:rPr>
              <w:t>Trata-se de recurso de apelação adversando a sentença que declarou extinta a execução de título extrajudicial, com fundamento na prescrição da pretensão executiva. 2. Em se tratando de execução de título extrajudicial lastreada em instrumento particular, o prazo prescricional é quinquenal, a contar do vencimento da última parcela, nos termos do artigo 206, §5º, inciso I, do Código Civil. 3. Consoante o entendimento do Superior Tribunal de Justiça, somente ocorrerá a interrupção do prazo prescricional quando ocorrer a citação válida, não bastando que tenha havido o despacho citatório. Portanto, não tendo ocorrido </w:t>
            </w:r>
            <w:r>
              <w:rPr>
                <w:spacing w:val="-18"/>
                <w:sz w:val="20"/>
              </w:rPr>
              <w:t>a </w:t>
            </w:r>
            <w:r>
              <w:rPr>
                <w:sz w:val="20"/>
              </w:rPr>
              <w:t>citação da devedora no caso concreto, não restou interrompida a prescrição, que manteve seu marco inicial inalterado. 4. No caso vertente, diversamente do que alega a apelante, a demora na tramitação do feito não pode ser atribuída exclusivamente ao serviço judiciário, que atuou prontamente quando provocado, de modo que não aplica o enunciado da Súmula 106 do STJ. 5. Configurada, portanto, a prescrição da pretensão executiva, sendo consumada durante o curso do processo, uma vez que o prazo prescricional não foi interrompido pela ausência da citação válida da devedora. 6. Recurso improvido. Sentença inalterada.</w:t>
              <w:tab/>
              <w:t>&lt;br /&gt;</w:t>
              <w:tab/>
              <w:t>(Apelação Cível&amp;#160;- 0197125-77.2013.8.06.0001, Rel.</w:t>
            </w:r>
          </w:p>
          <w:p>
            <w:pPr>
              <w:pStyle w:val="TableParagraph"/>
              <w:spacing w:line="208" w:lineRule="auto" w:before="0"/>
              <w:rPr>
                <w:sz w:val="20"/>
              </w:rPr>
            </w:pPr>
            <w:r>
              <w:rPr>
                <w:sz w:val="20"/>
              </w:rPr>
              <w:t>Desembargador(a) MARIA DE FÁTIMA DE MELO LOUREIRO, 2ª Câmara Direito </w:t>
            </w:r>
            <w:r>
              <w:rPr>
                <w:spacing w:val="-3"/>
                <w:sz w:val="20"/>
              </w:rPr>
              <w:t>Privado, </w:t>
            </w:r>
            <w:r>
              <w:rPr>
                <w:sz w:val="20"/>
              </w:rPr>
              <w:t>data do julgamento:&amp;#160; 05/06/2024, data da publicação:&amp;#160; 05/06/2024)&lt;/span&gt;</w:t>
            </w:r>
          </w:p>
          <w:p>
            <w:pPr>
              <w:pStyle w:val="TableParagraph"/>
              <w:tabs>
                <w:tab w:pos="2682" w:val="left" w:leader="none"/>
                <w:tab w:pos="4788" w:val="left" w:leader="none"/>
              </w:tabs>
              <w:spacing w:line="208" w:lineRule="auto" w:before="0"/>
              <w:ind w:right="69"/>
              <w:rPr>
                <w:sz w:val="20"/>
              </w:rPr>
            </w:pPr>
            <w:r>
              <w:rPr>
                <w:sz w:val="20"/>
              </w:rPr>
              <w:t>&lt;/span&gt;&lt;/p&gt;&lt;p class="Standard" style="margin-bottom:5.0pt;text-align:justify;text- justify:inter-ideograph;text-indent:2.0cm;line-height:150%;mso-pagination:none;tab- stops:183.4pt"&gt;  &lt;span style="font-size: medium;"&gt;</w:t>
              <w:tab/>
              <w:t>&lt;span style="font-family: &amp;quot;times new roman&amp;quot;, times;"&gt;&amp;#160;&lt;/span&gt; &lt;/span&gt;&lt;/p&gt;&lt;p class="Standard" style="margin-bottom:5.0pt;text-align:justify;text-justify:inter-ideograph;text- indent:2.0cm;line-height:150%;mso-pagination:none;tab-stops:183.4pt"&gt; &lt;span style="font-size: medium;"&gt;</w:t>
              <w:tab/>
              <w:t>&lt;span style="font-family: &amp;quot;times new roman&amp;quot;, times;"&gt;Por fim, cumpre salientar, que o instituto da prescrição perderia sua eficácia caso se admitisse que a demanda pudesse tramitar indefinidamente após o seu ajuizamento.</w:t>
            </w:r>
          </w:p>
          <w:p>
            <w:pPr>
              <w:pStyle w:val="TableParagraph"/>
              <w:spacing w:line="208" w:lineRule="auto" w:before="0"/>
              <w:rPr>
                <w:sz w:val="20"/>
              </w:rPr>
            </w:pPr>
            <w:r>
              <w:rPr>
                <w:sz w:val="20"/>
              </w:rPr>
              <w:t>Tal entendimento esvaziaria a finalidade precípua da prescrição, que é assegurar a estabilidade das relações jurídicas e promover a pacificação social.&lt;/span&gt; &lt;/span&gt;</w:t>
            </w:r>
          </w:p>
          <w:p>
            <w:pPr>
              <w:pStyle w:val="TableParagraph"/>
              <w:tabs>
                <w:tab w:pos="5517" w:val="left" w:leader="none"/>
                <w:tab w:pos="6262" w:val="left" w:leader="none"/>
                <w:tab w:pos="6612" w:val="left" w:leader="none"/>
              </w:tabs>
              <w:spacing w:line="208" w:lineRule="auto" w:before="0"/>
              <w:ind w:right="381"/>
              <w:rPr>
                <w:sz w:val="20"/>
              </w:rPr>
            </w:pPr>
            <w:r>
              <w:rPr>
                <w:sz w:val="20"/>
              </w:rPr>
              <w:t>&lt;span style="font-family: &amp;quot;times new roman&amp;quot;, times; font-size: medium; text- indent: 2cm;"&gt;&amp;#160;&lt;/span&gt;&lt;/p&gt;&lt;p class="Standard"</w:t>
            </w:r>
            <w:r>
              <w:rPr>
                <w:spacing w:val="-18"/>
                <w:sz w:val="20"/>
              </w:rPr>
              <w:t> </w:t>
            </w:r>
            <w:r>
              <w:rPr>
                <w:sz w:val="20"/>
              </w:rPr>
              <w:t>style="margin-bottom:5.0pt;text- align:justify;text-justify:inter-ideograph;text-indent:2.0cm;line-height:150%;mso- pagination:none;tab-stops:183.4pt"&gt;  &lt;span style="font-size: medium;"&gt;</w:t>
              <w:tab/>
              <w:t>&lt;span style="font-family: &amp;quot;times new roman&amp;quot;, times;"&gt;</w:t>
              <w:tab/>
              <w:t>&lt;br /&gt;</w:t>
              <w:tab/>
              <w:t>&lt;/span&gt;</w:t>
            </w:r>
          </w:p>
          <w:p>
            <w:pPr>
              <w:pStyle w:val="TableParagraph"/>
              <w:tabs>
                <w:tab w:pos="1683" w:val="left" w:leader="none"/>
              </w:tabs>
              <w:spacing w:line="208" w:lineRule="auto" w:before="0"/>
              <w:ind w:right="279"/>
              <w:rPr>
                <w:sz w:val="20"/>
              </w:rPr>
            </w:pPr>
            <w:r>
              <w:rPr>
                <w:sz w:val="20"/>
              </w:rPr>
              <w:t>&lt;/span&gt;&lt;/p&gt;&lt;p class="Standard" style="margin-bottom:5.0pt;text-align:center;line- height:150%;mso-pagination:none;tab-stops:183.4pt" align="center"&gt; &lt;span </w:t>
            </w:r>
            <w:r>
              <w:rPr>
                <w:spacing w:val="-2"/>
                <w:sz w:val="20"/>
              </w:rPr>
              <w:t>style="font- </w:t>
            </w:r>
            <w:r>
              <w:rPr>
                <w:sz w:val="20"/>
              </w:rPr>
              <w:t>size: medium;"&gt;</w:t>
              <w:tab/>
              <w:t>&lt;span style="font-family: &amp;quot;times new roman&amp;quot;, times;"&gt;</w:t>
            </w:r>
          </w:p>
          <w:p>
            <w:pPr>
              <w:pStyle w:val="TableParagraph"/>
              <w:tabs>
                <w:tab w:pos="3174" w:val="left" w:leader="none"/>
                <w:tab w:pos="4518" w:val="left" w:leader="none"/>
                <w:tab w:pos="5752" w:val="left" w:leader="none"/>
                <w:tab w:pos="6081" w:val="left" w:leader="none"/>
                <w:tab w:pos="6608" w:val="left" w:leader="none"/>
              </w:tabs>
              <w:spacing w:line="208" w:lineRule="auto" w:before="0"/>
              <w:ind w:right="376"/>
              <w:rPr>
                <w:sz w:val="20"/>
              </w:rPr>
            </w:pPr>
            <w:r>
              <w:rPr>
                <w:sz w:val="20"/>
              </w:rPr>
              <w:t>&lt;strong&gt;DISPOSITIVO&lt;/strong&gt;</w:t>
              <w:tab/>
              <w:t>&lt;/span&gt; &lt;/span&gt;&lt;/p&gt;&lt;p class="Standard" style="margin-bottom:5.0pt;text-align:center;line-height:150%;mso-pagination:none;tab- stops:183.4pt" align="center"&gt;  &lt;span style="font-size: medium;"&gt;</w:t>
              <w:tab/>
              <w:t>&lt;span style="font- family: &amp;quot;times new roman&amp;quot;, times;"&gt;</w:t>
              <w:tab/>
              <w:t>&lt;strong&gt;</w:t>
              <w:tab/>
              <w:t>&lt;br /&gt;</w:t>
              <w:tab/>
              <w:t>&lt;/strong&gt;</w:t>
            </w:r>
          </w:p>
          <w:p>
            <w:pPr>
              <w:pStyle w:val="TableParagraph"/>
              <w:tabs>
                <w:tab w:pos="1327" w:val="left" w:leader="none"/>
                <w:tab w:pos="2905" w:val="left" w:leader="none"/>
                <w:tab w:pos="2984" w:val="left" w:leader="none"/>
                <w:tab w:pos="3929" w:val="left" w:leader="none"/>
                <w:tab w:pos="4154" w:val="left" w:leader="none"/>
                <w:tab w:pos="4788" w:val="left" w:leader="none"/>
                <w:tab w:pos="5477" w:val="left" w:leader="none"/>
                <w:tab w:pos="5608" w:val="left" w:leader="none"/>
                <w:tab w:pos="7186" w:val="left" w:leader="none"/>
                <w:tab w:pos="7514" w:val="left" w:leader="none"/>
              </w:tabs>
              <w:spacing w:line="208" w:lineRule="auto" w:before="0"/>
              <w:ind w:right="23"/>
              <w:rPr>
                <w:sz w:val="20"/>
              </w:rPr>
            </w:pPr>
            <w:r>
              <w:rPr>
                <w:sz w:val="20"/>
              </w:rPr>
              <w:t>&lt;/span&gt; &lt;/span&gt;&lt;/p&gt;&lt;p class="Standard" style="margin-bottom:5.0pt;text-align:justify;text- justify:inter-ideograph;text-indent:2.0cm;line-height:150%;mso-pagination:none;tab- stops:183.4pt"&gt;  &lt;span style="font-size: medium;"&gt;</w:t>
              <w:tab/>
              <w:t>&lt;span style="font-family: &amp;quot;times new roman&amp;quot;, times;"&gt;Ante o exposto e fundamentado,</w:t>
              <w:tab/>
              <w:tab/>
              <w:t>&lt;strong&gt;CONHEÇO DO RECURSO PARA NEGAR-LHE PROVIMENTO,&lt;/strong&gt; mantendo a sentença apelada pelos próprios fundamentos.&lt;/span&gt; &lt;/span&gt;&lt;/p&gt;&lt;p style="text-indent: 8%; text-align: justify;"&gt;  &lt;span style="font-size: medium;"&gt;</w:t>
              <w:tab/>
              <w:t>&lt;span style="font-size: medium;"&gt;</w:t>
              <w:tab/>
              <w:tab/>
              <w:t>&lt;span style="font-size: medium;"&gt;</w:t>
              <w:tab/>
              <w:t>&lt;span style="font-family: &amp;quot;times new roman&amp;quot;, times;"&gt;É como voto.&lt;/span&gt;</w:t>
              <w:tab/>
              <w:tab/>
              <w:t>&lt;/span&gt;</w:t>
              <w:tab/>
              <w:t>&lt;/span&gt;  &lt;/span&gt;&lt;/p&gt;&lt;p style="text-indent: 8%; text-align: justify;"&gt;  &lt;span style="font-size: medium;"&gt;</w:t>
              <w:tab/>
              <w:t>&lt;span style="font-size: medium;"&gt;</w:t>
              <w:tab/>
              <w:t>&lt;span style="font-size: medium;"&gt;</w:t>
              <w:tab/>
              <w:t>&lt;span style="font-family: &amp;quot;times new roman&amp;quot;, times;"&gt;Fortaleza/CE, data registrada no sistema.&lt;/span&gt;</w:t>
              <w:tab/>
              <w:t>&lt;/span&gt;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59"/>
              <w:rPr>
                <w:sz w:val="20"/>
              </w:rPr>
            </w:pPr>
            <w:r>
              <w:rPr>
                <w:sz w:val="20"/>
              </w:rPr>
              <w:t>&lt;/span&gt; &lt;/span&gt;&lt;/p&gt;&lt;p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s>
              <w:spacing w:line="208" w:lineRule="auto" w:before="0"/>
              <w:ind w:right="526"/>
              <w:rPr>
                <w:sz w:val="20"/>
              </w:rPr>
            </w:pPr>
            <w:r>
              <w:rPr>
                <w:sz w:val="20"/>
              </w:rPr>
              <w:t>&lt;/span&gt;&lt;/p&gt;&lt;p style="text-align: center;"&gt;  &lt;span style="font-size: small;"&gt;</w:t>
              <w:tab/>
              <w:t>&lt;strong style="font-size: small;"&gt;</w:t>
              <w:tab/>
              <w:t>&lt;span style="font-size: medium;"&gt;</w:t>
              <w:tab/>
              <w:t>&lt;span</w:t>
            </w:r>
            <w:r>
              <w:rPr>
                <w:spacing w:val="5"/>
                <w:sz w:val="20"/>
              </w:rPr>
              <w:t> </w:t>
            </w:r>
            <w:r>
              <w:rPr>
                <w:spacing w:val="-2"/>
                <w:sz w:val="20"/>
              </w:rPr>
              <w:t>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0056379-04.2009.8.06.0001</w:t>
            </w:r>
          </w:p>
        </w:tc>
      </w:tr>
      <w:tr>
        <w:trPr>
          <w:trHeight w:val="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375" w:val="left" w:leader="none"/>
              </w:tabs>
              <w:spacing w:line="215" w:lineRule="exact"/>
              <w:rPr>
                <w:sz w:val="20"/>
              </w:rPr>
            </w:pPr>
            <w:r>
              <w:rPr>
                <w:sz w:val="20"/>
              </w:rPr>
              <w:t>family: &amp;quot;times new roman&amp;quot;, times;"&gt;Desembargador Relator&lt;/span&gt;</w:t>
              <w:tab/>
              <w:t>&lt;/span&gt;</w:t>
            </w:r>
          </w:p>
          <w:p>
            <w:pPr>
              <w:pStyle w:val="TableParagraph"/>
              <w:tabs>
                <w:tab w:pos="5720" w:val="left" w:leader="none"/>
              </w:tabs>
              <w:spacing w:line="208" w:lineRule="auto" w:before="9"/>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IRINEU MARCOS TAVARES DE PAIVA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82"/>
              <w:rPr>
                <w:sz w:val="20"/>
              </w:rPr>
            </w:pPr>
            <w:r>
              <w:rPr>
                <w:sz w:val="20"/>
              </w:rPr>
              <w:t>THIAGO PEREIRA DE ALMEIDA - (CE23550-A) MAGNO AGUIAR AVELINO - (CE44827-A)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2560"/>
              <w:rPr>
                <w:sz w:val="20"/>
              </w:rPr>
            </w:pPr>
            <w:r>
              <w:rPr>
                <w:sz w:val="20"/>
              </w:rPr>
              <w:t>HRH FORTALEZA EMPREENDIMENTO HOTELEIRO S.A. HARD ROCK BRAZIL GERENCIAMENTO DE HOTEIS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MARIANA DIAS DA SILVA SANTOS - (CE25742-A)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&lt;strong&gt;PROCESSO&lt;/strong&gt;:&amp;#160;3012110-64.2025.8.06.0000 -&amp;#160;AGRAVO DE</w:t>
            </w:r>
          </w:p>
          <w:p>
            <w:pPr>
              <w:pStyle w:val="TableParagraph"/>
              <w:tabs>
                <w:tab w:pos="7446" w:val="left" w:leader="none"/>
              </w:tabs>
              <w:spacing w:line="208" w:lineRule="auto" w:before="8"/>
              <w:ind w:right="72"/>
              <w:rPr>
                <w:sz w:val="20"/>
              </w:rPr>
            </w:pPr>
            <w:r>
              <w:rPr>
                <w:sz w:val="20"/>
              </w:rPr>
              <w:t>INSTRUMENTO (202)&lt;/span&gt;  &lt;/span&gt;&lt;/p&gt;&lt;p&gt;  &lt;span style="font-size: small;"&gt;</w:t>
              <w:tab/>
              <w:t>&lt;span style="font-family: &amp;quot;times new roman&amp;quot;, times;"&gt;AGRAVANTE: IRINEU MARCOS TAVARES DE PAIVA&lt;/span&gt; &lt;/span&gt;&lt;/p&gt;&lt;p&gt; &lt;span style="font-size:</w:t>
            </w:r>
            <w:r>
              <w:rPr>
                <w:spacing w:val="6"/>
                <w:sz w:val="20"/>
              </w:rPr>
              <w:t> </w:t>
            </w:r>
            <w:r>
              <w:rPr>
                <w:spacing w:val="-3"/>
                <w:sz w:val="20"/>
              </w:rPr>
              <w:t>small;"&gt;</w:t>
            </w:r>
          </w:p>
          <w:p>
            <w:pPr>
              <w:pStyle w:val="TableParagraph"/>
              <w:spacing w:line="208" w:lineRule="auto" w:before="0"/>
              <w:ind w:right="666"/>
              <w:rPr>
                <w:sz w:val="20"/>
              </w:rPr>
            </w:pPr>
            <w:r>
              <w:rPr>
                <w:sz w:val="20"/>
              </w:rPr>
              <w:t>&lt;span style="font-family: &amp;quot;times new roman&amp;quot;, times;"&gt;AGRAVADO: HRH FORTALEZA EMPREENDIMENTO HOTELEIRO S.A., HARD ROCK BRAZIL</w:t>
            </w:r>
          </w:p>
          <w:p>
            <w:pPr>
              <w:pStyle w:val="TableParagraph"/>
              <w:tabs>
                <w:tab w:pos="1216" w:val="left" w:leader="none"/>
                <w:tab w:pos="7300" w:val="left" w:leader="none"/>
              </w:tabs>
              <w:spacing w:line="208" w:lineRule="auto" w:before="0"/>
              <w:ind w:right="233"/>
              <w:rPr>
                <w:sz w:val="20"/>
              </w:rPr>
            </w:pPr>
            <w:r>
              <w:rPr>
                <w:sz w:val="20"/>
              </w:rPr>
              <w:t>GERENCIAMENTO DE HOTEIS LTDA.&lt;/span&gt; &lt;/span&gt;&lt;/p&gt;&lt;p&gt; &lt;span style="font-size: medium;"&gt;</w:t>
              <w:tab/>
              <w:t>&lt;span style="font-family: &amp;quot;times new roman&amp;quot;, times;"&gt;</w:t>
              <w:tab/>
              <w:t>&lt;br /&gt;</w:t>
            </w:r>
          </w:p>
          <w:p>
            <w:pPr>
              <w:pStyle w:val="TableParagraph"/>
              <w:spacing w:line="208" w:lineRule="auto" w:before="0"/>
              <w:ind w:right="125"/>
              <w:rPr>
                <w:sz w:val="20"/>
              </w:rPr>
            </w:pPr>
            <w:r>
              <w:rPr>
                <w:sz w:val="20"/>
              </w:rPr>
              <w:t>&lt;/span&gt; &lt;/span&gt;&lt;/p&gt;&lt;p style="line-height:1.7999999999999998;text-align: justify;margin- top:0pt;margin-bottom:0pt;" dir="ltr"&gt; &lt;span style="font-size:12pt;font-family:'Times New Roman',serif;color:#000000;background-color:transparent;font-weight:700;font- style:normal;font-variant:normal;text-decoration:none;vertical-align:baseline;white- space:pre;white-space:pre-wrap;"&gt;AGRAVO DE INSTRUMENTO. CONTRATO DE MULTIPROPRIEDADE. ATRASO NA ENTREGA DO EMPREENDIMENTO. TUTELA PROVISÓRIA. RESTITUIÇÃO DE VALORES. SUSPENSÃO DE CONTRATO. INSCRIÇÃO EM CADASTRO DE INADIMPLENTES. RECURSO CONHECIDO E</w:t>
            </w:r>
          </w:p>
          <w:p>
            <w:pPr>
              <w:pStyle w:val="TableParagraph"/>
              <w:tabs>
                <w:tab w:pos="5163" w:val="left" w:leader="none"/>
              </w:tabs>
              <w:spacing w:line="208" w:lineRule="auto" w:before="0"/>
              <w:ind w:right="106"/>
              <w:rPr>
                <w:sz w:val="20"/>
              </w:rPr>
            </w:pPr>
            <w:r>
              <w:rPr>
                <w:sz w:val="20"/>
              </w:rPr>
              <w:t>PROVIDO.&lt;/span&gt;&lt;/p&gt;&lt;p style="line-height:1.7999999999999998;text-align: justify;margin-top:0pt;margin-bottom:0pt;" dir="ltr"&gt; &lt;span style="font-size:12pt;font- family:'Times New Roman',serif;color:#000000;background-color:transparent;font- weight:700;font-style:normal;font-variant:normal;text-decoration:none;vertical- align:baseline;white-space:pre;white-space:pre-wrap;"&gt;</w:t>
              <w:tab/>
              <w:t>&lt;br /&gt; &lt;/span&gt;&lt;/p&gt;&lt;p style="line-height:1.7999999999999998;text-align: justify;margin-top:0pt;margin- bottom:0pt;" dir="ltr"&gt; &lt;span style="font-size:12pt;font-family:'Times New Roman',serif;color:#000000;background-color:transparent;font-weight:700;font- style:normal;font-variant:normal;text-decoration:none;vertical-align:baseline;white- space:pre;white-space:pre-wrap;"&gt;Caso em exame:&lt;/span&gt;&lt;/p&gt;&lt;p style="line- height:1.7999999999999998;text-align: justify;margin-top:0pt;margin-bottom:0pt;"</w:t>
            </w:r>
            <w:r>
              <w:rPr>
                <w:spacing w:val="-15"/>
                <w:sz w:val="20"/>
              </w:rPr>
              <w:t> </w:t>
            </w:r>
            <w:r>
              <w:rPr>
                <w:sz w:val="20"/>
              </w:rPr>
              <w:t>dir="ltr"&gt;</w:t>
            </w:r>
          </w:p>
          <w:p>
            <w:pPr>
              <w:pStyle w:val="TableParagraph"/>
              <w:spacing w:line="208" w:lineRule="auto" w:before="0"/>
              <w:ind w:right="63"/>
              <w:rPr>
                <w:sz w:val="20"/>
              </w:rPr>
            </w:pPr>
            <w:r>
              <w:rPr>
                <w:sz w:val="20"/>
              </w:rPr>
              <w:t>&lt;span style="font-size:12pt;font-family:'Times New Roman',serif;color:#000000;background-color:transparent;font-weight:400;font- style:normal;font-variant:normal;text-decoration:none;vertical-align:baseline;white- space:pre;white-space:pre-wrap;"&gt;1. Trata-se de Agravo de Instrumento interposto em face de decisão interlocutória proferida pelo Juízo da 39ª Vara Cível da Comarca de Fortaleza/CE, que indeferiu pedido de tutela provisória formulado em ação proposta contra HRH FORTALEZA EMPREENDIMENTO HOTELEIRO S.A. e HARD ROCK BRAZIL</w:t>
            </w:r>
          </w:p>
          <w:p>
            <w:pPr>
              <w:pStyle w:val="TableParagraph"/>
              <w:spacing w:line="208" w:lineRule="auto" w:before="0"/>
              <w:ind w:right="87"/>
              <w:rPr>
                <w:sz w:val="20"/>
              </w:rPr>
            </w:pPr>
            <w:r>
              <w:rPr>
                <w:sz w:val="20"/>
              </w:rPr>
              <w:t>GERENCIAMENTO DE HOTÉIS LTDA., visando à devolução dos valores pagos em razão de contrato de multipropriedade e à suspensão do contrato diante do atraso na entrega do empreendimento.&lt;/span&gt;&lt;/p&gt;&lt;p style="line-height:1.7999999999999998;text-align: justify;margin-top:0pt;margin-bottom:0pt;" dir="ltr"&gt; &lt;span style="font-size:12pt;font- family:'Times New Roman',serif;color:#000000;background-color:transparent;font- weight:700;font-style:normal;font-variant:normal;text-decoration:none;vertical- align:baseline;white-space:pre;white-space:pre-wrap;"&gt;Questão 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discussão:&lt;/span&gt;&lt;/p&gt;&lt;p style="line-height:1.7999999999999998;text-align: justify;margin-top:0pt;margin-bottom:0pt;" dir="ltr"&gt; &lt;span style="font-size:12pt;font- family:'Times New Roman',serif;color:#000000;background-color:transparent;font- weight:400;font-style:normal;font-variant:normal;text-decoration:none;vertical- align:baseline;white-space:pre;white-space:pre-wrap;"&gt;2. Cinge-se a controvérsia recursal em verificar o acerto da decisão que indeferiu a tutela provisória, pretendendo o agravante a restituição dos valores pagos, a abstenção de inscrição de seu nome em cadastros de inadimplentes e a suspensão das parcelas vincendas.&lt;/span&gt;&lt;/p&gt;&lt;p style="line- height:1.7999999999999998;text-align: justify;margin-top:0pt;margin-bottom:0pt;" dir="ltr"&gt;</w:t>
            </w:r>
          </w:p>
          <w:p>
            <w:pPr>
              <w:pStyle w:val="TableParagraph"/>
              <w:spacing w:line="208" w:lineRule="auto" w:before="0"/>
              <w:ind w:right="130"/>
              <w:rPr>
                <w:sz w:val="20"/>
              </w:rPr>
            </w:pPr>
            <w:r>
              <w:rPr>
                <w:sz w:val="20"/>
              </w:rPr>
              <w:t>&lt;span style="font-size:12pt;font-family:'Times New Roman',serif;color:#000000;background-color:transparent;font-weight:700;font- style:normal;font-variant:normal;text-decoration:none;vertical-align:baseline;white- space:pre;white-space:pre-wrap;"&gt;Razões de decidir:&lt;/span&gt;&lt;/p&gt;&lt;p style="line- height:1.7999999999999998;text-align: justify;margin-top:0pt;margin-bottom:0pt;" dir="ltr"&gt;&lt;span style="font-size:12pt;font-family:'Times New Roman',serif;color:#000000;background-color:transparent;font-weight:400;font- style:normal;font-variant:normal;text-decoration:none;vertical-align:baseline;white- space:pre;white-space:pre-wrap;"&gt;3. Rejeita-se a preliminar de ilegitimidade passiva da litisconsorte, por se tratar de matéria não apreciada na origem, sob pena de supressão </w:t>
            </w:r>
            <w:r>
              <w:rPr>
                <w:spacing w:val="-9"/>
                <w:sz w:val="20"/>
              </w:rPr>
              <w:t>de</w:t>
            </w:r>
          </w:p>
          <w:p>
            <w:pPr>
              <w:pStyle w:val="TableParagraph"/>
              <w:spacing w:line="208" w:lineRule="auto" w:before="0"/>
              <w:rPr>
                <w:sz w:val="20"/>
              </w:rPr>
            </w:pPr>
            <w:r>
              <w:rPr>
                <w:sz w:val="20"/>
              </w:rPr>
              <w:t>instância. Registra-se, entretanto, que a legitimidade passiva deve ser aferida com base </w:t>
            </w:r>
            <w:r>
              <w:rPr>
                <w:spacing w:val="-9"/>
                <w:sz w:val="20"/>
              </w:rPr>
              <w:t>na </w:t>
            </w:r>
            <w:r>
              <w:rPr>
                <w:sz w:val="20"/>
              </w:rPr>
              <w:t>teoria da asserção, o que não se confunde com conclusão de responsabilidade aferida em cognição exauriente e de mérito. No caso há indícios de legitimidade, considerando a possibilidade de existência de grupo econômico e a necessidade de aferir o pertencimento ou não à cadeia de fornecedores, aspectos que devem ser avaliados pelo juízo&lt;/span&gt;</w:t>
            </w:r>
          </w:p>
          <w:p>
            <w:pPr>
              <w:pStyle w:val="TableParagraph"/>
              <w:tabs>
                <w:tab w:pos="3351" w:val="left" w:leader="none"/>
                <w:tab w:pos="7353" w:val="left" w:leader="none"/>
              </w:tabs>
              <w:spacing w:line="208" w:lineRule="auto" w:before="0"/>
              <w:ind w:right="84"/>
              <w:rPr>
                <w:sz w:val="20"/>
              </w:rPr>
            </w:pPr>
            <w:r>
              <w:rPr>
                <w:sz w:val="20"/>
              </w:rPr>
              <w:t>&lt;span style="font-size:12pt;font-family:'Times New Roman',serif;color:#000000;background-color:transparent;font-weight:400;font- style:italic;font-variant:normal;text-decoration:none;vertical-align:baseline;white- space:pre;white-space:pre-wrap;"&gt;a quo&lt;/span&gt; &lt;span style="font-size:12pt;font- family:'Times New Roman',serif;color:#000000;background-color:transparent;font- weight:400;font-style:normal;font-variant:normal;text-decoration:none;vertical- align:baseline;white-space:pre;white-space:pre-wrap;"&gt;para aferição da legitimidade ou, após, para conclusão sobre eventual responsabilidade da litisconsorte.&lt;/span&gt;&lt;/p&gt;&lt;p style="line-height:1.7999999999999998;text-align: justify;margin-top:0pt;margin- bottom:0pt;" dir="ltr"&gt; &lt;span style="font-size:12pt;font-family:'Times New Roman',serif;color:#000000;background-color:transparent;font-weight:400;font- style:normal;font-variant:normal;text-decoration:none;vertical-align:baseline;white- space:pre;white-space:pre-wrap;"&gt;4. Presentes os requisitos do art. 300 do CPC, notadamente a probabilidade do direito e o perigo de dano, diante do atraso na entrega </w:t>
            </w:r>
            <w:r>
              <w:rPr>
                <w:spacing w:val="-9"/>
                <w:sz w:val="20"/>
              </w:rPr>
              <w:t>do </w:t>
            </w:r>
            <w:r>
              <w:rPr>
                <w:sz w:val="20"/>
              </w:rPr>
              <w:t>empreendimento e do expressivo valor investido, o que autoriza o deferimento da tutela provisória.&lt;/span&gt; &lt;span style="font-size:12pt;font-family:'Times New Roman',serif;color:#000000;background-color:transparent;font-weight:400;font- style:normal;font-variant:normal;text-decoration:none;vertical-align:baseline;white- space:pre;white-space:pre-wrap;"&gt;</w:t>
              <w:tab/>
              <w:t>&lt;br /&gt; &lt;/span&gt; &lt;span style="font-size:12pt;font- family:'Times New Roman',serif;color:#000000;background-color:transparent;font- weight:400;font-style:normal;font-variant:normal;text-decoration:none;vertical- align:baseline;white-space:pre;white-space:pre-wrap;"&gt;5. Aplicação do art. 43-A, §1º, da Lei 4.591/1964, com as alterações da Lei 13.786/2018, fixando-se o prazo de 60 dias para restituição dos valores pagos. Inaplicabilidade do art. 67-A da mesma lei, por não se tratar de inadimplemento do adquirente.&lt;/span&gt; &lt;span style="font-size:12pt;font-family:'Times New Roman',serif;color:#000000;background-color:transparent;font-weight:400;font- style:normal;font-variant:normal;text-decoration:none;vertical-align:baseline;white- space:pre;white-space:pre-wrap;"&gt;</w:t>
              <w:tab/>
              <w:t>&lt;br /&gt; &lt;/span&gt; &lt;span style="font-size:12pt;font- family:'Times New Roman',serif;color:#000000;background-color:transparent;font- weight:400;font-style:normal;font-variant:normal;text-decoration:none;vertical- align:baseline;white-space:pre;white-space:pre-wrap;"&gt;6. Inviável o reconhecimento de caso fortuito ou força maior, porquanto o contrato foi firmado após o início da pandemia, não havendo prova de nexo causal entre esta e o inadimplemento.&lt;/span&gt; &lt;span style="font-size:12pt;font-family:'Times New Roman',serif;color:#000000;background- color:transparent;font-weight:400;font-style:normal;font-variant:normal;text- decoration:none;vertical-align:baseline;white-space:pre;white-space:pre-wrap;"&gt;</w:t>
              <w:tab/>
              <w:t>&lt;br /&gt;</w:t>
            </w:r>
          </w:p>
          <w:p>
            <w:pPr>
              <w:pStyle w:val="TableParagraph"/>
              <w:spacing w:line="208" w:lineRule="auto" w:before="0"/>
              <w:ind w:right="92"/>
              <w:rPr>
                <w:sz w:val="20"/>
              </w:rPr>
            </w:pPr>
            <w:r>
              <w:rPr>
                <w:sz w:val="20"/>
              </w:rPr>
              <w:t>&lt;/span&gt; &lt;span style="font-size:12pt;font-family:'Times New Roman',serif;color:#000000;background-color:transparent;font-weight:400;font- style:normal;font-variant:normal;text-decoration:none;vertical-align:baseline;white- space:pre;white-space:pre-wrap;"&gt;7. A tutela provisória deferida não implica irreversibilidade dos efeitos, já que os valores deverão ser depositados em juízo, observadas as normas do cumprimento provisório de sentença.&lt;/span&gt;&lt;/p&gt;&lt;p style="line- height:1.7999999999999998;text-align: justify;margin-top:0pt;margin-bottom:0pt;" dir="ltr"&gt;</w:t>
            </w:r>
          </w:p>
          <w:p>
            <w:pPr>
              <w:pStyle w:val="TableParagraph"/>
              <w:spacing w:line="208" w:lineRule="auto" w:before="0"/>
              <w:ind w:right="865"/>
              <w:rPr>
                <w:sz w:val="20"/>
              </w:rPr>
            </w:pPr>
            <w:r>
              <w:rPr>
                <w:sz w:val="20"/>
              </w:rPr>
              <w:t>&lt;span style="font-size:12pt;font-family:'Times New Roman',serif;color:#000000;background-color:transparent;font-weight:700;font-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6"/>
              <w:rPr>
                <w:sz w:val="20"/>
              </w:rPr>
            </w:pPr>
            <w:r>
              <w:rPr>
                <w:sz w:val="20"/>
              </w:rPr>
              <w:t>space:pre;white-space:pre-wrap;"&gt;Dispositivo:&lt;/span&gt;&lt;/p&gt;&lt;p style="line- height:1.7999999999999998;text-align: justify;margin-top:0pt;margin-bottom:0pt;"</w:t>
            </w:r>
            <w:r>
              <w:rPr>
                <w:spacing w:val="-18"/>
                <w:sz w:val="20"/>
              </w:rPr>
              <w:t> </w:t>
            </w:r>
            <w:r>
              <w:rPr>
                <w:sz w:val="20"/>
              </w:rPr>
              <w:t>dir="ltr"&gt;</w:t>
            </w:r>
          </w:p>
          <w:p>
            <w:pPr>
              <w:pStyle w:val="TableParagraph"/>
              <w:spacing w:line="208" w:lineRule="auto" w:before="0"/>
              <w:ind w:right="60"/>
              <w:rPr>
                <w:sz w:val="20"/>
              </w:rPr>
            </w:pPr>
            <w:r>
              <w:rPr>
                <w:sz w:val="20"/>
              </w:rPr>
              <w:t>&lt;span style="font-size:12pt;font-family:'Times New Roman',serif;color:#000000;background-color:transparent;font-weight:400;font- style:normal;font-variant:normal;text-decoration:none;vertical-align:baseline;white- space:pre;white-space:pre-wrap;"&gt;8. Agravo conhecido e provido. Decisão de origem reformada. Embargos de declaração prejudicados.&lt;/span&gt;&lt;/p&gt;&lt;p style="line- height:2.4;text-align: center;margin-top:12pt;margin-bottom:12pt;" dir="ltr"&gt; &lt;span style="font-size:13.999999999999998pt;font-family:'Times New Roman',serif;color:#000000;background-color:transparent;font-weight:700;font- style:normal;font-variant:normal;text-decoration:none;vertical-align:baseline;white- space:pre;white-space:pre-wrap;"&gt;&amp;#160;&lt;/span&gt;&lt;/p&gt;&lt;p style="line-height:2.4;text-align: center;margin-top:12pt;margin-bottom:12pt;" dir="ltr"&gt; &lt;span style="font- size:13.999999999999998pt;font-family:'Times New Roman',serif;color:#000000;background-color:transparent;font-weight:700;font- style:normal;font-variant:normal;text-decoration:none;vertical-align:baseline;white- space:pre;white-space:pre-wrap;"&gt;ACÓRDÃO&lt;/span&gt; &lt;span style="background-color: transparent; font-family: &amp;quot;Times New Roman&amp;quot;, serif; font-size: 14pt; font-weight: 700; white-space-collapse: preserve;"&gt;&amp;#160;&lt;/span&gt;&lt;/p&gt;&lt;p style="line- height:1.7999999999999998;text-indent: 71pt;text-align: justify;margin-top:6pt;margin- bottom:12pt;" dir="ltr"&gt;&lt;span style="font-size:12pt;font-family:'Times New Roman',serif;color:#000000;background-color:transparent;font-weight:400;font- style:normal;font-variant:normal;text-decoration:none;vertical-align:baseline;white- space:pre;white-space:pre-wrap;"&gt;Vistos, relatados e discutidos esses autos, acorda a Quinta Câmara de Direito Privado do Egrégio Tribunal de Justiça do Ceará, por unanimidade, em&lt;/span&gt; &lt;span style="font-size:12pt;font-family:'Times New Roman',serif;color:#000000;background-color:transparent;font-weight:700;font- style:normal;font-variant:normal;text-decoration:none;vertical-align:baseline;white- space:pre;white-space:pre-wrap;"&gt;CONHECER&lt;/span&gt; &lt;span style="font-size:12pt;font- family:'Times New Roman',serif;color:#000000;background-color:transparent;font- weight:400;font-style:normal;font-variant:normal;text-decoration:none;vertical- align:baseline;white-space:pre;white-space:pre-wrap;"&gt;e&lt;/span&gt; &lt;span style="font- size:12pt;font-family:'Times New Roman',serif;color:#000000;background- color:transparent;font-weight:700;font-style:normal;font-variant:normal;text- decoration:none;vertical-align:baseline;white-space:pre;white-space:pre-wrap;"&gt;DAR PROVIMENTO&lt;/span&gt; &lt;span style="font-size:12pt;font-family:'Times New Roman',serif;color:#000000;background-color:transparent;font-weight:400;font- style:normal;font-variant:normal;text-decoration:none;vertical-align:baseline;white- space:pre;white-space:pre-wrap;"&gt;ao presente agravo de instrumento, em conformidade com o voto do Relator.&lt;/span&gt;&lt;/p&gt;&lt;p style="line-height:1.7999999999999998;text-indent: 71pt;text-align: justify;margin-top:6pt;margin-bottom:12pt;" dir="ltr"&gt; &lt;span style="font- size:12pt;font-family:'Times New Roman',serif;color:#000000;background- color:transparent;font-weight:400;font-style:normal;font-variant:normal;text- decoration:none;vertical-align:baseline;white-space:pre;white-space:pre-wrap;"&gt;Fortaleza, data registrada no sistema.&lt;/span&gt;&lt;/p&gt;&lt;p style="line-height:1.7999999999999998;text- align: center;margin-top:12pt;margin-bottom:12pt;" dir="ltr"&gt; &lt;span style="font- size:12pt;font-family:'Times New Roman',serif;color:#000000;background- color:transparent;font-weight:700;font-style:normal;font-variant:normal;text- decoration:none;vertical-align:baseline;white-space:pre;white-space:pre- wrap;"&gt;&amp;#160;&lt;/span&gt;&lt;/p&gt;&lt;p style="line-height:1.7999999999999998;text-align: center;margin-top:12pt;margin-bottom:12pt;" dir="ltr"&gt; &lt;span style="font-size:12pt;font- family:'Times New Roman',serif;color:#000000;background-color:transparent;font- weight:700;font-style:normal;font-variant:normal;text-decoration:none;vertical- align:baseline;white-space:pre;white-space:pre-wrap;"&gt;MARIA REGINA OLIVEIRA CÂMARA&lt;/span&gt;&lt;/p&gt;&lt;p style="line-height:1.7999999999999998;text-align:</w:t>
            </w:r>
            <w:r>
              <w:rPr>
                <w:spacing w:val="-17"/>
                <w:sz w:val="20"/>
              </w:rPr>
              <w:t> </w:t>
            </w:r>
            <w:r>
              <w:rPr>
                <w:sz w:val="20"/>
              </w:rPr>
              <w:t>center;margin- top:12pt;margin-bottom:12pt;" dir="ltr"&gt; &lt;span style="font-size:12pt;font-family:'Times </w:t>
            </w:r>
            <w:r>
              <w:rPr>
                <w:spacing w:val="-5"/>
                <w:sz w:val="20"/>
              </w:rPr>
              <w:t>New </w:t>
            </w:r>
            <w:r>
              <w:rPr>
                <w:sz w:val="20"/>
              </w:rPr>
              <w:t>Roman',serif;color:#000000;background-color:transparent;font-weight:400;font- style:normal;font-variant:normal;text-decoration:none;vertical-align:baseline;white- space:pre;white-space:pre-wrap;"&gt;Presidente do Órgão Julgador&lt;/span&gt;&lt;/p&gt;&lt;p style="line-height:1.7999999999999998;text-align: center;margin-top:12pt;margin- bottom:12pt;" dir="ltr"&gt; &lt;span style="font-size:12pt;font-family:'Times New Roman',serif;color:#000000;background-color:transparent;font-weight:700;font- style:normal;font-variant:normal;text-decoration:none;vertical-align:baseline;white- space:pre;white-space:pre-wrap;"&gt;&amp;#160;&lt;/span&gt;&lt;/p&gt;&lt;p style="line- height:1.7999999999999998;text-align: center;margin-top:12pt;margin-bottom:12pt;" dir="ltr"&gt; &lt;span style="font-size:12pt;font-family:'Times New Roman',serif;color:#000000;background-color:transparent;font-weight:700;font- style:normal;font-variant:normal;text-decoration:none;vertical-align:baseline;white- space:pre;white-space:pre-wrap;"&gt;FRANCISCO LUCÍDIO DE QUEIROZ JÚNIOR&lt;/span&gt;&lt;/p&gt;&lt;p style="line-height:1.7999999999999998;text-align: center;margin-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5"/>
              <w:rPr>
                <w:sz w:val="20"/>
              </w:rPr>
            </w:pPr>
            <w:r>
              <w:rPr>
                <w:sz w:val="20"/>
              </w:rPr>
              <w:t>top:12pt;margin-bottom:12pt;" dir="ltr"&gt; &lt;span style="font-size:12pt;font-family:'Times </w:t>
            </w:r>
            <w:r>
              <w:rPr>
                <w:spacing w:val="-6"/>
                <w:sz w:val="20"/>
              </w:rPr>
              <w:t>New </w:t>
            </w:r>
            <w:r>
              <w:rPr>
                <w:sz w:val="20"/>
              </w:rPr>
              <w:t>Roman',serif;color:#000000;background-color:transparent;font-weight:400;font- style:normal;font-variant:normal;text-decoration:none;vertical-align:baseline;white- space:pre;white-space:pre-wrap;"&gt;&amp;#160;Desembargador Relator&lt;/span&gt;&lt;/p&gt;&lt;p style="line-height:1.7999999999999998;text-align: justify;margin-top:12pt;margin- 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height:1.7999999999999998;text-align: justify;margin-top:14pt;margin-bottom:12pt;"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height:1.7999999999999998;text-align: justify;margin-top:14pt;margin-bottom:12pt;"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height:1.7999999999999998;text-align: center;margin-top:14pt;margin-bottom:12pt;" dir="ltr"&gt; &lt;span style="font-size:12pt;font-family:'Times New Roman',serif;color:#000000;background-color:transparent;font-weight:700;font- style:normal;font-variant:normal;text-decoration:none;vertical-align:baseline;white- space:pre;white-space:pre-wrap;"&gt;RELATÓRIO&lt;/span&gt; &lt;span style="background-color: transparent; font-family: &amp;quot;Times New Roman&amp;quot;, serif; font-size: 12pt; white- space-collapse: preserve; text-align: justify; text-indent: 2pt;"&gt;&amp;#160;&lt;/span&gt;&lt;/p&gt;&lt;p style="text-align: justify; font-family: &amp;quot;Times New Roman&amp;quot;; font-size: medium; line-height: 1.8; text-indent: 56.6929pt; margin-top: 14pt; margin-bottom: 12pt;"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preserve;"&gt;Trata-se de&lt;/span&gt;</w:t>
            </w:r>
          </w:p>
          <w:p>
            <w:pPr>
              <w:pStyle w:val="TableParagraph"/>
              <w:spacing w:line="208" w:lineRule="auto" w:before="0"/>
              <w:ind w:right="42"/>
              <w:rPr>
                <w:sz w:val="20"/>
              </w:rPr>
            </w:pPr>
            <w:r>
              <w:rPr>
                <w:sz w:val="20"/>
              </w:rPr>
              <w:t>&lt;span style="font-size: 12pt; font-family: &amp;quot;Times New Roman&amp;quot;, serif; background-color: transparent; font-weight: 700; font-variant-numeric: normal; font-variant- east-asian: normal; font-variant-alternates: normal; font-variant-position: normal; font- variant-emoji: normal; vertical-align: baseline; white-space-collapse: preserve;"&gt;Agravo de Instrumento&lt;/span&gt;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preserve;"&gt;interposto por&lt;/span&gt; &lt;span style="font-size: 12pt; font-family: &amp;quot;Times New Roman&amp;quot;, serif; background-color: transparent; font-variant-numeric: normal; </w:t>
            </w:r>
            <w:r>
              <w:rPr>
                <w:spacing w:val="-4"/>
                <w:sz w:val="20"/>
              </w:rPr>
              <w:t>font- </w:t>
            </w:r>
            <w:r>
              <w:rPr>
                <w:sz w:val="20"/>
              </w:rPr>
              <w:t>variant-east-asian: normal; font-variant-alternates: normal; font-variant-position: normal; font-variant-emoji: normal; vertical-align: baseline; white-space-collapse: preserve;"&gt;</w:t>
            </w:r>
          </w:p>
          <w:p>
            <w:pPr>
              <w:pStyle w:val="TableParagraph"/>
              <w:spacing w:line="208" w:lineRule="auto" w:before="0"/>
              <w:ind w:right="23"/>
              <w:rPr>
                <w:sz w:val="20"/>
              </w:rPr>
            </w:pPr>
            <w:r>
              <w:rPr>
                <w:sz w:val="20"/>
              </w:rPr>
              <w:t>&lt;strong&gt;IRINEU MARCOS TAVARES DE PAIVA&lt;/strong&gt;&lt;/span&gt;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preserve;"&gt;em face de Decisão Interlocutória de id. 165793481, proferida pelo juízo da 39ª Vara Cível da Comarca de Fortaleza/CE, nos autos do </w:t>
            </w:r>
            <w:r>
              <w:rPr>
                <w:spacing w:val="-3"/>
                <w:sz w:val="20"/>
              </w:rPr>
              <w:t>processo </w:t>
            </w:r>
            <w:r>
              <w:rPr>
                <w:sz w:val="20"/>
              </w:rPr>
              <w:t>nº 3056474-21.2025.8.06.0001, ação que move o agravante em face de HRH FORTALEZA EMPREENDIMENTO HOTELEIRO S.A. (VENTURE CAPITAL PARTICIPAÇÕES E INVESTIMENTOS S.A.) e HARD ROCK BRAZIL GERENCIAMENTO</w:t>
            </w:r>
          </w:p>
          <w:p>
            <w:pPr>
              <w:pStyle w:val="TableParagraph"/>
              <w:spacing w:line="208" w:lineRule="auto" w:before="0"/>
              <w:ind w:right="24"/>
              <w:rPr>
                <w:sz w:val="20"/>
              </w:rPr>
            </w:pPr>
            <w:r>
              <w:rPr>
                <w:sz w:val="20"/>
              </w:rPr>
              <w:t>DE HOTEIS LTDA.&lt;/span&gt;&lt;/p&gt;&lt;p style="text-align: justify; font-family: &amp;quot;Times New Roman&amp;quot;; font-size: medium; line-height: 1.8; text-indent: 56.6929pt; margin-top: 14pt;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preserve;"&gt;Se insurge o autor, ora agravante, em face da decisão interlocutória que indeferiu a tutela provisória requerida e assim, pretende o recorrente a reforma da decisão, com o deferimento da tutela provisória e a restituição dos valores pagos pelo autor, em 75%, para sua conta bancária e o depósito judicial em 25%.&lt;/span&gt;&lt;/p&gt;&lt;p style="text-align: justify; font-family: &amp;quot;Times New Roman&amp;quot;; font-size: medium; line-height: 1.8; text- indent: 56.6929pt; margin-top: 14pt; margin-bottom: 12pt;" dir="ltr"&gt;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preserve;"&gt;Além da restituição dos valores pagos pelo autor, ou seu depósito judicial,&amp;#160; requer que a agravada se abstenha de inserir o nome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agravante nós cadastros de inadimplentes, assim como se suspenda o contrato e a cobrança de parcelas vincendas;&lt;/span&gt;&lt;/p&gt;&lt;p style="text-align: justify; font-family: &amp;quot;Times New Roman&amp;quot;; font-size: medium; line-height: 1.8; text-indent: 56.6929pt; margin-top: 14pt; margin-bottom: 12pt;" dir="ltr"&gt;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preserve;"&gt;Como situação de fato, alega em síntese o atraso na entrega do empreendimento imobiliário do qual adquiriu cota em multipropriedade.&lt;/span&gt;&lt;/p&gt;&lt;p style="text-align: justify; font-family: &amp;quot;Times New Roman&amp;quot;; font-size: medium; line-height: 1.8; text-indent: 56.6929pt; margin-top: 14pt; margin-bottom: 12pt;" dir="ltr"&gt;</w:t>
            </w:r>
          </w:p>
          <w:p>
            <w:pPr>
              <w:pStyle w:val="TableParagraph"/>
              <w:spacing w:line="208" w:lineRule="auto" w:before="0"/>
              <w:ind w:right="21"/>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preserve;"&gt;Recebido o recurso de agravo de instrumento, fora deferido o efeito suspensivo através de decisão interlocutória de id. 26817955, no seguinte sentido:&lt;/span&gt;&lt;/p&gt;&lt;p style="text-align: justify; font-family: &amp;quot;Times New Roman&amp;quot;; font-size: medium; line-height: 1.8; margin-left: 113pt; margin-top: 12pt; margin-bottom: 12pt;" dir="ltr"&gt; &lt;span style="font-size: 12pt; font-family: &amp;quot;Times New Roman&amp;quot;, serif; background-color: transparent; font-weight: 700; font-style: italic; font-variant-numeric: normal; font-variant-east-asian: normal; font-variant- alternates: normal; font-variant-position: normal; font-variant-emoji: normal; vertical-align: baseline; white-space-collapse: preserve;"&gt;Diante do que acima foi exposto e fundamentado, concedo, em parte, a tutela recursal pleiteada pelo agravante, no sentido de que empresa agravada deposite em juízo, no prazo de 60 (sessenta) dias corridos, os valores pagos pela parte agravante em razão do contrato entabulado pelas partes.&lt;/span&gt;&lt;/p&gt;&lt;p style="text-align: justify; font-family: &amp;quot;Times New Roman&amp;quot;; font-size: medium; line-height: 1.8; margin-left: 113pt; margin-top: 12pt; margin-bottom: 12pt;" dir="ltr"&gt; &lt;span style="font-size: 12pt; font-family: &amp;quot;Times New Roman&amp;quot;, serif; background-color: transparent; font-weight: 700; font-style: italic; font- variant-numeric: normal; font-variant-east-asian: normal; font-variant-alternates: normal; font-variant-position: normal; font-variant-emoji: normal; vertical-align: baseline; white- space-collapse: preserve;"&gt;Ressalta-se que os valores deverão ser depositados em juízo, permanecendo à disposição do juízo de origem, sem prejuízo de posterior deliberação quanto ao levantamento pelas partes, conforme previsão do artigo 297, parágrafo único, e artigo 520, ambos do Código de Processo Civil.&lt;/span&gt;&lt;/p&gt;&lt;p style="text-align: justify; font-family: &amp;quot;Times New Roman&amp;quot;; font-size: medium; line-height: 1.8; margin- left: 113pt; margin-top: 12pt; margin-bottom: 12pt;" dir="ltr"&gt; &lt;span style="font-size: 12pt; font-family: &amp;quot;Times New Roman&amp;quot;, serif; background-color: transparent; font- weight: 700; font-style: italic; font-variant-numeric: normal; font-variant-east-asian: normal; font-variant-alternates: normal; font-variant-position: normal; font-variant-emoji: normal; vertical-align: baseline; white-space-collapse: preserve;"&gt;Intimem-se os interessados </w:t>
            </w:r>
            <w:r>
              <w:rPr>
                <w:spacing w:val="-4"/>
                <w:sz w:val="20"/>
              </w:rPr>
              <w:t>sobre </w:t>
            </w:r>
            <w:r>
              <w:rPr>
                <w:sz w:val="20"/>
              </w:rPr>
              <w:t>o deferimento da tutela, bem como se oficie o juízo a quo, comunicando-o do inteiro teor da decisão.&lt;/span&gt; &lt;span style="background-color: transparent; font-family: &amp;quot;Times New Roman&amp;quot;, serif; font-size: 12pt; white-space-collapse: preserve;"&gt;&amp;#160;&lt;/span&gt;&lt;/p&gt;&lt;p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preserve;"&gt;O agravante interpôs embargos de declaração em face desta decisão, requerendo a análise do pedido de suspensão do contrato.&lt;/span&gt;&lt;/p&gt;&lt;p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preserve;"&gt;As agravadas apresentaram suas&lt;/span&gt; &lt;span style="font-size: 12pt; font- family: &amp;quot;Times New Roman&amp;quot;, serif; background-color: transparent; font-weight: 700; font-variant-numeric: normal; font-variant-east-asian: normal; font-variant-alternates: normal; font-variant-position: normal; font-variant-emoji: normal; vertical-align: baseline; white-space-collapse: preserve;"&gt;contrarrazões&lt;/span&gt;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preserve;"&gt;em manifestações de id. 28704712 e id. 28785759, apontando que: i) o valor indicado pelo agravante como pago era excessivo; ii) a necessidade de instrução probatória; iii) necessidade de observância do contraditório e ampla defesa; iv) caso fortuito e força maior; v) necessidade de aplicação do art. 67-A da Lei 4.591/1964; vi)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ilegitimidade passiva.&lt;/span&gt;&lt;/p&gt;&lt;p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preserve;"&gt;Os autos vieram conclusos.&lt;/span&gt;&lt;/p&gt;&lt;p style="text-align: justify; font-family: &amp;quot;Times New Roman&amp;quot;; font-size: medium; line-height: 1.8; text-indent: 56.6929pt; margin-top: 12pt; margin-bottom: 12pt;"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preserve;"&gt;Deixei de encaminhar o feito à&lt;/span&gt;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preserve;"&gt;Douta Procuradoria Geral de Justiça&lt;/span&gt;&lt;span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 por se tratar de lide com interesse meramente patrimonial e disponível.&lt;/span&gt;&lt;/p&gt;&lt;p style="text-align: justify; font-family: &amp;quot;Times New Roman&amp;quot;; font-size: medium; line-height: 1.8; text-indent: 56.6929pt; margin-top: 12pt; margin-bottom: 12pt;"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preserve;"&gt;É o relatório.&lt;/span&gt;&lt;/p&gt;&lt;p style="line-height:1.7999999999999998;text-indent: 2pt;text-align: center;margin-top:12pt;margin-bottom:7pt;" dir="ltr"&gt; &lt;span style="font-size:12pt;font- family:'Times New Roman',serif;color:#000000;background-color:transparent;font- weight:700;font-style:normal;font-variant:normal;text-decoration:none;vertical- align:baseline;white-space:pre;white-space:pre-wrap;"&gt;VOTO&lt;/span&gt;&lt;/p&gt;&lt;p style="line- height:1.7999999999999998;text-indent: 54pt;text-align: justify;margin-top:12pt;margin- bottom:12pt;"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56.692913385826756pt;text-align: justify;margin- top:12pt;margin-bottom:12pt;" dir="ltr"&gt; &lt;span style="font-size: 12pt; font-family: &amp;quot;Times New Roman&amp;quot;, serif; color: #000000; background-color: transparent; font- weight: 700; font-style: normal; font-variant: normal; text-decoration-skip-ink: none; vertical- align: baseline; white-space: pre-wrap; text-decoration: underline;"&gt;1. Admissibilidade recursal.&lt;/span&gt;&lt;/p&gt;&lt;p style="line-height:1.7999999999999998;text-indent: 56.692913385826756pt;text-align: justify;margin-top:12pt;margin-bottom:0pt;" dir="ltr"&gt;</w:t>
            </w:r>
          </w:p>
          <w:p>
            <w:pPr>
              <w:pStyle w:val="TableParagraph"/>
              <w:spacing w:line="208" w:lineRule="auto" w:before="0"/>
              <w:ind w:right="42"/>
              <w:rPr>
                <w:sz w:val="20"/>
              </w:rPr>
            </w:pPr>
            <w:r>
              <w:rPr>
                <w:sz w:val="20"/>
              </w:rPr>
              <w:t>&lt;span style="font-size:12pt;font-family:'Times New Roman',serif;color:#000000;background-color:transparent;font-weight:400;font- style:normal;font-variant:normal;text-decoration:none;vertical-align:baseline;white- space:pre;white-space:pre-wrap;"&gt;Exercendo o juízo de admissibilidade recursal, constato a presença dos requisitos de admissibilidade extrínsecos e intrínsecos, pelo que conheço do recurso e passo à análise do mérito.&lt;/span&gt;&lt;/p&gt;&lt;p style="line- height:1.7999999999999998;text-indent: 56.692913385826756pt;text-align: justify;margin- top:1pt;margin-bottom:12pt;" dir="ltr"&gt; &lt;span style="font-size: 12pt; font-family: &amp;quot;Times New Roman&amp;quot;, serif; color: #000000; background-color: transparent; font- weight: 700; font-style: normal; font-variant: normal; text-decoration-skip-ink: none; vertical- align: baseline; white-space: pre-wrap; text-decoration: underline;"&gt;2.</w:t>
            </w:r>
          </w:p>
          <w:p>
            <w:pPr>
              <w:pStyle w:val="TableParagraph"/>
              <w:spacing w:line="208" w:lineRule="auto" w:before="0"/>
              <w:ind w:right="317"/>
              <w:rPr>
                <w:sz w:val="20"/>
              </w:rPr>
            </w:pPr>
            <w:r>
              <w:rPr>
                <w:sz w:val="20"/>
              </w:rPr>
              <w:t>Mérito&lt;/span&gt;&lt;/p&gt;&lt;p style="line-height:1.7999999999999998;text-indent: 56.692913385826756pt;text-align: justify;margin-top:12pt;margin-bottom:12pt;" dir="ltr"&gt;</w:t>
            </w:r>
          </w:p>
          <w:p>
            <w:pPr>
              <w:pStyle w:val="TableParagraph"/>
              <w:spacing w:line="208" w:lineRule="auto" w:before="0"/>
              <w:ind w:right="129"/>
              <w:rPr>
                <w:sz w:val="20"/>
              </w:rPr>
            </w:pPr>
            <w:r>
              <w:rPr>
                <w:sz w:val="20"/>
              </w:rPr>
              <w:t>&lt;span style="font-size:12pt;font-family:'Times New Roman',serif;color:#000000;background-color:transparent;font-weight:400;font- style:normal;font-variant:normal;text-decoration:none;vertical-align:baseline;white- space:pre;white-space:pre-wrap;"&gt;A controvérsia recursal restringe-se à verificação do acerto ou desacerto do juízo singular ao indeferir a tutela provisória requerida pelo autor, ora agravante, para que fosse realizada a devolução dos valores pagos para aquisição de cota em multipropriedade e a suspensão do contrato, diante do atraso na entrega do empreendimento por culpa da agravada.&lt;/span&gt;&lt;/p&gt;&lt;p style="line- height:1.7999999999999998;text-indent: 56.692913385826756pt;text-align: justify;margin- top:12pt;margin-bottom:0pt;" dir="ltr"&gt;&lt;span style="font-size:12pt;font-family:'Times New Roman',serif;color:#000000;background-color:transparent;font-weight:400;font- style:normal;font-variant:normal;text-decoration:none;vertical-align:baseline;white- space:pre;white-space:pre-wrap;"&gt;Preliminarmente, no que tange&lt;/span&gt;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style="font-size:12pt;font-family:'Times New Roman',serif;color:#000000;background- color:transparent;font-weight:700;font-style:normal;font-variant:normal;text- decoration:none;vertical-align:baseline;white-space:pre;white-space:pre-wrap;"&gt;a ilegitimidade passiva&lt;/span&gt; &lt;span style="font-size:12pt;font-family:'Times New Roman',serif;color:#000000;background-color:transparent;font-weight:400;font- style:normal;font-variant:normal;text-decoration:none;vertical-align:baseline;white- space:pre;white-space:pre-wrap;"&gt;alegada pela agravada HARD ROCK BRAZIL GERENCIAMENTO DE HOTEIS LTDA. observa-se que a (i)legitimidade passiva não foi alvo da decisão interlocutória agravada, de forma que a análise peremptória em recurso de tema não decidido importaria em supressão de instância e mal ferimento do duplo grau de jurisdição.&lt;/span&gt;&lt;/p&gt;&lt;p style="line-height:1.7999999999999998;text-indent: 56.692913385826756pt;text-align: justify;margin-top:12pt;margin-bottom:0pt;" dir="ltr"&gt;</w:t>
            </w:r>
          </w:p>
          <w:p>
            <w:pPr>
              <w:pStyle w:val="TableParagraph"/>
              <w:spacing w:line="208" w:lineRule="auto" w:before="0"/>
              <w:ind w:right="108"/>
              <w:rPr>
                <w:sz w:val="20"/>
              </w:rPr>
            </w:pPr>
            <w:r>
              <w:rPr>
                <w:sz w:val="20"/>
              </w:rPr>
              <w:t>&lt;span style="font-size:12pt;font-family:'Times New Roman',serif;color:#000000;background-color:transparent;font-weight:400;font- style:normal;font-variant:normal;text-decoration:none;vertical-align:baseline;white- space:pre;white-space:pre-wrap;"&gt;Outrossim, com fundamento na teoria da asserção, amplamente acolhida pela jurisprudência do Superior Tribunal de Justiça, a legitimidade passiva deve ser aferida exclusivamente a partir das alegações constantes da petição inicial, sem adentrar o exame de provas, razão pela qual sua apreciação não se confunde com o mérito da demanda.&lt;/span&gt;&lt;/p&gt;&lt;p style="line-height:1.7999999999999998;text- indent: 56.692913385826756pt;text-align: justify;margin-top:12pt;margin-bottom:0pt;" dir="ltr"&gt; &lt;span style="font-size:12pt;font-family:'Times New Roman',serif;color:#000000;background-color:transparent;font-weight:400;font- style:normal;font-variant:normal;text-decoration:none;vertical-align:baseline;white- space:pre;white-space:pre-wrap;"&gt;Nesse contexto, verifica-se, em juízo de cognição sumária, a aparente legitimidade passiva da agravante, consideram que nas relações de consumo há a possibilidade, em alguns casos, de aplicação do regime de solidariedade existente entre os fornecedores.&lt;/span&gt;&lt;/p&gt;&lt;p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space:pre;white-space:pre-wrap;"&gt;Ademais, à luz da teoria da aparência, evidencia-se a vinculação entre a agravante, HARD ROCK BRAZIL GERENCIAMENTO DE HOTÉIS LTDA., e o empreendimento Residence Club at the Hard Rock Hotel Fortaleza. Tal conexão não decorre de mera semelhança nominal, mas do uso deliberado de marca amplamente reconhecida, voltada a atrair a confiança do consumidor, ainda que a cadeia de fornecimento seja composta por distintas pessoas jurídicas, muitas vezes pertencentes ao mesmo grupo econômico e responsáveis por etapas distintas da prestação de serviços.&lt;/span&gt;&lt;/p&gt;&lt;p style="line-height:1.7999999999999998;text-indent: 56.692913385826756pt;text-align: justify;margin-top:12pt;margin-bottom:0pt;" dir="ltr"&gt;&lt;span style="font-size:12pt;font-family:'Times New Roman',serif;color:#000000;background-color:transparent;font-weight:400;font- style:normal;font-variant:normal;text-decoration:none;vertical-align:baseline;white- space:pre;white-space:pre-wrap;"&gt;Nesse prisma, a jurisprudência da Corte Cidadã, demonstrada por precedente persuasivo citado pela agravada, verificou naqueles casos que a empresa de gerenciamento de hotéis não integrou a cadeia de fornecimento ou não integrava o mesmo grupo econômico. Tal aferição não ocorreu, até o presente momento, no caso tratado nesta lide, pois, como dito anteriormente, o juízo&lt;/span&gt; &lt;span style="font-size:12pt;font-family:'Times New Roman',serif;color:#000000;background- color:transparent;font-weight:400;font-style:italic;font-variant:normal;text- decoration:none;vertical-align:baseline;white-space:pre;white-space:pre-wrap;"&gt;a quo&lt;/span&gt; &lt;span style="font-size:12pt;font-family:'Times New Roman',serif;color:#000000;background-color:transparent;font-weight:400;font- style:normal;font-variant:normal;text-decoration:none;vertical-align:baseline;white-</w:t>
            </w:r>
          </w:p>
          <w:p>
            <w:pPr>
              <w:pStyle w:val="TableParagraph"/>
              <w:spacing w:line="208" w:lineRule="auto" w:before="0"/>
              <w:ind w:right="47"/>
              <w:rPr>
                <w:sz w:val="20"/>
              </w:rPr>
            </w:pPr>
            <w:r>
              <w:rPr>
                <w:sz w:val="20"/>
              </w:rPr>
              <w:t>space:pre;white-space:pre-wrap;"&gt;sequer se debruçou sobre essa questão.&lt;/span&gt;&lt;/p&gt;&lt;p style="line-height:1.7999999999999998;text-indent: 56.692913385826756pt;text-align: justify;margin-top:12pt;margin-bottom:0pt;" dir="ltr"&gt; &lt;span style="font-size:12pt;font- family:'Times New Roman',serif;color:#000000;background-color:transparent;font- weight:400;font-style:normal;font-variant:normal;text-decoration:none;vertical- align:baseline;white-space:pre;white-space:pre-wrap;"&gt;De todo modo, apesar de tais considerações, não se trata de conclusão pela responsabilidade da litisconsorte, mas tão apenas de sua aparente legitimidade para responder em juízo, que deve ser avaliada em 1º grau de forma minudente, considerando os aspectos acima delineados.&lt;/span&gt;&lt;/p&gt;&lt;p style="line-height:1.7999999999999998;text-indent: 56.692913385826756pt;text-align: justify;margin-top:12pt;margin-bottom:7pt;" dir="ltr"&gt; &lt;span style="font-size:12pt;font- family:'Times New Roman',serif;color:#000000;background-color:transparent;font- weight:400;font-style:normal;font-variant:normal;text-decoration:none;vertical- align:baseline;white-space:pre;white-space:pre-wrap;"&gt;Em conseguinte, restam presentes os requisitos de probabilidade do direito do agravado, assim como o risco da demora, para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2"/>
              <w:rPr>
                <w:sz w:val="20"/>
              </w:rPr>
            </w:pPr>
            <w:r>
              <w:rPr>
                <w:sz w:val="20"/>
              </w:rPr>
              <w:t>deferimento da tutela provisória (art. 300, do CPC).&lt;/span&gt;&lt;/p&gt;&lt;p style="line- height:1.7999999999999998;text-indent: 56.692913385826756pt;text-align: justify;margin- top:12pt;margin-bottom:7pt;" dir="ltr"&gt; &lt;span style="font-size:12pt;font-family:'Times New Roman',serif;color:#000000;background-color:transparent;font-weight:400;font- style:normal;font-variant:normal;text-decoration:none;vertical-align:baseline;white- space:pre;white-space:pre-wrap;"&gt;O autor/agravante, apresentou o contrato firmado com a agravada conforme documento de id. 165562192 (processo º 3056474-21.2025.8.06.0001) e ficha financeira (id. 165562193), estando os elementos indicativos do atraso na entrega do empreendimento por culpa da vendedora também bem delineados, tratando-se de fato notório de grande repercussão.&lt;/span&gt;&lt;/p&gt;&lt;p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space:pre;white-space:pre-wrap;"&gt;A jurisprudência é pacífica ao reconhecer que tanto o comprador quanto o vendedor podem encerrar unilateralmente o contrato, tendo direito à devolução, total ou parcial, dos valores pagos, conforme as circunstâncias do caso. Trata- se de um direito subjetivo das partes, que pode ser exercido mediante simples manifestação de vontade por aquele que não deseja mais manter a relação contratual.&lt;/span&gt;&lt;/p&gt;&lt;p style="line-height:1.7999999999999998;text-indent: 56.692913385826756pt;text-align: justify;margin-top:12pt;margin-bottom:12pt;" dir="ltr"&gt;</w:t>
            </w:r>
          </w:p>
          <w:p>
            <w:pPr>
              <w:pStyle w:val="TableParagraph"/>
              <w:spacing w:line="208" w:lineRule="auto" w:before="0"/>
              <w:ind w:right="42"/>
              <w:rPr>
                <w:sz w:val="20"/>
              </w:rPr>
            </w:pPr>
            <w:r>
              <w:rPr>
                <w:sz w:val="20"/>
              </w:rPr>
              <w:t>&lt;span style="font-size:12pt;font-family:'Times New Roman',serif;color:#000000;background-color:transparent;font-weight:400;font- style:normal;font-variant:normal;text-decoration:none;vertical-align:baseline;white- space:pre;white-space:pre-wrap;"&gt;Nos casos de atraso na entrega do empreendimento, o consumidor tem direito à resolução do contrato com a restituição dos valores pagos, desde que não tenha concorrido para a mora, conforme previsto no art. 43-A, §1º, da Lei nº 4.591/64.&lt;/span&gt;&lt;/p&gt;&lt;p style="line-height:1.7999999999999998;text-indent: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space:pre;white-space:pre-wrap;"&gt;No caso concreto, observa-se que&lt;/span&gt; &lt;span style="font-size:12pt;font-family:'Times New Roman',serif;color:#000000;background- color:transparent;font-weight:700;font-style:normal;font-variant:normal;text- decoration:none;vertical-align:baseline;white-space:pre;white-space:pre-wrap;"&gt;o prazo contratual para entrega do imóvel, bem como o período de tolerância, já se encontram vencidos&lt;/span&gt;&lt;span style="font-size:12pt;font-family:'Times New Roman',serif;color:#000000;background-color:transparent;font-weight:400;font- style:normal;font-variant:normal;text-decoration:none;vertical-align:baseline;white- space:pre;white-space:pre-wrap;"&gt;, conforme demonstram os documentos juntados à petição inicial e ao presente recurso.&amp;#160; &amp;#160;&lt;/span&gt;&lt;/p&gt;&lt;p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space:pre;white-space:pre-wrap;"&gt;Nessas circunstâncias, a ausência de prévia notificação extrajudicial da vendedora não demonstra substrato suficiente para afastar o direito do comprador em ver o contrato rescindido, embora possa ter consectários no que tange a eventual inscrição em cadastros de inadimplentes, acaso ocorrida antes da ciência da promovida do interesse do autor em ver o contrato rescindido.&lt;/span&gt;&lt;/p&gt;&lt;p style="line- height:1.7999999999999998;text-indent: 56.692913385826756pt;text-align: justify;margin- top:12pt;margin-bottom:12pt;" dir="ltr"&gt;&lt;span style="font-size:12pt;font-family:'Times New Roman',serif;color:#000000;background-color:transparent;font-weight:400;font- style:normal;font-variant:normal;text-decoration:none;vertical-align:baseline;white- space:pre;white-space:pre-wrap;"&gt;Diante disso,&lt;/span&gt; &lt;span style="font-size:12pt;font- family:'Times New Roman',serif;color:#000000;background-color:transparent;font- weight:700;font-style:normal;font-variant:normal;text-decoration:none;vertical- align:baseline;white-space:pre;white-space:pre-wrap;"&gt;mostra-se presente a plausibilidade do direito invocado pela parte agravante,&lt;/span&gt; &lt;span style="font-size:12pt;font- family:'Times New Roman',serif;color:#000000;background-color:transparent;font- weight:400;font-style:normal;font-variant:normal;text-decoration:none;vertical- align:baseline;white-space:pre;white-space:pre-wrap;"&gt;haja vista que seu pedido de rescisão contratual encontra amparo tanto no mencionado dispositivo legal quanto na Súmula 543 do Superior Tribunal de Justiça.&lt;/span&gt;&lt;/p&gt;&lt;p style="line- height:1.7999999999999998;text-indent: 56.692913385826756pt;text-align: justify;margin- top:12pt;margin-bottom:12pt;" dir="ltr"&gt; &lt;span style="font-size:12pt;font-family:'Times New Roman',serif;color:#000000;background-color:transparent;font-weight:400;font- style:normal;font-variant:normal;text-decoration:none;vertical-align:baseline;white- space:pre;white-space:pre-wrap;"&gt;No tocante ao perigo de dano, este igualmente 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6"/>
              <w:rPr>
                <w:sz w:val="20"/>
              </w:rPr>
            </w:pPr>
            <w:r>
              <w:rPr>
                <w:sz w:val="20"/>
              </w:rPr>
              <w:t>evidencia diante do expressivo valor investido em contrato cujo cumprimento deixou de atender ao interesse do promitente comprador, configurando o prejuízo por ele suportado. Ademais, considerando os indícios de inadimplemento atribuídos à vendedora, esta deve responder pela privação financeira imposta à agravante, que perdura até a efetiva restituição dos valores pagos.&lt;/span&gt;&lt;/p&gt;&lt;p style="line-height:1.7999999999999998;text- 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space:pre;white-space:pre-wrap;"&gt;Assim,&lt;/span&gt; &lt;span style="font-size:12pt;font- family:'Times New Roman',serif;color:#000000;background-color:transparent;font- weight:700;font-style:normal;font-variant:normal;text-decoration:none;vertical- align:baseline;white-space:pre;white-space:pre-wrap;"&gt;justa a redistribuição do ônus do tempo advinda da concessão da tutela.&lt;/span&gt;&lt;/p&gt;&lt;p style="line- height:1.7999999999999998;text-indent: 56.692913385826756pt;text-align: justify;margin- top:12pt;margin-bottom:12pt;" dir="ltr"&gt;&lt;span style="font-size:12pt;font-family:'Times New Roman',serif;color:#000000;background-color:transparent;font-weight:400;font- style:normal;font-variant:normal;text-decoration:none;vertical-align:baseline;white- space:pre;white-space:pre-wrap;"&gt;A decisão que concede tutela provisória — seja de urgência ou de evidência —&lt;/span&gt; &lt;span style="font-size:12pt;font-family:'Times New Roman',serif;color:#000000;background-color:transparent;font-weight:700;font- style:normal;font-variant:normal;text-decoration:none;vertical-align:baseline;white- space:pre;white-space:pre-wrap;"&gt;não afronta os princípios do contraditório e da ampla defesa&lt;/span&gt;&lt;span style="font-size:12pt;font-family:'Times New Roman',serif;color:#000000;background-color:transparent;font-weight:400;font- style:normal;font-variant:normal;text-decoration:none;vertical-align:baseline;white- space:pre;white-space:pre-wrap;"&gt;, tampouco configura decisão surpresa ou desproporcional, uma vez que o ordenamento processual civil admite expressamente a concessão liminar da medida, o acautelamento do provimento final e a antecipação do direito que se busca, nos termos do que dispõe o Código de Processo Civil.&lt;/span&gt;&lt;/p&gt;&lt;p style="line-height:1.7999999999999998;text-indent: 56.692913385826756pt;text-align: justify;margin-top:12pt;margin-bottom:12pt;" dir="ltr"&gt; &lt;span style="font-size:12pt;font- family:'Times New Roman',serif;color:#000000;background-color:transparent;font- weight:400;font-style:normal;font-variant:normal;text-decoration:none;vertical- align:baseline;white-space:pre;white-space:pre-wrap;"&gt;No caso concreto, estão devidamente demonstrados os pressupostos autorizadores da tutela de urgência, notadamente a probabilidade do direito invocado pelo agravante e o perigo de dano ou risco ao resultado útil do processo.&lt;/span&gt;&lt;/p&gt;&lt;p style="line- height:1.7999999999999998;text-indent: 56.692913385826756pt;text-align: justify;margin- top:7pt;margin-bottom:0pt;" dir="ltr"&gt; &lt;span style="font-size:12pt;font-family:'Times New Roman',serif;color:#000000;background-color:transparent;font-weight:400;font- style:normal;font-variant:normal;text-decoration:none;vertical-align:baseline;white- space:pre;white-space:pre-wrap;"&gt;Ademais, não vislumbro risco de irreversibilidade dos efeitos da decisão na hipótese de depósito dos valores em juízo, visto que às tutelas provisórias aplicam-se as normas relativas ao cumprimento provisório de sentença, nos termos do art. 297, parágrafo único, do Código de Processo Civil:&lt;/span&gt;&lt;/p&gt;&lt;p style="line-height:1.7999999999999998;margin-left: 113pt;text-align: justify;margin- top:7pt;margin-bottom:7pt;" dir="ltr"&gt;&amp;#160;&lt;/p&gt;&lt;p style="line- height:1.7999999999999998;margin-left: 113pt;text-align: justify;margin-top:7pt;margin- bottom:7pt;" dir="ltr"&gt; &lt;span style="font-size:12pt;font-family:'Times New Roman',serif;color:#000000;background-color:transparent;font-weight:400;font- style:italic;font-variant:normal;text-decoration:none;vertical-align:baseline;white- space:pre;white-space:pre-wrap;"&gt;Art. 297. O juiz poderá determinar as medidas que considerar adequadas para efetivação da tutela provisória.&lt;/span&gt;&lt;/p&gt;&lt;p style="line- height:1.7999999999999998;margin-left: 113pt;text-align: justify;margin-top:7pt;margin- bottom:7pt;" dir="ltr"&gt; &lt;span style="font-size:12pt;font-family:'Times New Roman',serif;color:#000000;background-color:transparent;font-weight:400;font- style:italic;font-variant:normal;text-decoration:none;vertical-align:baseline;white- space:pre;white-space:pre-wrap;"&gt;Parágrafo único. A efetivação da tutela provisória observará as normas referentes ao cumprimento provisório da sentença, no que couber.&lt;/span&gt;&lt;/p&gt;&lt;p style="line-height:1.7999999999999998;text-indent: 56.692913385826756pt;text-align: justify;margin-top:7pt;margin-bottom:7pt;" dir="ltr"&gt;&amp;#160;&lt;/p&gt;&lt;p style="line-height:1.7999999999999998;text-indent: 56.692913385826756pt;text-align: justify;margin-top:7pt;margin-bottom:7pt;" dir="ltr"&gt;&lt;span style="font-size:12pt;font-family:'Times New Roman',serif;color:#000000;background-color:transparent;font-weight:400;font- style:normal;font-variant:normal;text-decoration:none;vertical-align:baseline;white- space:pre;white-space:pre-wrap;"&gt;Conforme o regramento legal do&lt;/span&gt; &lt;span style="font-size:12pt;font-family:'Times New Roman',serif;color:#000000;background- color:transparent;font-weight:700;font-style:normal;font-variant:normal;text-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6"/>
              <w:rPr>
                <w:sz w:val="20"/>
              </w:rPr>
            </w:pPr>
            <w:r>
              <w:rPr>
                <w:sz w:val="20"/>
              </w:rPr>
              <w:t>decoration:none;vertical-align:baseline;white-space:pre;white-space:pre- wrap;"&gt;cumprimento provisório,&lt;/span&gt; &lt;span style="font-size:12pt;font-family:'Times New Roman',serif;color:#000000;background-color:transparent;font-weight:400;font- style:normal;font-variant:normal;text-decoration:none;vertical-align:baseline;white- space:pre;white-space:pre-wrap;"&gt;o levantamento de valores depositados em juízo, bem como a realização de atos que possam acarretar grave prejuízo ao executado, estão condicionados à prestação de caução suficiente e idônea, arbitrada de imediato pelo juiz e oferecida nos próprios autos, nos termos do art. 520, IV, do CPC.&lt;/span&gt;&lt;/p&gt;&lt;p style="line-height:1.7999999999999998;text-indent: 56.692913385826756pt;text-align: justify;margin-top:12pt;margin-bottom:7pt;" dir="ltr"&gt; &lt;span style="font-size:12pt;font- family:'Times New Roman',serif;color:#000000;background-color:transparent;font- weight:400;font-style:normal;font-variant:normal;text-decoration:none;vertical- align:baseline;white-space:pre;white-space:pre-wrap;"&gt;Conclui-se, portanto, que o levantamento dos valores, mesmo quando determinado por meio de tutela provisória, deve observar as regras do cumprimento provisório de sentença, incluindo a exigência de caução idônea, aspectos que devem ser analisados no respectivo procedimento adequado.&lt;/span&gt;&lt;/p&gt;&lt;p style="line-height:1.7999999999999998;text-indent: 56.692913385826756pt;text-align: justify;margin-top:12pt;margin-bottom:7pt;" dir="ltr"&gt;</w:t>
            </w:r>
          </w:p>
          <w:p>
            <w:pPr>
              <w:pStyle w:val="TableParagraph"/>
              <w:spacing w:line="208" w:lineRule="auto" w:before="0"/>
              <w:ind w:right="60"/>
              <w:rPr>
                <w:sz w:val="20"/>
              </w:rPr>
            </w:pPr>
            <w:r>
              <w:rPr>
                <w:sz w:val="20"/>
              </w:rPr>
              <w:t>&lt;span style="font-size:12pt;font-family:'Times New Roman',serif;color:#000000;background-color:transparent;font-weight:400;font- style:normal;font-variant:normal;text-decoration:none;vertical-align:baseline;white- space:pre;white-space:pre-wrap;"&gt;Ressalte-se que a rescisão contratual e o deferimento das medidas requeridas não inviabilizam eventual direito da agravada, sendo plenamente possível, inclusive, a alienação do imóvel objeto do contrato a terceiros.&lt;/span&gt;&lt;/p&gt;&lt;p style="line-height:1.7999999999999998;text-indent: 56.692913385826756pt;text-align: justify;margin-top:12pt;margin-bottom:7pt;" dir="ltr"&gt; &lt;span style="font-size:12pt;font- family:'Times New Roman',serif;color:#000000;background-color:transparent;font- weight:400;font-style:normal;font-variant:normal;text-decoration:none;vertical- align:baseline;white-space:pre;white-space:pre-wrap;"&gt;Portanto, não vislumbro risco de irreversibilidade dos efeitos da tutela provisória tendo em vista que os valores devem ficar depositados em juízo por expressa previsão legal.&lt;/span&gt;&lt;/p&gt;&lt;p style="line- height:1.7999999999999998;text-indent: 56.692913385826756pt;text-align: justify;margin- top:12pt;margin-bottom:7pt;" dir="ltr"&gt; &lt;span style="font-size:12pt;font-family:'Times New Roman',serif;color:#000000;background-color:transparent;font-weight:400;font- style:normal;font-variant:normal;text-decoration:none;vertical-align:baseline;white- space:pre;white-space:pre-wrap;"&gt;Da mesma forma, há previsão legal expressa de responsabilidade objetiva da parte que teve a tutela deferida a seu favor, mas que, posteriormente, veio a ser revogada (art. 302, do CPC).&lt;/span&gt;&lt;/p&gt;&lt;p style="line- height:1.7999999999999998;text-indent: 56.692913385826756pt;text-align: justify;margin- top:12pt;margin-bottom:7pt;" dir="ltr"&gt;&lt;span style="font-size:12pt;font-family:'Times New Roman',serif;color:#000000;background-color:transparent;font-weight:400;font- style:normal;font-variant:normal;text-decoration:none;vertical-align:baseline;white- space:pre;white-space:pre-wrap;"&gt;Nesse sentido,&lt;/span&gt; &lt;span style="font-size:12pt;font- family:'Times New Roman',serif;color:#000000;background-color:transparent;font- weight:700;font-style:normal;font-variant:normal;text-decoration:none;vertical- align:baseline;white-space:pre;white-space:pre-wrap;"&gt;a divergência&lt;/span&gt; &lt;span style="font-size:12pt;font-family:'Times New Roman',serif;color:#000000;background- color:transparent;font-weight:400;font-style:normal;font-variant:normal;text- decoration:none;vertical-align:baseline;white-space:pre;white-space:pre-wrap;"&gt;acerca do&lt;/span&gt; &lt;span style="font-size:12pt;font-family:'Times New Roman',serif;color:#000000;background-color:transparent;font-weight:700;font- style:normal;font-variant:normal;text-decoration:none;vertical-align:baseline;white- space:pre;white-space:pre-wrap;"&gt;valor&lt;/span&gt; &lt;span style="font-size:12pt;font- family:'Times New Roman',serif;color:#000000;background-color:transparent;font- weight:700;font-style:normal;font-variant:normal;text-decoration:none;vertical- align:baseline;white-space:pre;white-space:pre-wrap;"&gt;pago pelo agravante&lt;/span&gt; &lt;span style="font-size:12pt;font-family:'Times New Roman',serif;color:#000000;background- color:transparent;font-weight:400;font-style:normal;font-variant:normal;text- decoration:none;vertical-align:baseline;white-space:pre;white-space:pre-wrap;"&gt;é matéria</w:t>
            </w:r>
          </w:p>
          <w:p>
            <w:pPr>
              <w:pStyle w:val="TableParagraph"/>
              <w:spacing w:line="208" w:lineRule="auto" w:before="0"/>
              <w:ind w:right="37"/>
              <w:rPr>
                <w:sz w:val="20"/>
              </w:rPr>
            </w:pPr>
            <w:r>
              <w:rPr>
                <w:sz w:val="20"/>
              </w:rPr>
              <w:t>afeta ao procedimento de liquidação ou cumprimento provisório,&lt;/span&gt; &lt;span style="font- size:12pt;font-family:'Times New Roman',serif;color:#000000;background- color:transparent;font-weight:700;font-style:normal;font-variant:normal;text- decoration:none;vertical-align:baseline;white-space:pre;white-space:pre-wrap;"&gt;não sendo apto a impedir o deferimento da tutela.&lt;/span&gt; &lt;span style="font-size:12pt;font- family:'Times New Roman',serif;color:#000000;background-color:transparent;font- weight:400;font-style:normal;font-variant:normal;text-decoration:none;vertical- align:baseline;white-space:pre;white-space:pre-wrap;"&gt;É dizer, a decisão que defere a antecipação de tutela para recolhimento em juízo dos valores&lt;/span&gt; &lt;span style="font- size:12pt;font-family:'Times New Roman',serif;color:#000000;background- color:transparent;font-weight:400;font-style:italic;font-variant:normal;text-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51" w:val="left" w:leader="none"/>
              </w:tabs>
              <w:spacing w:line="208" w:lineRule="auto" w:before="26"/>
              <w:ind w:right="19"/>
              <w:rPr>
                <w:sz w:val="20"/>
              </w:rPr>
            </w:pPr>
            <w:r>
              <w:rPr>
                <w:sz w:val="20"/>
              </w:rPr>
              <w:t>decoration:none;vertical-align:baseline;white-space:pre;white-space:pre- wrap;"&gt;pagos&lt;/span&gt;&lt;span style="font-size:12pt;font-family:'Times New Roman',serif;color:#000000;background-color:transparent;font-weight:400;font- style:normal;font-variant:normal;text-decoration:none;vertical-align:baseline;white- space:pre;white-space:pre-wrap;"&gt;, não afirma peremptoriamente o montante, visto que deverá ser apurado em momento processual próprio.&lt;/span&gt;&lt;/p&gt;&lt;p style="line- height:1.7999999999999998;text-indent: 56.692913385826756pt;text-align: justify;margin- top:12pt;margin-bottom:7pt;" dir="ltr"&gt; &lt;span style="font-size:12pt;font-family:'Times New Roman',serif;color:#000000;background-color:transparent;font-weight:400;font- style:normal;font-variant:normal;text-decoration:none;vertical-align:baseline;white- space:pre;white-space:pre-wrap;"&gt;Quanto ao prazo para recolhimento dos valores, no caso em análise, o contrato de promessa de compra e venda, denominado “Contrato T1- 29473”, fora firmado em 2022, sendo, portanto, aplicáveis as modificações introduzidas pela Lei nº 13.786/2018.&lt;/span&gt;&lt;/p&gt;&lt;p style="line-height:1.7999999999999998;text- indent: 56.692913385826756pt;text-align: justify;margin-top:12pt;margin-bottom:7pt;" dir="ltr"&gt; &lt;span style="font-size:12pt;font-family:'Times New Roman',serif;color:#000000;background-color:transparent;font-weight:400;font- style:normal;font-variant:normal;text-decoration:none;vertical-align:baseline;white- space:pre;white-space:pre-wrap;"&gt;Define a Lei 4.591/1964, alterada pela nova Lei do Distrato:&lt;/span&gt;&lt;/p&gt;&lt;p style="line-height:1.7999999999999998;margin-left: 113pt;text- align: justify;margin-top:0pt;margin-bottom:7pt;" dir="ltr"&gt;&amp;#160;&lt;/p&gt;&lt;p style="line- height:1.7999999999999998;margin-left: 113pt;text-align: justify;margin-top:0pt;margin- bottom:7pt;" dir="ltr"&gt; &lt;span style="font-size:12pt;font-family:'Times New Roman',serif;color:#000000;background-color:transparent;font-weight:400;font- style:normal;font-variant:normal;text-decoration:none;vertical-align:baseline;white- space:pre;white-space:pre-wrap;"&gt;</w:t>
              <w:tab/>
              <w:t>&lt;em&gt;Art. 43-A.&amp;#160; A entrega do imóvel em até 180 (cento e oitenta) dias corridos da data estipulada contratualmente como data prevista para conclusão do empreendimento, desde que expressamente pactuado, de forma clara </w:t>
            </w:r>
            <w:r>
              <w:rPr>
                <w:spacing w:val="-18"/>
                <w:sz w:val="20"/>
              </w:rPr>
              <w:t>e </w:t>
            </w:r>
            <w:r>
              <w:rPr>
                <w:sz w:val="20"/>
              </w:rPr>
              <w:t>destacada, não dará causa à resolução do contrato por parte do adquirente nem ensejará o pagamento de qualquer penalidade pelo incorporador.&amp;#160; &amp;#160;&lt;/em&gt;</w:t>
            </w:r>
          </w:p>
          <w:p>
            <w:pPr>
              <w:pStyle w:val="TableParagraph"/>
              <w:spacing w:line="208" w:lineRule="auto" w:before="0"/>
              <w:ind w:right="32"/>
              <w:rPr>
                <w:sz w:val="20"/>
              </w:rPr>
            </w:pPr>
            <w:r>
              <w:rPr>
                <w:sz w:val="20"/>
              </w:rPr>
              <w:t>&lt;/span&gt;&lt;/p&gt;&lt;p style="line-height:1.7999999999999998;margin-left: 113pt;text-align: justify;margin-top:0pt;margin-bottom:7pt;" dir="ltr"&gt; &lt;em&gt; &lt;span style="font-size:12pt;font- family:'Times New Roman',serif;color:#000000;background-color:transparent;font- weight:400;font-style:normal;font-variant:normal;text-decoration:none;vertical- align:baseline;white-space:pre;white-space:pre-wrap;"&gt;§ 1º&amp;#160; Se a entrega do imóvel ultrapassar o prazo estabelecido no&lt;/span&gt; &lt;span style="font-size:12pt;font-family:'Times New Roman',serif;color:#000000;background-color:transparent;font-weight:700;font- style:normal;font-variant:normal;text-decoration:none;vertical-align:baseline;white- space:pre;white-space:pre-wrap;"&gt;caput&lt;/span&gt; &lt;span style="font-size:12pt;font- family:'Times New Roman',serif;color:#000000;background-color:transparent;font- weight:400;font-style:normal;font-variant:normal;text-decoration:none;vertical- align:baseline;white-space:pre;white-space:pre-wrap;"&gt;deste artigo, desde que o adquirente não tenha dado causa ao atraso,&lt;/span&gt; &lt;span style="font-size:12pt;font- family:'Times New Roman',serif;color:#000000;background-color:transparent;font- weight:700;font-style:normal;font-variant:normal;text-decoration:none;vertical- align:baseline;white-space:pre;white-space:pre-wrap;"&gt;poderá ser promovida por este a resolução do contrato, sem prejuízo da devolução da integralidade de todos os valores pagos e da multa estabelecida, em até 60 (sessenta) dias corridos contados da resolução&lt;/span&gt; &lt;span style="font-size:12pt;font-family:'Times New Roman',serif;color:#000000;background-color:transparent;font-weight:400;font- style:normal;font-variant:normal;text-decoration:none;vertical-align:baseline;white- space:pre;white-space:pre-wrap;"&gt;, corrigidos nos termos do § 8º do art. 67-A desta Lei.&amp;#160; &amp;#160; &amp;#160; &amp;#160; &amp;#160; &amp;#160; &amp;#160; &amp;#160;</w:t>
            </w:r>
          </w:p>
          <w:p>
            <w:pPr>
              <w:pStyle w:val="TableParagraph"/>
              <w:spacing w:line="208" w:lineRule="auto" w:before="0"/>
              <w:ind w:right="112"/>
              <w:rPr>
                <w:sz w:val="20"/>
              </w:rPr>
            </w:pPr>
            <w:r>
              <w:rPr>
                <w:sz w:val="20"/>
              </w:rPr>
              <w:t>&amp;#160;&lt;/span&gt;&lt;/em&gt;&lt;/p&gt;&lt;p style="line-height:1.7999999999999998;margin-left: 113pt;text-indent: 2pt;text-align: justify;margin-top:0pt;margin-bottom:7pt;" dir="ltr"&gt; &lt;span style="font-size:12pt;font-family:'Times New Roman',serif;color:#000000;background- color:transparent;font-weight:400;font-style:normal;font-variant:normal;text- decoration:none;vertical-align:baseline;white-space:pre;white-space:pre- wrap;"&gt;&amp;#160;&lt;/span&gt;&lt;/p&gt;&lt;p style="line-height:1.7999999999999998;text-indent: 56.692913385826756pt;text-align: justify;margin-top:12pt;margin-bottom:7pt;" dir="ltr"&gt;</w:t>
            </w:r>
          </w:p>
          <w:p>
            <w:pPr>
              <w:pStyle w:val="TableParagraph"/>
              <w:spacing w:line="208" w:lineRule="auto" w:before="0"/>
              <w:ind w:right="865"/>
              <w:rPr>
                <w:sz w:val="20"/>
              </w:rPr>
            </w:pPr>
            <w:r>
              <w:rPr>
                <w:sz w:val="20"/>
              </w:rPr>
              <w:t>&lt;span style="font-size:12pt;font-family:'Times New Roman',serif;color:#000000;background-color:transparent;font-weight:400;font- style:normal;font-variant:normal;text-decoration:none;vertical-align:baseline;white-</w:t>
            </w:r>
          </w:p>
          <w:p>
            <w:pPr>
              <w:pStyle w:val="TableParagraph"/>
              <w:spacing w:line="208" w:lineRule="auto" w:before="0"/>
              <w:ind w:right="32"/>
              <w:rPr>
                <w:sz w:val="20"/>
              </w:rPr>
            </w:pPr>
            <w:r>
              <w:rPr>
                <w:sz w:val="20"/>
              </w:rPr>
              <w:t>space:pre;white-space:pre-wrap;"&gt;Assim, considerando que os contratos firmados entre </w:t>
            </w:r>
            <w:r>
              <w:rPr>
                <w:spacing w:val="-9"/>
                <w:sz w:val="20"/>
              </w:rPr>
              <w:t>as </w:t>
            </w:r>
            <w:r>
              <w:rPr>
                <w:sz w:val="20"/>
              </w:rPr>
              <w:t>partes estão submetidos à nova legislação dos distratos, aplica-se, o prazo de até 60 (sessenta) dias corridos para a restituição dos valores devidos.&lt;/span&gt;&lt;/p&gt;&lt;p style="line- height:1.7999999999999998;text-indent: 56.692913385826756pt;text-align: justify;margin- top:12pt;margin-bottom:12pt;" dir="ltr"&gt;&lt;span style="font-size:12pt;font-family:'Times New Roman',serif;color:#000000;background-color:transparent;font-weight:700;font-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space:pre;white-space:pre-wrap;"&gt;Quanto à necessidade de aplicação do art. 67-A da Lei 4.591/1964,&lt;/span&gt; &lt;span style="font-size:12pt;font-family:'Times New Roman',serif;color:#000000;background-color:transparent;font-weight:400;font- style:normal;font-variant:normal;text-decoration:none;vertical-align:baseline;white- space:pre;white-space:pre-wrap;"&gt;referente a retenção pela incorporadora de valores de comissão de corretagem e multa, conclui-se que tal dispositivo incide apenas em caso de inadimplemento por culpa do adquirente, situação diversa do presente caso, no qual a probabilidade do direito, consubstanciada pelos elementos dos autos, apontam no sentido do inadimplemento por culpa do alienante.&lt;/span&gt;&lt;/p&gt;&lt;p style="line- height:1.7999999999999998;text-indent: 56.692913385826756pt;text-align: justify;margin- top:12pt;margin-bottom:12pt;" dir="ltr"&gt;&lt;span style="font-size:12pt;font-family:'Times New Roman',serif;color:#000000;background-color:transparent;font-weight:400;font- style:normal;font-variant:normal;text-decoration:none;vertical-align:baseline;white- space:pre;white-space:pre-wrap;"&gt;Lado outro, a alegação de&lt;/span&gt; &lt;span style="font- size:12pt;font-family:'Times New Roman',serif;color:#000000;background- color:transparent;font-weight:700;font-style:normal;font-variant:normal;text- decoration:none;vertical-align:baseline;white-space:pre;white-space:pre-wrap;"&gt;caso fortuito e força maior&lt;/span&gt; &lt;span style="font-size:12pt;font-family:'Times New Roman',serif;color:#000000;background-color:transparent;font-weight:400;font- style:normal;font-variant:normal;text-decoration:none;vertical-align:baseline;white- space:pre;white-space:pre-wrap;"&gt;de forma genérica e dissociada de elementos concretos que demonstrem a influência de eventual estado pandêmico como causa da inadimplência não pode encontrar guarida no ordenamento jurídico.&lt;/span&gt; &lt;span style="font-size: 12pt; font-family: &amp;quot;Times New Roman&amp;quot;, serif; color: #000000; background-color: transparent; font-weight: 400; font-style: normal; font-variant: normal; text-decoration-skip- ink: none; vertical-align: baseline; white-space: pre-wrap; text-decoration: underline;"&gt;Inclusive, nota-se que o contrato objeto do presente feito fora firmado já após </w:t>
            </w:r>
            <w:r>
              <w:rPr>
                <w:spacing w:val="-18"/>
                <w:sz w:val="20"/>
              </w:rPr>
              <w:t>o </w:t>
            </w:r>
            <w:r>
              <w:rPr>
                <w:sz w:val="20"/>
              </w:rPr>
              <w:t>início do período pandêmico&lt;/span&gt;&lt;span style="font-size:12pt;font-family:'Times New Roman',serif;color:#000000;background-color:transparent;font-weight:400;font- style:normal;font-variant:normal;text-decoration:none;vertical-align:baseline;white- space:pre;white-space:pre-wrap;"&gt;. Dito de outro modo, a agravada possuía plena ciência da existência da pandemia e dos seus efeitos quando prometeu a entrega do empreendimento nada data firmada, não se tratando de fato superveniente ou elemento que mudou as bases do negócio ao ser assinado.&lt;/span&gt;&lt;/p&gt;&lt;p style="line- height:1.7999999999999998;text-indent: 56.692913385826756pt;text-align: justify;margin- top:12pt;margin-bottom:7pt;" dir="ltr"&gt; &lt;span style="font-size:12pt;font-family:'Times New Roman',serif;color:#000000;background-color:transparent;font-weight:400;font- style:normal;font-variant:normal;text-decoration:none;vertical-align:baseline;white- space:pre;white-space:pre-wrap;"&gt;Dessa forma, impõe-se o provimento do recurso, diante da presença dos requisitos legais para deferimento da tutela provisória, inclusive com suspensão da exigibilidade das parcelas vincendas e o impedimento de inscrição em cadastro de inadimplentes ou sua retirada acaso já efetuada.&lt;/span&gt;&lt;/p&gt;&lt;p style="line- height: 1.8; text-indent: 56.6929pt; text-align: center; margin-top: 12pt; margin-bottom: 12pt;" dir="ltr"&gt; &lt;span style="font-size: 12pt; font-family: &amp;quot;Times New Roman&amp;quot;, serif; color: #000000; background-color: transparent; font-weight: 700; font-style: normal; font-variant: normal; text-decoration-skip-ink: none; vertical-align: baseline; white-space: pre-wrap; text-decoration: underline;"&gt;Dispositivo&lt;/span&gt;&lt;/p&gt;&lt;p style="line- height:1.7999999999999998;text-indent: 56.692913385826756pt;text-align: justify;margin- top:14pt;margin-bottom:7pt;" dir="ltr"&gt;&lt;span style="font-size:12pt;font-family:'Times New Roman',serif;color:#000000;background-color:transparent;font-weight:400;font- style:normal;font-variant:normal;text-decoration:none;vertical-align:baseline;white- space:pre;white-space:pre-wrap;"&gt;Diante do que acima foi exposto e fundamentado,&lt;/span&gt; &lt;span style="font-size:12pt;font-family:'Times New Roman',serif;color:#000000;background-color:transparent;font-weight:700;font- style:normal;font-variant:normal;text-decoration:none;vertical-align:baseline;white- space:pre;white-space:pre-wrap;"&gt;CONHEÇO DO AGRAVO DE INSTRUMENTO PARA DAR-LHE PROVIMENTO,&lt;/span&gt; &lt;span style="font-size:12pt;font-family:'Times New Roman',serif;color:#000000;background-color:transparent;font-weight:400;font- style:normal;font-variant:normal;text-decoration:none;vertical-align:baseline;white- space:pre;white-space:pre-wrap;"&gt;reformando a decisão impugnada e deferindo a tutela provisória, para que: a) se restitua, no prazo de 60 (sessenta) dias corridos, os valores pagos pela parte agravante em razão do contrato entabulado pelas partes; b) se abstenha de inscrever a parte agravante nos cadastros de inadimplentes, ou, caso já o tenha inscrito, retirá-lo no prazo de 5 (cinco) dias úteis; e, por fim, se suspenda a exigibilidade das parcelas vincendas referente ao contrato que embasa a lide. Fixo multa diária no valor de R$ 500,00 (quinhentos reais) em caso de descumprimento das determinações deste item (“b”), limitadas ao teto máximo de R$ 20.000,00 (vinte mil reais).&lt;/span&gt;&lt;/p&gt;&lt;p style="line-height:1.7999999999999998;text-indent: 56.692913385826756pt;text-align: justify;margin-top:14pt;margin-bottom:7pt;" dir="ltr"&gt; &lt;span style="font-size:12pt;font- family:'Times New Roman',serif;color:#000000;background-color:transparent;font-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3012110-64.2025.8.06.0000</w:t>
            </w:r>
          </w:p>
        </w:tc>
      </w:tr>
      <w:tr>
        <w:trPr>
          <w:trHeight w:val="8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weight:400;font-style:normal;font-variant:normal;text-decoration:none;vertical- align:baseline;white-space:pre;white-space:pre-wrap;"&gt;Ressalta-se que os valores </w:t>
            </w:r>
            <w:r>
              <w:rPr>
                <w:spacing w:val="-3"/>
                <w:sz w:val="20"/>
              </w:rPr>
              <w:t>deverão </w:t>
            </w:r>
            <w:r>
              <w:rPr>
                <w:sz w:val="20"/>
              </w:rPr>
              <w:t>ser depositados em juízo, permanecendo à disposição do juízo de origem, sem prejuízo de posterior deliberação quanto ao levantamento pelas partes, conforme previsão do artigo 297, parágrafo único, e artigo 520, ambos do Código de Processo Civil.&lt;/span&gt;&lt;/p&gt;&lt;p style="line-height:1.7999999999999998;text-indent: 56.692913385826756pt;text-align: justify;margin-top:14pt;margin-bottom:7pt;" dir="ltr"&gt; &lt;span style="font-size:12pt;font- family:'Times New Roman',serif;color:#000000;background-color:transparent;font- weight:400;font-style:normal;font-variant:normal;text-decoration:none;vertical- align:baseline;white-space:pre;white-space:pre-wrap;"&gt;Embargos de Declaração prejudicados, tendo em vista o exaurimento do seu objeto neste julgamento.&lt;/span&gt;&lt;/p&gt;&lt;p style="line-height:1.7999999999999998;text-indent: 56.692913385826756pt;text-align: justify;margin-top:12pt;margin-bottom:12pt;" dir="ltr"&gt;</w:t>
            </w:r>
          </w:p>
          <w:p>
            <w:pPr>
              <w:pStyle w:val="TableParagraph"/>
              <w:tabs>
                <w:tab w:pos="4199" w:val="left" w:leader="none"/>
              </w:tabs>
              <w:spacing w:line="208" w:lineRule="auto" w:before="0"/>
              <w:ind w:right="129"/>
              <w:rPr>
                <w:sz w:val="20"/>
              </w:rPr>
            </w:pPr>
            <w:r>
              <w:rPr>
                <w:sz w:val="20"/>
              </w:rPr>
              <w:t>&lt;span style="font-size:12pt;font-family:'Times New Roman',serif;color:#000000;background-color:transparent;font-weight:400;font- style:normal;font-variant:normal;text-decoration:none;vertical-align:baseline;white- space:pre;white-space:pre-wrap;"&gt;É como voto.&lt;/span&gt;&lt;/p&gt;&lt;p style="line- height:1.7999999999999998;text-indent: 56.692913385826756pt;text-align: </w:t>
            </w:r>
            <w:r>
              <w:rPr>
                <w:spacing w:val="-2"/>
                <w:sz w:val="20"/>
              </w:rPr>
              <w:t>justify;margin- </w:t>
            </w:r>
            <w:r>
              <w:rPr>
                <w:sz w:val="20"/>
              </w:rPr>
              <w:t>top:12pt;margin-bottom:6pt;" dir="ltr"&gt; &lt;span style="font-size:12pt;font-family:'Times New Roman',serif;color:#000000;background-color:transparent;font-weight:400;font- style:normal;font-variant:normal;text-decoration:none;vertical-align:baseline;white- space:pre;white-space:pre-wrap;"&gt;Fortaleza, data registrada no sistema.&lt;/span&gt;&lt;/p&gt;&lt;p style="line-height:1.7999999999999998;text-indent: 2pt;text-align: justify;margin- top:12pt;margin-bottom:6pt;"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height:1.7999999999999998;text-align: center;margin-top:12pt;margin-bottom:6pt;" dir="ltr"&gt; &lt;span style="font-size:12pt;font-family:'Times New Roman',serif;color:#000000;background-color:transparent;font-weight:700;font- style:normal;font-variant:normal;text-decoration:none;vertical-align:baseline;white- space:pre;white-space:pre-wrap;"&gt;FRANCISCO LUCÍDIO DE QUEIROZ JUNIOR&lt;/span&gt;&lt;/p&gt;&lt;p style="line-height:1.7999999999999998;text-align: center;margin- top:12pt;margin-bottom:6pt;" dir="ltr"&gt; &lt;span style="font-size:12pt;font-family:'Times New Roman',serif;color:#000000;background-color:transparent;font-weight:400;font- style:normal;font-variant:normal;text-decoration:none;vertical-align:baseline;white- space:pre;white-space:pre-wrap;"&gt;Desembargador Relator&lt;/span&gt; &lt;span style="background-color: transparent; font-family: &amp;quot;Times New Roman&amp;quot;, serif; font-size: 12pt; white-space-collapse: preserve; text-align: justify; text-indent: 54pt;"&gt;&amp;#160;&lt;/span&gt;&lt;/p&gt;&lt;br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MRV ENGENHARIA E PARTICIPACOES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LEONARDO FIALHO PINTO - (MG108654-A)</w:t>
            </w:r>
          </w:p>
          <w:p>
            <w:pPr>
              <w:pStyle w:val="TableParagraph"/>
              <w:spacing w:line="215" w:lineRule="exact" w:before="0"/>
              <w:rPr>
                <w:sz w:val="20"/>
              </w:rPr>
            </w:pPr>
            <w:r>
              <w:rPr>
                <w:sz w:val="20"/>
              </w:rPr>
              <w:t>ANDRE JACQUES LUCIANO UCHOA COSTA - (MG80055-A)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DAYANE MENDONCA LIMA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93"/>
              <w:rPr>
                <w:sz w:val="20"/>
              </w:rPr>
            </w:pPr>
            <w:r>
              <w:rPr>
                <w:sz w:val="20"/>
              </w:rPr>
              <w:t>GERHILDE PINTO MENDONCA - (CE35612-A) MANUELLA ARRAIS DE SOUZA - (CE44592-A)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 w:pos="2773" w:val="left" w:leader="none"/>
                <w:tab w:pos="4799" w:val="left" w:leader="none"/>
                <w:tab w:pos="5643" w:val="left" w:leader="none"/>
              </w:tabs>
              <w:spacing w:line="208" w:lineRule="auto" w:before="0"/>
              <w:ind w:right="60"/>
              <w:rPr>
                <w:sz w:val="20"/>
              </w:rPr>
            </w:pPr>
            <w:r>
              <w:rPr>
                <w:sz w:val="20"/>
              </w:rPr>
              <w:t>JÚNIOR&lt;/strong&gt;&lt;/p&gt;&lt;p style="text-align: center;"&gt;&amp;#160;&lt;/p&gt;&lt;p&gt; &lt;span style="font- size: small;"&gt;</w:t>
              <w:tab/>
              <w:t>&lt;span style="font-size: medium;"&gt;</w:t>
              <w:tab/>
              <w:t>&lt;span style="font-family:</w:t>
            </w:r>
            <w:r>
              <w:rPr>
                <w:spacing w:val="-16"/>
                <w:sz w:val="20"/>
              </w:rPr>
              <w:t> </w:t>
            </w:r>
            <w:r>
              <w:rPr>
                <w:sz w:val="20"/>
              </w:rPr>
              <w:t>&amp;quot;times new roman&amp;quot;, times;"&gt;</w:t>
              <w:tab/>
              <w:t>&lt;strong&gt;PROCESSO&lt;/strong&gt;:&amp;#160;0174173- 31.2018.8.06.0001 -&amp;#160;APELAÇÃO CÍVEL (198)&lt;/span&gt;</w:t>
              <w:tab/>
              <w:t>&lt;/span&gt; &lt;/span&gt;&lt;/p&gt;&lt;p&gt;</w:t>
            </w:r>
          </w:p>
          <w:p>
            <w:pPr>
              <w:pStyle w:val="TableParagraph"/>
              <w:tabs>
                <w:tab w:pos="2929" w:val="left" w:leader="none"/>
                <w:tab w:pos="3044" w:val="left" w:leader="none"/>
                <w:tab w:pos="6404" w:val="left" w:leader="none"/>
              </w:tabs>
              <w:spacing w:line="208" w:lineRule="auto" w:before="0"/>
              <w:ind w:right="59"/>
              <w:rPr>
                <w:sz w:val="20"/>
              </w:rPr>
            </w:pPr>
            <w:r>
              <w:rPr>
                <w:sz w:val="20"/>
              </w:rPr>
              <w:t>&lt;span style="font-size: small;"&gt;</w:t>
              <w:tab/>
              <w:tab/>
              <w:t>&lt;span style="font-size: medium;"&gt;</w:t>
              <w:tab/>
              <w:t>&lt;span style="font- family: &amp;quot;times new roman&amp;quot;, times;"&gt;APELANTE: MRV ENGENHARIA E PARTICIPACOES SA&lt;/span&gt;</w:t>
              <w:tab/>
              <w:t>&lt;/span&gt; &lt;/span&gt;&lt;/p&gt;&lt;p&gt; &lt;span style="font-size:</w:t>
            </w:r>
            <w:r>
              <w:rPr>
                <w:spacing w:val="7"/>
                <w:sz w:val="20"/>
              </w:rPr>
              <w:t> </w:t>
            </w:r>
            <w:r>
              <w:rPr>
                <w:spacing w:val="-3"/>
                <w:sz w:val="20"/>
              </w:rPr>
              <w:t>small;"&gt;</w:t>
            </w:r>
          </w:p>
          <w:p>
            <w:pPr>
              <w:pStyle w:val="TableParagraph"/>
              <w:tabs>
                <w:tab w:pos="3400" w:val="left" w:leader="none"/>
                <w:tab w:pos="6563" w:val="left" w:leader="none"/>
              </w:tabs>
              <w:spacing w:line="208" w:lineRule="auto" w:before="0"/>
              <w:ind w:right="866"/>
              <w:rPr>
                <w:sz w:val="20"/>
              </w:rPr>
            </w:pPr>
            <w:r>
              <w:rPr>
                <w:sz w:val="20"/>
              </w:rPr>
              <w:t>&lt;span style="font-size: medium;"&gt;</w:t>
              <w:tab/>
              <w:t>&lt;span style="font-family: &amp;quot;times new roman&amp;quot;, times;"&gt;APELADA: DAYANE MENDONCA LIMA&lt;/span&gt;</w:t>
              <w:tab/>
            </w:r>
            <w:r>
              <w:rPr>
                <w:spacing w:val="-3"/>
                <w:sz w:val="20"/>
              </w:rPr>
              <w:t>&lt;/span&gt;</w:t>
            </w:r>
          </w:p>
          <w:p>
            <w:pPr>
              <w:pStyle w:val="TableParagraph"/>
              <w:tabs>
                <w:tab w:pos="4623" w:val="left" w:leader="none"/>
              </w:tabs>
              <w:spacing w:line="190" w:lineRule="exact" w:before="0"/>
              <w:rPr>
                <w:sz w:val="20"/>
              </w:rPr>
            </w:pPr>
            <w:r>
              <w:rPr>
                <w:sz w:val="20"/>
              </w:rPr>
              <w:t>&lt;/span&gt;&lt;/p&gt;&lt;p&gt;  &lt;span style="font-size: small;"&gt;</w:t>
              <w:tab/>
              <w:t>&lt;span style="font-size: medium;"&gt;</w:t>
            </w:r>
          </w:p>
          <w:p>
            <w:pPr>
              <w:pStyle w:val="TableParagraph"/>
              <w:tabs>
                <w:tab w:pos="6234" w:val="left" w:leader="none"/>
                <w:tab w:pos="7090" w:val="left" w:leader="none"/>
              </w:tabs>
              <w:spacing w:line="200" w:lineRule="exact" w:before="0"/>
              <w:rPr>
                <w:sz w:val="20"/>
              </w:rPr>
            </w:pPr>
            <w:r>
              <w:rPr>
                <w:sz w:val="20"/>
              </w:rPr>
              <w:t>&lt;span style="font-family: &amp;quot;times new roman&amp;quot;, times;"&gt;</w:t>
              <w:tab/>
              <w:t>&lt;br /&gt;</w:t>
              <w:tab/>
              <w:t>&lt;/span&gt;</w:t>
            </w:r>
          </w:p>
          <w:p>
            <w:pPr>
              <w:pStyle w:val="TableParagraph"/>
              <w:tabs>
                <w:tab w:pos="2239" w:val="left" w:leader="none"/>
                <w:tab w:pos="3362" w:val="left" w:leader="none"/>
                <w:tab w:pos="4154" w:val="left" w:leader="none"/>
                <w:tab w:pos="4318" w:val="left" w:leader="none"/>
              </w:tabs>
              <w:spacing w:line="208" w:lineRule="auto" w:before="7"/>
              <w:ind w:right="72"/>
              <w:rPr>
                <w:sz w:val="20"/>
              </w:rPr>
            </w:pPr>
            <w:r>
              <w:rPr>
                <w:sz w:val="20"/>
              </w:rPr>
              <w:t>&lt;/span&gt; &lt;/span&gt;&lt;/p&gt;&lt;p class="EmentadoAcf3f3f3f3f3f3f3rde3e3e3e3e3e3e3o" style="margin-bottom: 6.0pt; text-align: justify; text-justify: inter-ideograph; line-height: 150%;"&gt;  &lt;span style="font-size: medium;"&gt;</w:t>
              <w:tab/>
              <w:t>&lt;span style="font-family: &amp;quot;times new roman&amp;quot;, times;"&gt;</w:t>
              <w:tab/>
              <w:t>&lt;strong&gt;</w:t>
              <w:tab/>
              <w:t>&lt;em&gt;</w:t>
              <w:tab/>
              <w:tab/>
              <w:t>&lt;span style="font-variant-numeric: </w:t>
            </w:r>
            <w:r>
              <w:rPr>
                <w:spacing w:val="-3"/>
                <w:sz w:val="20"/>
              </w:rPr>
              <w:t>normal; </w:t>
            </w:r>
            <w:r>
              <w:rPr>
                <w:sz w:val="20"/>
              </w:rPr>
              <w:t>font-variant-east-asian: normal; font-variant-caps: small-caps; font-variant-alternates: normal; font-variant-position: normal; font-variant-emoji: normal;"&gt;EMENTA&lt;/span&gt;</w:t>
            </w:r>
          </w:p>
          <w:p>
            <w:pPr>
              <w:pStyle w:val="TableParagraph"/>
              <w:tabs>
                <w:tab w:pos="829" w:val="left" w:leader="none"/>
                <w:tab w:pos="1896" w:val="left" w:leader="none"/>
                <w:tab w:pos="3019" w:val="left" w:leader="none"/>
                <w:tab w:pos="5741" w:val="left" w:leader="none"/>
                <w:tab w:pos="6575" w:val="left" w:leader="none"/>
                <w:tab w:pos="6864" w:val="left" w:leader="none"/>
              </w:tabs>
              <w:spacing w:line="208" w:lineRule="auto" w:before="0"/>
              <w:ind w:right="19"/>
              <w:rPr>
                <w:sz w:val="20"/>
              </w:rPr>
            </w:pPr>
            <w:r>
              <w:rPr>
                <w:sz w:val="20"/>
              </w:rPr>
              <w:t>&lt;/em&gt;</w:t>
              <w:tab/>
              <w:t>&lt;/strong&gt;</w:t>
              <w:tab/>
              <w:t>&lt;strong&gt;</w:t>
              <w:tab/>
              <w:t>&lt;span style="font-variant-numeric: normal; font-variant- east-asian: normal; font-variant-caps: small-caps; font-variant-alternates: normal; font- variant-position: normal; font-variant-emoji: normal;"&gt;:&lt;/span&gt;</w:t>
              <w:tab/>
              <w:t>&lt;/strong&gt;</w:t>
              <w:tab/>
              <w:t>&lt;span style="font-variant-numeric: normal; font-variant-east-asian: normal; font-variant-caps: small-caps; font-variant-alternates: normal; font-variant-position: normal; font-variant-emoji: normal;"&gt;direito processual civil. Apelação cível. Ação de indenização por danos materiais e morais. Promessa de compra e venda do imóvel. Taxa de evolução de obra. Ausência </w:t>
            </w:r>
            <w:r>
              <w:rPr>
                <w:spacing w:val="-9"/>
                <w:sz w:val="20"/>
              </w:rPr>
              <w:t>de </w:t>
            </w:r>
            <w:r>
              <w:rPr>
                <w:sz w:val="20"/>
              </w:rPr>
              <w:t>previsão contratual. Declaração de ilegalidade da cobrança. Violação ao dever de informação e aos princípios da confiança e da transparência, condenação da construtora à devolução dos valores pagos pela autora.&amp;#160; Recurso conhecido e desprovido.&lt;/span&gt;&lt;/span&gt; &lt;/span&gt;&lt;/p&gt;&lt;p class="EmentadoAcf3f3f3f3f3f3f3rde3e3e3e3e3e3e3o" style="margin-bottom: 6.0pt; text- align: justify; text-justify: inter-ideograph; line-height: 150%;"&gt;  &lt;strong&gt;</w:t>
              <w:tab/>
              <w:t>&lt;span</w:t>
            </w:r>
          </w:p>
          <w:p>
            <w:pPr>
              <w:pStyle w:val="TableParagraph"/>
              <w:tabs>
                <w:tab w:pos="1227" w:val="left" w:leader="none"/>
                <w:tab w:pos="4699" w:val="left" w:leader="none"/>
                <w:tab w:pos="5118" w:val="left" w:leader="none"/>
                <w:tab w:pos="6064" w:val="left" w:leader="none"/>
              </w:tabs>
              <w:spacing w:line="208" w:lineRule="auto" w:before="0"/>
              <w:ind w:right="76"/>
              <w:rPr>
                <w:sz w:val="20"/>
              </w:rPr>
            </w:pPr>
            <w:r>
              <w:rPr>
                <w:sz w:val="20"/>
              </w:rPr>
              <w:t>style="font-variant-numeric: normal; font-variant-east-asian: normal; font-variant-caps: small-caps; font-variant-alternates: normal; font-variant-position: normal; font-variant-emoji: normal;"&gt;</w:t>
              <w:tab/>
              <w:t>&lt;span style="font-size: medium;"&gt;</w:t>
              <w:tab/>
              <w:t>&lt;span style="font-family: &amp;quot;times new roman&amp;quot;, times;"&gt;I. Caso em exame&lt;/span&gt;</w:t>
              <w:tab/>
              <w:t>&lt;/span&gt;</w:t>
              <w:tab/>
              <w:t>&lt;/span&gt;</w:t>
            </w:r>
          </w:p>
          <w:p>
            <w:pPr>
              <w:pStyle w:val="TableParagraph"/>
              <w:tabs>
                <w:tab w:pos="1917" w:val="left" w:leader="none"/>
                <w:tab w:pos="6521" w:val="left" w:leader="none"/>
                <w:tab w:pos="7267" w:val="left" w:leader="none"/>
              </w:tabs>
              <w:spacing w:line="208" w:lineRule="auto" w:before="0"/>
              <w:ind w:right="19"/>
              <w:rPr>
                <w:sz w:val="20"/>
              </w:rPr>
            </w:pPr>
            <w:r>
              <w:rPr>
                <w:sz w:val="20"/>
              </w:rPr>
              <w:t>&lt;/strong&gt;&lt;/p&gt;&lt;p class="Standard" style="margin-bottom: 6.0pt; text-align: justify; text- justify: inter-ideograph; line-height: 150%;"&gt;  &lt;span style="font-size: medium;"&gt;</w:t>
              <w:tab/>
              <w:t>&lt;span style="font-family: &amp;quot;times new roman&amp;quot;, times;"&gt;1. Apelação cível interposta contra sentença que julgou parcialmente procedente o pedido inicial, d</w:t>
              <w:tab/>
              <w:t>&lt;span class="StrongEmphasis"&gt;eclarando a ilegalidade da cobrança da taxa de evolução de </w:t>
            </w:r>
            <w:r>
              <w:rPr>
                <w:spacing w:val="-4"/>
                <w:sz w:val="20"/>
              </w:rPr>
              <w:t>obra </w:t>
            </w:r>
            <w:r>
              <w:rPr>
                <w:sz w:val="20"/>
              </w:rPr>
              <w:t>cobrada e paga pela autora, bem como para condenar a ré a restituir, em dobro, os </w:t>
            </w:r>
            <w:r>
              <w:rPr>
                <w:spacing w:val="-3"/>
                <w:sz w:val="20"/>
              </w:rPr>
              <w:t>valores </w:t>
            </w:r>
            <w:r>
              <w:rPr>
                <w:sz w:val="20"/>
              </w:rPr>
              <w:t>indevidamente pagos a esse título&lt;/span&gt;.&lt;/span&gt; &lt;/span&gt;&lt;/p&gt;&lt;p class="Standard" style="margin-bottom: 6.0pt; text-align: justify; text-justify: inter-ideograph; line-height: 150%;"&gt;  &lt;strong&gt;</w:t>
              <w:tab/>
              <w:t>&lt;span style="font-variant-numeric: normal; font-variant-east-asian: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1985" w:val="left" w:leader="none"/>
                <w:tab w:pos="2930" w:val="left" w:leader="none"/>
                <w:tab w:pos="3606" w:val="left" w:leader="none"/>
                <w:tab w:pos="7077" w:val="left" w:leader="none"/>
                <w:tab w:pos="7300" w:val="left" w:leader="none"/>
              </w:tabs>
              <w:spacing w:line="208" w:lineRule="auto" w:before="26"/>
              <w:ind w:right="62"/>
              <w:rPr>
                <w:sz w:val="20"/>
              </w:rPr>
            </w:pPr>
            <w:r>
              <w:rPr>
                <w:sz w:val="20"/>
              </w:rPr>
              <w:t>normal; font-variant-caps: small-caps; font-variant-alternates: normal; font-variant-position: normal; font-variant-emoji: normal;"&gt;</w:t>
              <w:tab/>
              <w:t>&lt;span style="font-size: medium;"&gt;</w:t>
              <w:tab/>
              <w:t>&lt;span style="font-family: &amp;quot;times new roman&amp;quot;, times;"&gt;II. Questão em discussão&lt;/span&gt;</w:t>
              <w:tab/>
              <w:t>&lt;/span&gt;</w:t>
              <w:tab/>
              <w:t>&lt;/span&gt; &lt;/strong&gt;&lt;/p&gt;&lt;p class="EmentadoAcf3f3f3f3f3f3f3rde3e3e3e3e3e3e3o" style="margin-bottom: 6.0pt; text- align: justify; text-justify: inter-ideograph; line-height: 150%;"&gt; &lt;span style="font-size: medium;"&gt;</w:t>
              <w:tab/>
              <w:t>&lt;span style="font-family: &amp;quot;times new roman&amp;quot;, times;"&gt;2. A </w:t>
            </w:r>
            <w:r>
              <w:rPr>
                <w:spacing w:val="-3"/>
                <w:sz w:val="20"/>
              </w:rPr>
              <w:t>questão </w:t>
            </w:r>
            <w:r>
              <w:rPr>
                <w:sz w:val="20"/>
              </w:rPr>
              <w:t>em discussão consiste em analisar a legalidade da cobrança da denominada “taxa de evolução de obra” e a consequente obrigação da parte ré de restituir à autora os valores pagos a esse título.&lt;/span&gt; &lt;/span&gt;&lt;/p&gt;&lt;p class="EmentadoAcf3f3f3f3f3f3f3rde3e3e3e3e3e3e3o" style="margin-bottom: 6.0pt; text- align: justify; text-justify: inter-ideograph; line-height: 150%;"&gt; &lt;span style="font-size: medium;"&gt;</w:t>
              <w:tab/>
              <w:t>&lt;span style="font-family: &amp;quot;times new roman&amp;quot;, times;"&gt;</w:t>
              <w:tab/>
              <w:tab/>
            </w:r>
            <w:r>
              <w:rPr>
                <w:spacing w:val="-3"/>
                <w:sz w:val="20"/>
              </w:rPr>
              <w:t>&lt;strong&gt;</w:t>
            </w:r>
          </w:p>
          <w:p>
            <w:pPr>
              <w:pStyle w:val="TableParagraph"/>
              <w:tabs>
                <w:tab w:pos="4418" w:val="left" w:leader="none"/>
                <w:tab w:pos="5188" w:val="left" w:leader="none"/>
                <w:tab w:pos="5485" w:val="left" w:leader="none"/>
              </w:tabs>
              <w:spacing w:line="208" w:lineRule="auto" w:before="0"/>
              <w:ind w:right="18"/>
              <w:rPr>
                <w:sz w:val="20"/>
              </w:rPr>
            </w:pPr>
            <w:r>
              <w:rPr>
                <w:sz w:val="20"/>
              </w:rPr>
              <w:t>&lt;span style="font-variant-numeric: normal; font-variant-east-asian: normal; font-variant- caps: small-caps; font-variant-alternates: normal; font-variant-position: normal; font-variant- emoji: normal;"&gt;III. Razões de decidir&lt;/span&gt;</w:t>
              <w:tab/>
              <w:t>&lt;/strong&gt;</w:t>
              <w:tab/>
              <w:t>&lt;/span&gt; &lt;/span&gt;&lt;/p&gt;&lt;p class="Standard" style="margin-bottom: 6.0pt; text-align: justify; text-justify: inter-ideograph; line-height: 150%;"&gt;  &lt;span style="font-size: medium;"&gt;</w:t>
              <w:tab/>
              <w:t>&lt;span style="font-family: &amp;quot;times new roman&amp;quot;, times;"&gt;3. Ao analisar o Contrato Particular de Promessa de Compra e Venda, verifica-se que não há previsão contratual para cobrança de denominada "taxa de evolução de obra" que deveria estar clara e expressamente prevista no contrato, à luz do disposto no artigo 6º, inciso III, do Código de Defesa do Consumidor, sob pena de falha no dever de informação por parte do fornecedor.&lt;/span&gt;</w:t>
            </w:r>
          </w:p>
          <w:p>
            <w:pPr>
              <w:pStyle w:val="TableParagraph"/>
              <w:tabs>
                <w:tab w:pos="1683" w:val="left" w:leader="none"/>
                <w:tab w:pos="5188" w:val="left" w:leader="none"/>
              </w:tabs>
              <w:spacing w:line="208" w:lineRule="auto" w:before="0"/>
              <w:ind w:right="18"/>
              <w:rPr>
                <w:sz w:val="20"/>
              </w:rPr>
            </w:pPr>
            <w:r>
              <w:rPr>
                <w:sz w:val="20"/>
              </w:rPr>
              <w:t>&lt;/span&gt;&lt;/p&gt;&lt;p class="Standard" style="margin-bottom: 6.0pt; text-align: justify; text-justify: inter-ideograph; line-height: 150%; mso-pagination: widow-orphan;"&gt; &lt;span style="font- size: medium;"&gt;</w:t>
              <w:tab/>
              <w:t>&lt;span style="font-family: &amp;quot;times new roman&amp;quot;, times;"&gt;4. A interpretação das cláusulas contratuais deve ser realizada de maneira mais favorável ao consumidor, nos moldes do artigo. 47 da Lei Consumerista.&lt;/span&gt; &lt;/span&gt;&lt;/p&gt;&lt;p class="Standard" style="margin-bottom: 6.0pt; text-align: justify; text-justify: inter-ideograph; line-height: 150%;"&gt;  &lt;span style="font-size: medium;"&gt;</w:t>
              <w:tab/>
              <w:t>&lt;span style="font-family: &amp;quot;times new roman&amp;quot;, times;"&gt;5. A construtora requerida não juntou aos autos o suposto contrato firmado entre as partes que previsse a obrigação noticiada, ônus que lhe competia, nos termos do Art. 373, II, do CPC, não demonstrando, assim, a existência de fato impeditivo do direito do autor.&lt;/span&gt; &lt;/span&gt;&lt;/p&gt;&lt;p class="Textbody"</w:t>
            </w:r>
          </w:p>
          <w:p>
            <w:pPr>
              <w:pStyle w:val="TableParagraph"/>
              <w:tabs>
                <w:tab w:pos="1227" w:val="left" w:leader="none"/>
                <w:tab w:pos="3718" w:val="left" w:leader="none"/>
                <w:tab w:pos="4154" w:val="left" w:leader="none"/>
                <w:tab w:pos="4699" w:val="left" w:leader="none"/>
                <w:tab w:pos="5363" w:val="left" w:leader="none"/>
                <w:tab w:pos="6308" w:val="left" w:leader="none"/>
                <w:tab w:pos="6575" w:val="left" w:leader="none"/>
              </w:tabs>
              <w:spacing w:line="208" w:lineRule="auto" w:before="0"/>
              <w:ind w:right="52"/>
              <w:rPr>
                <w:sz w:val="20"/>
              </w:rPr>
            </w:pPr>
            <w:r>
              <w:rPr>
                <w:sz w:val="20"/>
              </w:rPr>
              <w:t>style="margin-bottom: 5.95pt; text-align: justify; text-justify: inter-ideograph; line-height: 150%;"&gt;  &lt;span style="font-size: medium;"&gt;</w:t>
              <w:tab/>
              <w:t>&lt;span style="font-family: &amp;quot;times new roman&amp;quot;, times;"&gt;6. O magistrado</w:t>
              <w:tab/>
              <w:t>&lt;em&gt;a quo&lt;/em&gt; agiu corretamente ao reconhecer a ilegalidade da cobrança da mencionada taxa, uma vez que não há previsão contratual específica quanto à sua instituição, termo inicial ou final, o que torna a exigência indevida e desprovida de amparo legal.&lt;/span&gt; &lt;/span&gt;&lt;/p&gt;&lt;p class="Textbody" style="margin-bottom: 5.95pt; text-align: justify; text-justify: inter-ideograph; line-height: 150%;"&gt;&lt;span style="font-size: medium;"&gt; &lt;span style="font-family: &amp;quot;times new roman&amp;quot;, times;"&gt;7. A consumidora não precisa comprovar que o fornecedor do serviço agiu com má-fé, cabendo a restituição em dobro para os casos de indébito ocorridos a partir de 30 de março de 2021 (data da publicação do acórdão do STJ referente ao&lt;/span&gt;&lt;/span&gt; &lt;span style="font-family: &amp;quot;times new roman&amp;quot;, times; font-size: medium; text-indent: 75.5906px;"&gt;EAREsp 676.608/RS)&lt;/span&gt;&lt;/p&gt;&lt;p class="EmentadoAcf3f3f3f3f3f3f3rde3e3e3e3e3e3e3o" style="margin-bottom: 6.0pt; text- align: justify; text-justify: inter-ideograph; line-height: 150%;"&gt;  &lt;strong&gt;</w:t>
              <w:tab/>
              <w:t>&lt;span style="font-variant-numeric: normal; font-variant-east-asian: normal; font-variant-caps: small-caps; font-variant-alternates: normal; font-variant-position: normal; font-variant-emoji: normal;"&gt;</w:t>
              <w:tab/>
              <w:t>&lt;span style="font-size: medium;"&gt;</w:t>
              <w:tab/>
              <w:t>&lt;span style="font-family: &amp;quot;times new roman&amp;quot;, times;"&gt;IV. Dispositivo e tese&lt;/span&gt;</w:t>
              <w:tab/>
              <w:t>&lt;/span&gt;</w:t>
              <w:tab/>
              <w:t>&lt;/span&gt;</w:t>
            </w:r>
          </w:p>
          <w:p>
            <w:pPr>
              <w:pStyle w:val="TableParagraph"/>
              <w:tabs>
                <w:tab w:pos="1216" w:val="left" w:leader="none"/>
                <w:tab w:pos="2682" w:val="left" w:leader="none"/>
              </w:tabs>
              <w:spacing w:line="208" w:lineRule="auto" w:before="0"/>
              <w:ind w:right="118"/>
              <w:rPr>
                <w:sz w:val="20"/>
              </w:rPr>
            </w:pPr>
            <w:r>
              <w:rPr>
                <w:sz w:val="20"/>
              </w:rPr>
              <w:t>&lt;/strong&gt;&lt;/p&gt;&lt;p class="EmentadoAcf3f3f3f3f3f3f3rde3e3e3e3e3e3e3o" style="margin- bottom: 6.0pt; text-align: justify; text-justify: inter-ideograph; line-height: 150%;"&gt; &lt;span style="font-size: medium;"&gt;</w:t>
              <w:tab/>
              <w:t>&lt;span style="font-family: &amp;quot;times new roman&amp;quot;, times;"&gt;8. Recurso conhecido e desprovido&lt;/span&gt; &lt;/span&gt;&lt;/p&gt;&lt;p class="EmentadoAcf3f3f3f3f3f3f3rde3e3e3e3e3e3e3o" style="margin-bottom: 6.0pt; text- align: justify; text-justify: inter-ideograph; line-height: 150%;"&gt; &lt;span style="font-size: medium;"&gt;</w:t>
              <w:tab/>
              <w:t>&lt;span style="font-family: &amp;quot;times new roman&amp;quot;, times;"&gt;Dispositivos relevantes citados: &amp;#160;CDC, art. 6º, 14 e 47; Tema 996 do STJ;&lt;/span&gt; &lt;/span&gt;</w:t>
            </w:r>
          </w:p>
          <w:p>
            <w:pPr>
              <w:pStyle w:val="TableParagraph"/>
              <w:tabs>
                <w:tab w:pos="1216" w:val="left" w:leader="none"/>
                <w:tab w:pos="3129" w:val="left" w:leader="none"/>
                <w:tab w:pos="4154" w:val="left" w:leader="none"/>
              </w:tabs>
              <w:spacing w:line="208" w:lineRule="auto" w:before="0"/>
              <w:ind w:right="119"/>
              <w:rPr>
                <w:sz w:val="20"/>
              </w:rPr>
            </w:pPr>
            <w:r>
              <w:rPr>
                <w:sz w:val="20"/>
              </w:rPr>
              <w:t>&lt;span style="font-family: &amp;quot;times new roman&amp;quot;, times; font-size: medium; color: #c9211e;"&gt;&amp;#160;&lt;/span&gt;&lt;/p&gt;&lt;p class="EmentadoAcf3f3f3f3f3f3f3rde3e3e3e3e3e3e3o" style="margin-bottom: 6.0pt; text-align: justify; text-justify: inter-ideograph; line-height: 150%;"&gt;  &lt;span style="font-size: medium;"&gt;</w:t>
              <w:tab/>
              <w:t>&lt;span style="font-family: &amp;quot;times new roman&amp;quot;, times;"&gt;</w:t>
            </w:r>
            <w:r>
              <w:rPr>
                <w:sz w:val="20"/>
                <w:u w:val="single"/>
              </w:rPr>
              <w:t> </w:t>
              <w:tab/>
            </w:r>
            <w:r>
              <w:rPr>
                <w:sz w:val="20"/>
              </w:rPr>
              <w:t>&lt;/span&gt; &lt;/span&gt;&lt;/p&gt;&lt;p class="EmentadoAcf3f3f3f3f3f3f3rde3e3e3e3e3e3e3o" style="margin-bottom: 6.0pt; text- align: justify; text-justify: inter-ideograph; line-height: 150%;"&gt; &lt;span style="font-size: medium;"&gt;</w:t>
              <w:tab/>
              <w:t>&lt;span style="font-family: &amp;quot;times new roman&amp;quot;, times;"&gt;ACÓRDÃO: Vistos, relatados e discutidos estes autos, acorda a Quinta Câmara de Direito Privado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2618" w:val="left" w:leader="none"/>
                <w:tab w:pos="2682" w:val="left" w:leader="none"/>
                <w:tab w:pos="4154" w:val="left" w:leader="none"/>
                <w:tab w:pos="5765" w:val="left" w:leader="none"/>
                <w:tab w:pos="6333" w:val="left" w:leader="none"/>
                <w:tab w:pos="7300" w:val="left" w:leader="none"/>
              </w:tabs>
              <w:spacing w:line="208" w:lineRule="auto" w:before="26"/>
              <w:ind w:right="213"/>
              <w:rPr>
                <w:sz w:val="20"/>
              </w:rPr>
            </w:pPr>
            <w:r>
              <w:rPr>
                <w:sz w:val="20"/>
              </w:rPr>
              <w:t>Tribunal de Justiça do Estado do Ceará, por unanimidade em</w:t>
              <w:tab/>
              <w:t>&lt;strong&gt;CONHECER O RECURSO&lt;/strong&gt; para</w:t>
              <w:tab/>
              <w:t>&lt;strong&gt;NEGAR-LHE PROVIMENTO&lt;/strong&gt;, nos termos do voto do relator, parte integrante deste.&lt;/span&gt; &lt;/span&gt;&lt;/p&gt;&lt;p class="Textbody" style="margin-bottom: 6.0pt; text-align: justify; text-justify: inter-ideograph; line-height: 150%;"&gt;  &lt;span style="font-size: medium;"&gt;</w:t>
              <w:tab/>
              <w:t>&lt;span style="font-family: &amp;quot;times new roman&amp;quot;, times;"&gt;&amp;#160;&lt;/span&gt; &lt;/span&gt;&lt;/p&gt;&lt;p class="Textbody" style="margin- bottom: 6.0pt; text-align: justify; text-justify: inter-ideograph; line-height: 150%;"&gt; &lt;span style="font-size: medium;"&gt;</w:t>
              <w:tab/>
              <w:tab/>
              <w:t>&lt;span style="font-family: &amp;quot;times new roman&amp;quot;, times;"&gt;Fortaleza, data registrada no sistema.&lt;/span&gt; &lt;/span&gt;&lt;/p&gt;&lt;p class="Textbody" style="margin-bottom: 6.0pt; text-align: justify; text-justify: inter-ideograph; line-height: 150%; page-break-after: avoid;"&gt;  &lt;span style="font-size: medium;"&gt;</w:t>
              <w:tab/>
              <w:t>&lt;span </w:t>
            </w:r>
            <w:r>
              <w:rPr>
                <w:spacing w:val="-2"/>
                <w:sz w:val="20"/>
              </w:rPr>
              <w:t>style="font- </w:t>
            </w:r>
            <w:r>
              <w:rPr>
                <w:sz w:val="20"/>
              </w:rPr>
              <w:t>family: &amp;quot;times new roman&amp;quot;, times;"&gt;&amp;#160;&lt;/span&gt; &lt;/span&gt;&lt;/p&gt;&lt;p class="Textbody" style="margin-bottom: 6.0pt; text-align: justify; text-justify: inter- ideograph; line-height: 150%; page-break-after: avoid;"&gt; &lt;span style="font-size: medium;"&gt;</w:t>
              <w:tab/>
              <w:t>&lt;span style="font-family: &amp;quot;times new roman&amp;quot;, times;"&gt;</w:t>
              <w:tab/>
              <w:t>&lt;br /&gt;</w:t>
            </w:r>
          </w:p>
          <w:p>
            <w:pPr>
              <w:pStyle w:val="TableParagraph"/>
              <w:tabs>
                <w:tab w:pos="2682" w:val="left" w:leader="none"/>
                <w:tab w:pos="2794" w:val="left" w:leader="none"/>
                <w:tab w:pos="5051" w:val="left" w:leader="none"/>
                <w:tab w:pos="7112" w:val="left" w:leader="none"/>
                <w:tab w:pos="7148" w:val="left" w:leader="none"/>
              </w:tabs>
              <w:spacing w:line="208" w:lineRule="auto" w:before="0"/>
              <w:ind w:right="133"/>
              <w:rPr>
                <w:sz w:val="20"/>
              </w:rPr>
            </w:pPr>
            <w:r>
              <w:rPr>
                <w:sz w:val="20"/>
              </w:rPr>
              <w:t>&lt;/span&gt; &lt;/span&gt;&lt;/p&gt;&lt;p class="EmentadoAcf3f3f3f3f3rde3e3e3e3e3o" style="margin- bottom: 6.0pt; text-align: center; line-height: 150%;" align="center"&gt;  &lt;strong&gt;</w:t>
              <w:tab/>
              <w:t>&lt;span style="font-size: medium;"&gt;</w:t>
              <w:tab/>
              <w:tab/>
              <w:t>&lt;span style="font-family: &amp;quot;times new roman&amp;quot;, times;"&gt;MARIA REGINA OLIVEIRA CÂMARA&lt;/span&gt;</w:t>
              <w:tab/>
              <w:t>&lt;/span&gt; &lt;/strong&gt;&lt;/p&gt;&lt;p class="EmentadoAcf3f3f3f3f3rde3e3e3e3e3o" style="margin-bottom: 6.0pt; text-align: center; line-height: 150%;" align="center"&gt;  &lt;span style="font-size: medium;"&gt;</w:t>
              <w:tab/>
              <w:tab/>
              <w:t>&lt;span style="font-family: &amp;quot;times new roman&amp;quot;, times;"&gt;Desembargadora Presidente </w:t>
            </w:r>
            <w:r>
              <w:rPr>
                <w:spacing w:val="-9"/>
                <w:sz w:val="20"/>
              </w:rPr>
              <w:t>do </w:t>
            </w:r>
            <w:r>
              <w:rPr>
                <w:sz w:val="20"/>
              </w:rPr>
              <w:t>Órgão Julgador&lt;/span&gt; &lt;/span&gt;&lt;/p&gt;&lt;p class="EmentadoAcf3f3f3f3f3rde3e3e3e3e3o" style="margin-bottom: 6.0pt; text-align: center; line-height: 150%;" align="center"&gt; &lt;span style="font-size: medium;"&gt;</w:t>
              <w:tab/>
              <w:t>&lt;span style="font-family: &amp;quot;times new roman&amp;quot;, times;"&gt;&amp;#160;&lt;/span&gt; &lt;/span&gt;&lt;/p&gt;&lt;p class="EmentadoAcf3f3f3f3f3rde3e3e3e3e3o" style="margin-bottom: 6.0pt; text-align: center; line-height: 150%;" align="center"&gt; &lt;span style="font-size: medium;"&gt;</w:t>
              <w:tab/>
              <w:t>&lt;span style="font-family: &amp;quot;times new roman&amp;quot;, times;"&gt;&amp;#160;&lt;/span&gt; &lt;/span&gt;&lt;/p&gt;&lt;p class="EmentadoAcf3f3f3f3f3rde3e3e3e3e3o" style="margin-bottom: 6.0pt; text-align: center; line-height: 150%;" align="center"&gt;</w:t>
            </w:r>
          </w:p>
          <w:p>
            <w:pPr>
              <w:pStyle w:val="TableParagraph"/>
              <w:tabs>
                <w:tab w:pos="1051" w:val="left" w:leader="none"/>
                <w:tab w:pos="4411" w:val="left" w:leader="none"/>
                <w:tab w:pos="7107" w:val="left" w:leader="none"/>
              </w:tabs>
              <w:spacing w:line="208" w:lineRule="auto" w:before="0"/>
              <w:ind w:right="23"/>
              <w:rPr>
                <w:sz w:val="20"/>
              </w:rPr>
            </w:pPr>
            <w:r>
              <w:rPr>
                <w:sz w:val="20"/>
              </w:rPr>
              <w:t>&lt;strong&gt;</w:t>
              <w:tab/>
              <w:t>&lt;span style="font-size: medium;"&gt;</w:t>
              <w:tab/>
              <w:t>&lt;span style="font-family: &amp;quot;times </w:t>
            </w:r>
            <w:r>
              <w:rPr>
                <w:spacing w:val="-6"/>
                <w:sz w:val="20"/>
              </w:rPr>
              <w:t>new </w:t>
            </w:r>
            <w:r>
              <w:rPr>
                <w:sz w:val="20"/>
              </w:rPr>
              <w:t>roman&amp;quot;, times;"&gt;FRANCISCO LUCÍDIO DE QUEIROZ JÚNIOR&lt;/span&gt;</w:t>
              <w:tab/>
              <w:t>&lt;/span&gt;</w:t>
            </w:r>
          </w:p>
          <w:p>
            <w:pPr>
              <w:pStyle w:val="TableParagraph"/>
              <w:tabs>
                <w:tab w:pos="1216" w:val="left" w:leader="none"/>
                <w:tab w:pos="4154" w:val="left" w:leader="none"/>
                <w:tab w:pos="7148" w:val="left" w:leader="none"/>
              </w:tabs>
              <w:spacing w:line="208" w:lineRule="auto" w:before="0"/>
              <w:ind w:right="39"/>
              <w:rPr>
                <w:sz w:val="20"/>
              </w:rPr>
            </w:pPr>
            <w:r>
              <w:rPr>
                <w:sz w:val="20"/>
              </w:rPr>
              <w:t>&lt;/strong&gt;&lt;/p&gt;&lt;p class="EmentadoAcf3f3f3f3f3rde3e3e3e3e3o" style="margin-bottom: 6.0pt; text-align: center; line-height: 150%;" align="center"&gt; &lt;span style="font-size: medium;"&gt;</w:t>
              <w:tab/>
              <w:t>&lt;span style="font-family: &amp;quot;times new roman&amp;quot;, times;"&gt;Desembargador Relator&lt;/span&gt; &lt;/span&gt; &lt;span style="font-family: &amp;quot;times new roman&amp;quot;, times; font-size: medium;"&gt;&amp;#160;&lt;/span&gt;&lt;/p&gt;&lt;p class="EmentadoAcf3f3f3f3f3f3rde3e3e3e3e3e3o" style="margin-bottom: 6.0pt; text-align: center; line-height: 150%;" align="center"&gt;  &lt;span style="font-size: medium;"&gt;</w:t>
              <w:tab/>
              <w:t>&lt;span style="font-family: &amp;quot;times new roman&amp;quot;, times;"&gt;&amp;#160;&lt;/span&gt; &lt;/span&gt;&lt;/p&gt;&lt;p class="EmentadoAcf3f3f3f3f3f3rde3e3e3e3e3e3o" style="margin-bottom: 6.0pt; text-align: center; line-height: 150%;" align="center"&gt;  &lt;span style="font-size: medium;"&gt;</w:t>
              <w:tab/>
              <w:t>&lt;span style="font-family: &amp;quot;times new roman&amp;quot;, times;"&gt;&amp;#160;&lt;/span&gt; &lt;/span&gt;&lt;/p&gt;&lt;p class="EmentadoAcf3f3f3f3f3f3rde3e3e3e3e3e3o" style="margin-bottom: 6.0pt; </w:t>
            </w:r>
            <w:r>
              <w:rPr>
                <w:spacing w:val="-2"/>
                <w:sz w:val="20"/>
              </w:rPr>
              <w:t>line-height: </w:t>
            </w:r>
            <w:r>
              <w:rPr>
                <w:sz w:val="20"/>
              </w:rPr>
              <w:t>150%;"&gt;  &lt;span style="font-size: medium;"&gt;</w:t>
              <w:tab/>
              <w:t>&lt;span style="font-family: &amp;quot;times new roman&amp;quot;, times;"&gt;&amp;#160;&lt;/span&gt; &lt;/span&gt;&lt;/p&gt;&lt;p class="EmentadoAcf3f3f3f3f3f3rde3e3e3e3e3e3o" style="margin-bottom: 6.0pt; text-align: center; line-height: 150%;" align="center"&gt;  &lt;span style="font-size: medium;"&gt;</w:t>
              <w:tab/>
              <w:t>&lt;span style="font-family: &amp;quot;times new roman&amp;quot;, times;"&gt;&amp;#160;&lt;/span&gt; &lt;/span&gt;&lt;/p&gt;&lt;p class="EmentadoAcf3f3f3f3f3f3rde3e3e3e3e3e3o" style="margin-bottom: 6.0pt; text-align: center; line-height: 150%;" align="center"&gt;  &lt;span style="font-size: medium;"&gt;</w:t>
              <w:tab/>
              <w:t>&lt;span style="font-family: &amp;quot;times new roman&amp;quot;, times;"&gt;</w:t>
            </w:r>
          </w:p>
          <w:p>
            <w:pPr>
              <w:pStyle w:val="TableParagraph"/>
              <w:tabs>
                <w:tab w:pos="3052" w:val="left" w:leader="none"/>
                <w:tab w:pos="4431" w:val="left" w:leader="none"/>
                <w:tab w:pos="5430" w:val="left" w:leader="none"/>
                <w:tab w:pos="5844" w:val="left" w:leader="none"/>
                <w:tab w:pos="6028" w:val="left" w:leader="none"/>
              </w:tabs>
              <w:spacing w:line="208" w:lineRule="auto" w:before="0"/>
              <w:ind w:right="74"/>
              <w:rPr>
                <w:sz w:val="20"/>
              </w:rPr>
            </w:pPr>
            <w:r>
              <w:rPr>
                <w:sz w:val="20"/>
              </w:rPr>
              <w:t>&lt;strong&gt;RELATÓRIO&lt;/strong&gt;</w:t>
              <w:tab/>
              <w:t>&lt;/span&gt; &lt;/span&gt;&lt;/p&gt;&lt;p class="Standarduser" style="margin-bottom: 6.0pt; text-align: justify; text-justify: inter-ideograph; text-indent: 2.0cm; line-height: 150%;"&gt;  &lt;span style="font-size: medium;"&gt;</w:t>
              <w:tab/>
              <w:t>&lt;span style="font-family: &amp;quot;times new roman&amp;quot;, times;"&gt;Trata-se de&amp;#160;</w:t>
              <w:tab/>
              <w:t>&lt;strong&gt;recurso de Apelação&lt;/strong&gt;&amp;#160;interposto por&amp;#160;</w:t>
              <w:tab/>
              <w:t>&lt;strong&gt;MRV Engenharia e Participações S/A,&amp;#160;&lt;/strong&gt;onde se insurge&amp;#160;contra a sentença proferida </w:t>
            </w:r>
            <w:r>
              <w:rPr>
                <w:spacing w:val="-5"/>
                <w:sz w:val="20"/>
              </w:rPr>
              <w:t>pelo </w:t>
            </w:r>
            <w:r>
              <w:rPr>
                <w:sz w:val="20"/>
              </w:rPr>
              <w:t>juízo da 25ª Vara Cível da Comarca de Fortaleza/CE, que&amp;#160;</w:t>
              <w:tab/>
              <w:tab/>
              <w:t>&lt;strong&gt;julgou parcialmente procedentes&lt;/strong&gt;&amp;#160;os pedidos autorais contidos na&amp;#160;</w:t>
            </w:r>
          </w:p>
          <w:p>
            <w:pPr>
              <w:pStyle w:val="TableParagraph"/>
              <w:tabs>
                <w:tab w:pos="4231" w:val="left" w:leader="none"/>
              </w:tabs>
              <w:spacing w:line="208" w:lineRule="auto" w:before="0"/>
              <w:ind w:right="67"/>
              <w:rPr>
                <w:sz w:val="20"/>
              </w:rPr>
            </w:pPr>
            <w:r>
              <w:rPr>
                <w:sz w:val="20"/>
              </w:rPr>
              <w:t>&lt;strong&gt;Ação de Indenização por Danos Morais c/c Repetição de Indébito,&lt;/strong&gt;&amp;#160;ajuizada por&amp;#160;</w:t>
              <w:tab/>
              <w:t>&lt;strong&gt;Dayane Mendonça Lima.&lt;/strong&gt;&lt;/span&gt; &lt;/span&gt;&lt;/p&gt;&lt;p class="Standarduser" style="margin-bottom: </w:t>
            </w:r>
            <w:r>
              <w:rPr>
                <w:spacing w:val="-3"/>
                <w:sz w:val="20"/>
              </w:rPr>
              <w:t>6.0pt; </w:t>
            </w:r>
            <w:r>
              <w:rPr>
                <w:sz w:val="20"/>
              </w:rPr>
              <w:t>text-align: justify; text-justify: inter-ideograph; text-indent: 2.0cm; line-height: 150%;"&gt;</w:t>
            </w:r>
          </w:p>
          <w:p>
            <w:pPr>
              <w:pStyle w:val="TableParagraph"/>
              <w:tabs>
                <w:tab w:pos="3288" w:val="left" w:leader="none"/>
              </w:tabs>
              <w:spacing w:line="208" w:lineRule="auto" w:before="0"/>
              <w:ind w:right="19"/>
              <w:rPr>
                <w:sz w:val="20"/>
              </w:rPr>
            </w:pPr>
            <w:r>
              <w:rPr>
                <w:sz w:val="20"/>
              </w:rPr>
              <w:t>&lt;span style="font-size: medium;"&gt;</w:t>
              <w:tab/>
              <w:t>&lt;span style="font-family: &amp;quot;times new roman&amp;quot;, times;"&gt;Originalmente, trata-se de ação proposta pela autora visando à declaração de ilegalidade da cobrança denominada de “taxa de evolução de obra” e a restituição, em dobro, dos valores cobrados indevidamente, conforme demonstrado no extrato de pagamentos anexado aos autos, no valor de R$ 6.494,17 (seis mil, </w:t>
            </w:r>
            <w:r>
              <w:rPr>
                <w:spacing w:val="-2"/>
                <w:sz w:val="20"/>
              </w:rPr>
              <w:t>quatrocentos </w:t>
            </w:r>
            <w:r>
              <w:rPr>
                <w:sz w:val="20"/>
              </w:rPr>
              <w:t>e noventa e quatro reais e dezessete centavos), sob a alegação de que não foi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8"/>
              <w:rPr>
                <w:sz w:val="20"/>
              </w:rPr>
            </w:pPr>
            <w:r>
              <w:rPr>
                <w:sz w:val="20"/>
              </w:rPr>
              <w:t>devidamente informada acerca da cobrança da denominada “taxa de evolução de juros de obra”. A demandante afirma ter celebrado contrato de Promessa de Compra e Venda de imóvel, cuja entrega ocorreu dentro do prazo estipulado. Contudo, sustenta que, mesmo após o recebimento das chaves, continuou sendo cobrado os valores relativos à mencionada taxa, a qual, segundo alega, não possuía previsão contratual.&lt;/span&gt;</w:t>
            </w:r>
          </w:p>
          <w:p>
            <w:pPr>
              <w:pStyle w:val="TableParagraph"/>
              <w:tabs>
                <w:tab w:pos="1216" w:val="left" w:leader="none"/>
                <w:tab w:pos="7189" w:val="left" w:leader="none"/>
              </w:tabs>
              <w:spacing w:line="208" w:lineRule="auto" w:before="0"/>
              <w:ind w:right="40"/>
              <w:rPr>
                <w:sz w:val="20"/>
              </w:rPr>
            </w:pPr>
            <w:r>
              <w:rPr>
                <w:sz w:val="20"/>
              </w:rPr>
              <w:t>&lt;/span&gt;&lt;/p&gt;&lt;p class="Standarduser" style="margin-bottom: 6.0pt; text-align: justify; text- justify: inter-ideograph; text-indent: 2.0cm; line-height: 150%;"&gt; &lt;span style="font-size: medium;"&gt;</w:t>
              <w:tab/>
              <w:t>&lt;span style="font-family: &amp;quot;times new roman&amp;quot;, times;"&gt;</w:t>
              <w:tab/>
            </w:r>
            <w:r>
              <w:rPr>
                <w:spacing w:val="-1"/>
                <w:sz w:val="20"/>
              </w:rPr>
              <w:t>&lt;strong&gt;A </w:t>
            </w:r>
            <w:r>
              <w:rPr>
                <w:sz w:val="20"/>
              </w:rPr>
              <w:t>sentença de id. 28796183 julgou parcialmente procedente o pedido inicial&lt;/strong&gt;, declarando a ilegalidade da cobrança da taxa de evolução de obra cobrada e paga pela autora, bem como para condenar a ré MRV Engenharia e Participações S/A a restituir, em dobro, os valores indevidamente pagos a esse título, no total de&amp;#160;R$ 12.988,34 (doze mil novecentos e oitenta e oito reais e trinta e quatro centavos).&lt;/span&gt; &lt;/span&gt;&lt;/p&gt;&lt;p class="Standarduser" style="margin-bottom: 6.0pt; text-align: justify; text-justify: inter- ideograph; text-indent: 2.0cm; line-height: 150%;"&gt; &lt;span style="font-size: medium;"&gt;</w:t>
            </w:r>
          </w:p>
          <w:p>
            <w:pPr>
              <w:pStyle w:val="TableParagraph"/>
              <w:tabs>
                <w:tab w:pos="4876" w:val="left" w:leader="none"/>
              </w:tabs>
              <w:spacing w:line="208" w:lineRule="auto" w:before="0"/>
              <w:ind w:right="63"/>
              <w:rPr>
                <w:sz w:val="20"/>
              </w:rPr>
            </w:pPr>
            <w:r>
              <w:rPr>
                <w:sz w:val="20"/>
              </w:rPr>
              <w:t>&lt;span style="font-family: &amp;quot;times new roman&amp;quot;, times;"&gt;Irresignada, a promovida interpôs recurso de apelação (id. 28796185),&amp;#160;</w:t>
              <w:tab/>
              <w:t>&lt;strong&gt;suscitando, preliminarmente, a sua ilegitimidade passiva, ao argumento de que a denominada “taxa </w:t>
            </w:r>
            <w:r>
              <w:rPr>
                <w:spacing w:val="-9"/>
                <w:sz w:val="20"/>
              </w:rPr>
              <w:t>de </w:t>
            </w:r>
            <w:r>
              <w:rPr>
                <w:sz w:val="20"/>
              </w:rPr>
              <w:t>evolução de obra” constitui encargo exclusivo da instituição financeira responsável pela concessão do financiamento imobiliário.&lt;/strong&gt;&lt;/span&gt; &lt;/span&gt;&lt;/p&gt;&lt;p class="Standarduser" style="margin-bottom: 6.0pt; text-align: justify; text-justify: inter- ideograph; text-indent: 2.0cm; line-height: 150%;"&gt; &lt;span style="font-size: medium;"&gt;</w:t>
            </w:r>
          </w:p>
          <w:p>
            <w:pPr>
              <w:pStyle w:val="TableParagraph"/>
              <w:tabs>
                <w:tab w:pos="2786" w:val="left" w:leader="none"/>
                <w:tab w:pos="4154" w:val="left" w:leader="none"/>
              </w:tabs>
              <w:spacing w:line="208" w:lineRule="auto" w:before="0"/>
              <w:ind w:right="45"/>
              <w:rPr>
                <w:sz w:val="20"/>
              </w:rPr>
            </w:pPr>
            <w:r>
              <w:rPr>
                <w:sz w:val="20"/>
              </w:rPr>
              <w:t>&lt;span style="font-family: &amp;quot;times new roman&amp;quot;, times;"&gt;No mérito, pugna pela reforma da sentença,&amp;#160;</w:t>
              <w:tab/>
              <w:t>&lt;strong&gt;sustentando a inexistência de obrigação de devolução dos valores pagos pela autora a título de “taxa de evolução de obra” e defendendo a regularidade da referida cobrança. Aduz que a autora aderiu voluntariamente ao contrato, ciente de todos os encargos assumidos, inexistindo, portanto, qualquer cobrança indevida por parte da apelante.&amp;#160;&lt;/strong&gt;Ao final, requer a reforma integral da sentença, para que sejam julgados improcedentes os pedidos formulados na petição inicial.&lt;/span&gt; &lt;/span&gt;&lt;/p&gt;&lt;p class="Standarduser" style="margin- bottom: 6.0pt; text-align: justify; text-justify: inter-ideograph; text-indent: 2.0cm; line-height: 150%;"&gt;  &lt;span style="font-size: medium;"&gt;</w:t>
              <w:tab/>
              <w:t>&lt;span style="font-family: &amp;quot;times new roman&amp;quot;, times;"&gt;Devidamente citada, a apelada apresentou contrarrazões (id.</w:t>
            </w:r>
          </w:p>
          <w:p>
            <w:pPr>
              <w:pStyle w:val="TableParagraph"/>
              <w:spacing w:line="208" w:lineRule="auto" w:before="0"/>
              <w:ind w:right="43"/>
              <w:rPr>
                <w:sz w:val="20"/>
              </w:rPr>
            </w:pPr>
            <w:r>
              <w:rPr>
                <w:sz w:val="20"/>
              </w:rPr>
              <w:t>28796245), pugnando pela manutenção integral da decisão recorrida. Sustenta que a apelante não comprovou a existência de previsão contratual que autorizasse a cobrança da taxa, tampouco demonstrou a efetiva cessação da exigência desses valores após a entrega do imóvel.&lt;/span&gt; &lt;/span&gt;&lt;/p&gt;&lt;p class="Standarduser" style="margin-bottom: 6.0pt; text-align: justify; text-justify: inter-ideograph; text-indent: 2.0cm; line-height: 150%;"&gt;</w:t>
            </w:r>
          </w:p>
          <w:p>
            <w:pPr>
              <w:pStyle w:val="TableParagraph"/>
              <w:tabs>
                <w:tab w:pos="1216" w:val="left" w:leader="none"/>
                <w:tab w:pos="1327" w:val="left" w:leader="none"/>
                <w:tab w:pos="2496" w:val="left" w:leader="none"/>
                <w:tab w:pos="3288" w:val="left" w:leader="none"/>
                <w:tab w:pos="5653" w:val="left" w:leader="none"/>
                <w:tab w:pos="5867" w:val="left" w:leader="none"/>
                <w:tab w:pos="7556" w:val="left" w:leader="none"/>
              </w:tabs>
              <w:spacing w:line="208" w:lineRule="auto" w:before="0"/>
              <w:ind w:right="18"/>
              <w:rPr>
                <w:sz w:val="20"/>
              </w:rPr>
            </w:pPr>
            <w:r>
              <w:rPr>
                <w:sz w:val="20"/>
              </w:rPr>
              <w:t>&lt;span style="font-size: medium;"&gt;</w:t>
              <w:tab/>
              <w:t>&lt;span style="font-family: &amp;quot;times new roman&amp;quot;, times;"&gt;Deixei de remeter os autos à apreciação da douta Procuradoria- Geral de Justiça por se tratar de caso exclusivamente patrimonial.&lt;/span&gt; &lt;/span&gt;&lt;/p&gt;&lt;p class="Standarduser" style="margin-bottom: 5.95pt; text-align: justify; text-justify: inter- ideograph; text-indent: 2.0cm; line-height: 150%;"&gt;  &lt;strong&gt;</w:t>
              <w:tab/>
              <w:t>&lt;span style="font-size: medium;"&gt;</w:t>
              <w:tab/>
              <w:tab/>
              <w:t>&lt;span style="font-family: &amp;quot;times new roman&amp;quot;, times;"&gt;É o relatório. Decido.&lt;/span&gt;</w:t>
              <w:tab/>
              <w:t>&lt;/span&gt; &lt;/strong&gt;&lt;/p&gt;&lt;p class="Standard" style="margin- bottom: 6.0pt; text-align: justify; text-justify: inter-ideograph; text-indent: 2.0cm; line-height: 150%; tab-stops: 183.4pt;"&gt;  &lt;span style="font-size: medium;"&gt;</w:t>
              <w:tab/>
              <w:tab/>
              <w:t>&lt;span style="font-family: &amp;quot;times new roman&amp;quot;, times;"&gt;&amp;#160;&lt;/span&gt; &lt;/span&gt;&lt;/p&gt;&lt;p class="Standard" style="margin-bottom: 6.0pt; text-align: justify; text-justify: inter-ideograph; text-indent: 2.0cm; line-height: 150%; tab-stops: 183.4pt;"&gt;  &lt;span style="font-size: medium;"&gt;</w:t>
              <w:tab/>
              <w:t>&lt;span style="font-family: &amp;quot;times new roman&amp;quot;, times;"&gt;&amp;#160;&lt;/span&gt; &lt;/span&gt;&lt;/p&gt;&lt;p class="Standard" style="margin-bottom: 6.0pt; text-align: justify; text-justify: inter-ideograph; text-indent: 2.0cm; line-height: 150%; tab-stops: 183.4pt;"&gt; &lt;span style="font-size: medium;"&gt;</w:t>
              <w:tab/>
              <w:t>&lt;span style="font-family: &amp;quot;times new roman&amp;quot;, times;"&gt;&amp;#160;&lt;/span&gt; &lt;/span&gt;&lt;/p&gt;&lt;p class="Standard" style="margin-bottom: 6.0pt;</w:t>
            </w:r>
          </w:p>
          <w:p>
            <w:pPr>
              <w:pStyle w:val="TableParagraph"/>
              <w:tabs>
                <w:tab w:pos="1395" w:val="left" w:leader="none"/>
                <w:tab w:pos="4866" w:val="left" w:leader="none"/>
                <w:tab w:pos="5174" w:val="left" w:leader="none"/>
                <w:tab w:pos="5834" w:val="left" w:leader="none"/>
                <w:tab w:pos="6119" w:val="left" w:leader="none"/>
              </w:tabs>
              <w:spacing w:line="208" w:lineRule="auto" w:before="0"/>
              <w:ind w:right="624"/>
              <w:rPr>
                <w:sz w:val="20"/>
              </w:rPr>
            </w:pPr>
            <w:r>
              <w:rPr>
                <w:sz w:val="20"/>
              </w:rPr>
              <w:t>text-align: center; line-height: 150%;" align="center"&gt;  &lt;strong&gt;</w:t>
              <w:tab/>
              <w:t>&lt;span </w:t>
            </w:r>
            <w:r>
              <w:rPr>
                <w:spacing w:val="-2"/>
                <w:sz w:val="20"/>
              </w:rPr>
              <w:t>style="color: </w:t>
            </w:r>
            <w:r>
              <w:rPr>
                <w:sz w:val="20"/>
              </w:rPr>
              <w:t>#010101;"&gt;</w:t>
              <w:tab/>
              <w:t>&lt;span style="font-size: medium;"&gt;</w:t>
              <w:tab/>
              <w:t>&lt;span style="font-family: &amp;quot;times new roman&amp;quot;, times;"&gt;VOTO&lt;/span&gt;</w:t>
              <w:tab/>
              <w:tab/>
              <w:t>&lt;/span&gt;</w:t>
              <w:tab/>
              <w:t>&lt;/span&gt;</w:t>
            </w:r>
          </w:p>
          <w:p>
            <w:pPr>
              <w:pStyle w:val="TableParagraph"/>
              <w:tabs>
                <w:tab w:pos="5517" w:val="left" w:leader="none"/>
                <w:tab w:pos="6741" w:val="left" w:leader="none"/>
                <w:tab w:pos="6889" w:val="left" w:leader="none"/>
              </w:tabs>
              <w:spacing w:line="208" w:lineRule="auto" w:before="0"/>
              <w:ind w:right="446"/>
              <w:rPr>
                <w:sz w:val="20"/>
              </w:rPr>
            </w:pPr>
            <w:r>
              <w:rPr>
                <w:sz w:val="20"/>
              </w:rPr>
              <w:t>&lt;/strong&gt;&lt;/p&gt;&lt;p class="Standard" style="text-align: justify; text-justify: inter-ideograph; text-indent: 1.0cm; line-height: 150%;"&gt;  &lt;span style="font-size: medium;"&gt;</w:t>
              <w:tab/>
              <w:tab/>
              <w:t>&lt;span style="font-family: &amp;quot;times new roman&amp;quot;, times;"&gt;</w:t>
              <w:tab/>
              <w:t>&lt;strong&gt;</w:t>
              <w:tab/>
              <w:t>&lt;span style="text-decoration: underline;"&gt;1 – Admissibilidade recursal.&lt;/span&gt;</w:t>
              <w:tab/>
              <w:t>&lt;/strong&gt;</w:t>
            </w:r>
          </w:p>
          <w:p>
            <w:pPr>
              <w:pStyle w:val="TableParagraph"/>
              <w:spacing w:line="190" w:lineRule="exact" w:before="0"/>
              <w:rPr>
                <w:sz w:val="20"/>
              </w:rPr>
            </w:pPr>
            <w:r>
              <w:rPr>
                <w:sz w:val="20"/>
              </w:rPr>
              <w:t>&lt;/span&gt;  &lt;/span&gt;&lt;/p&gt;&lt;p class="TJCE" style="margin-bottom: 6.0pt; text-indent: 2.0cm;"&gt;</w:t>
            </w:r>
          </w:p>
          <w:p>
            <w:pPr>
              <w:pStyle w:val="TableParagraph"/>
              <w:tabs>
                <w:tab w:pos="1596" w:val="left" w:leader="none"/>
                <w:tab w:pos="3244" w:val="left" w:leader="none"/>
                <w:tab w:pos="4844" w:val="left" w:leader="none"/>
                <w:tab w:pos="6604" w:val="left" w:leader="none"/>
              </w:tabs>
              <w:spacing w:line="208" w:lineRule="auto" w:before="5"/>
              <w:ind w:right="101"/>
              <w:rPr>
                <w:sz w:val="20"/>
              </w:rPr>
            </w:pPr>
            <w:r>
              <w:rPr>
                <w:sz w:val="20"/>
              </w:rPr>
              <w:t>&lt;span style="color: windowtext;"&gt;</w:t>
              <w:tab/>
              <w:t>&lt;span style="font-size: medium;"&gt;</w:t>
              <w:tab/>
              <w:t>&lt;span style="font-family: &amp;quot;times new roman&amp;quot;, times;"&gt;Exercendo o juízo de admissibilidade recursal, constato a presença dos requisitos de admissibilidade extrínsecos e intrínsecos, pelo que conheço do recurso e passo à análise do mérito.&lt;/span&gt;</w:t>
              <w:tab/>
              <w:t>&lt;/span&gt; &lt;/span&gt;&lt;/p&gt;&lt;p class="TJCE" style="margin-bottom: 6.0pt; </w:t>
            </w:r>
            <w:r>
              <w:rPr>
                <w:spacing w:val="-4"/>
                <w:sz w:val="20"/>
              </w:rPr>
              <w:t>text- </w:t>
            </w:r>
            <w:r>
              <w:rPr>
                <w:sz w:val="20"/>
              </w:rPr>
              <w:t>indent: 2.0cm;"&gt;  &lt;span style="font-size: medium;"&gt;</w:t>
              <w:tab/>
              <w:t>&lt;span style="font-family: &amp;quot;times new roman&amp;quot;, times;"&gt;&amp;#160;&lt;/span&gt; &lt;/span&gt;&lt;/p&gt;&lt;p class="Standard"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884" w:val="left" w:leader="none"/>
                <w:tab w:pos="5118" w:val="left" w:leader="none"/>
                <w:tab w:pos="5844" w:val="left" w:leader="none"/>
                <w:tab w:pos="6253" w:val="left" w:leader="none"/>
                <w:tab w:pos="7320" w:val="left" w:leader="none"/>
              </w:tabs>
              <w:spacing w:line="208" w:lineRule="auto" w:before="26"/>
              <w:ind w:right="109"/>
              <w:rPr>
                <w:sz w:val="20"/>
              </w:rPr>
            </w:pPr>
            <w:r>
              <w:rPr>
                <w:sz w:val="20"/>
              </w:rPr>
              <w:t>style="margin-bottom: 6.0pt; text-align: justify; text-justify: inter-ideograph; text-indent: 1.0cm; line-height: 150%;"&gt;  &lt;span style="font-size: medium;"&gt;</w:t>
              <w:tab/>
              <w:t>&lt;span style="font-family: &amp;quot;times new roman&amp;quot;, times;"&gt;</w:t>
              <w:tab/>
              <w:t>&lt;strong&gt;</w:t>
              <w:tab/>
              <w:t>&lt;span style="text-decoration: underline;"&gt;2 – Preliminar de Mérito: Ilegitimidade passiva&lt;/span&gt;</w:t>
              <w:tab/>
              <w:t>&lt;/strong&gt;</w:t>
              <w:tab/>
            </w:r>
            <w:r>
              <w:rPr>
                <w:spacing w:val="-3"/>
                <w:sz w:val="20"/>
              </w:rPr>
              <w:t>&lt;/span&gt;</w:t>
            </w:r>
          </w:p>
          <w:p>
            <w:pPr>
              <w:pStyle w:val="TableParagraph"/>
              <w:tabs>
                <w:tab w:pos="1216" w:val="left" w:leader="none"/>
                <w:tab w:pos="1874" w:val="left" w:leader="none"/>
                <w:tab w:pos="2350" w:val="left" w:leader="none"/>
                <w:tab w:pos="2552" w:val="left" w:leader="none"/>
                <w:tab w:pos="3584" w:val="left" w:leader="none"/>
                <w:tab w:pos="3619" w:val="left" w:leader="none"/>
                <w:tab w:pos="4154" w:val="left" w:leader="none"/>
                <w:tab w:pos="4310" w:val="left" w:leader="none"/>
                <w:tab w:pos="5844" w:val="left" w:leader="none"/>
                <w:tab w:pos="7300" w:val="left" w:leader="none"/>
              </w:tabs>
              <w:spacing w:line="208" w:lineRule="auto" w:before="0"/>
              <w:ind w:right="21"/>
              <w:rPr>
                <w:sz w:val="20"/>
              </w:rPr>
            </w:pPr>
            <w:r>
              <w:rPr>
                <w:sz w:val="20"/>
              </w:rPr>
              <w:t>&lt;/span&gt;&lt;/p&gt;&lt;p class="Standard" style="text-align: justify; text-justify: inter-ideograph; text- indent: 2.0cm; line-height: 150%; tab-stops: right 425.2pt;"&gt; &lt;span style="font-size: medium;"&gt;</w:t>
              <w:tab/>
              <w:t>&lt;span style="font-family: &amp;quot;times new roman&amp;quot;, times;"&gt;</w:t>
              <w:tab/>
              <w:t>&lt;span style="background-image: initial; background-position: initial; background-size: initial; background-repeat: initial; background-attachment: initial; background-origin: initial; background-clip: initial;"&gt;Primeiramente, afasta-se a preliminar de ilegitimidade passiva da empresa ré, tendo em vista que embora o pagamento seja dirigido ao Banco do Brasil, a construtora requerida faz parte da cadeia de consumo, respondendo pelos prejuízos impostos ao adquirente, sendo, portanto, parte legítima para figurar o polo passivo da demanda.&lt;/span&gt;</w:t>
              <w:tab/>
              <w:t>&lt;/span&gt; &lt;/span&gt;&lt;/p&gt;&lt;p class="Standard" style="text-align: justify; text-justify: inter-ideograph; text-indent: 2.0cm; line-height: 150%; tab-stops: right 425.2pt;"&gt;  &lt;span style="font-size: medium;"&gt;</w:t>
              <w:tab/>
              <w:tab/>
              <w:t>&lt;span style="font-family: &amp;quot;times new roman&amp;quot;, times;"&gt;&amp;#160;&lt;/span&gt; &lt;/span&gt;&lt;/p&gt;&lt;p class="Standard" style="margin- bottom: 6.0pt; text-align: justify; text-justify: inter-ideograph; text-indent: 1.0cm; line-height: 150%;"&gt;  &lt;span style="font-size: medium;"&gt;</w:t>
              <w:tab/>
              <w:t>&lt;span style="font-family: &amp;quot;times new roman&amp;quot;, times;"&gt;</w:t>
              <w:tab/>
              <w:t>&lt;strong&gt;</w:t>
              <w:tab/>
              <w:t>&lt;span style="text-decoration: underline;"&gt;3 – Mérito Recursal:&lt;/span&gt;</w:t>
              <w:tab/>
              <w:tab/>
              <w:t>&lt;/strong&gt;</w:t>
              <w:tab/>
              <w:tab/>
              <w:t>&lt;/span&gt; &lt;/span&gt;&lt;/p&gt;&lt;p class="Standard" style="margin-bottom: 5.95pt; text-align: justify; text-justify: inter-ideograph; text-indent: 2.0cm; line-height: 150%;"&gt;  &lt;span style="font-size: medium;"&gt;</w:t>
              <w:tab/>
              <w:t>&lt;span style="font-family: &amp;quot;times new roman&amp;quot;, times;"&gt;O cerne da controvérsia consiste em analisar da legalidade da cobrança da taxa de evolução de obra realizada pela promovida. Alega esta que a referida cobrança encontra respaldo contratual e, portanto, é legítima. Assim, insurge-se contra a decisão proferida em primeira instância, que reconheceu a ilegalidade da cobrança, por não constar tal previsão no contrato, determinando, assim, a devolução em dobro dos valores cobrados ao consumidor.&lt;/span&gt; &lt;/span&gt;&lt;/p&gt;&lt;p class="Standard" style="margin-bottom: 6.0pt; text-align: justify; text-justify: inter-ideograph; text-indent: 2.0cm; line-height: 150%;"&gt;  &lt;span style="font-size: medium;"&gt;</w:t>
              <w:tab/>
              <w:t>&lt;span style="font-family: &amp;quot;times new roman&amp;quot;, times;"&gt;De início, importa consignar que se trata de </w:t>
            </w:r>
            <w:r>
              <w:rPr>
                <w:spacing w:val="-3"/>
                <w:sz w:val="20"/>
              </w:rPr>
              <w:t>relação </w:t>
            </w:r>
            <w:r>
              <w:rPr>
                <w:sz w:val="20"/>
              </w:rPr>
              <w:t>jurídica consumerista entre a construtora e a consumidora, consoante inteligência do art.</w:t>
            </w:r>
          </w:p>
          <w:p>
            <w:pPr>
              <w:pStyle w:val="TableParagraph"/>
              <w:tabs>
                <w:tab w:pos="4710" w:val="left" w:leader="none"/>
              </w:tabs>
              <w:spacing w:line="188" w:lineRule="exact" w:before="0"/>
              <w:rPr>
                <w:sz w:val="20"/>
              </w:rPr>
            </w:pPr>
            <w:r>
              <w:rPr>
                <w:sz w:val="20"/>
              </w:rPr>
              <w:t>2º e art. 3º, do Código de Defesa do Consumidor,</w:t>
              <w:tab/>
              <w:t>&lt;em&gt;in verbis:&lt;/em&gt;&lt;/span&gt;</w:t>
            </w:r>
          </w:p>
          <w:p>
            <w:pPr>
              <w:pStyle w:val="TableParagraph"/>
              <w:spacing w:line="208" w:lineRule="auto" w:before="10"/>
              <w:ind w:right="29"/>
              <w:rPr>
                <w:sz w:val="20"/>
              </w:rPr>
            </w:pPr>
            <w:r>
              <w:rPr>
                <w:sz w:val="20"/>
              </w:rPr>
              <w:t>&lt;/span&gt;&lt;/p&gt;&lt;p class="Standard" style="margin-bottom: 6.0pt; text-align: justify; text-justify: inter-ideograph; text-indent: 2.0cm; line-height: 150%;"&gt; &lt;span style="font-size: medium;"&gt;</w:t>
            </w:r>
          </w:p>
          <w:p>
            <w:pPr>
              <w:pStyle w:val="TableParagraph"/>
              <w:spacing w:line="190" w:lineRule="exact" w:before="0"/>
              <w:rPr>
                <w:sz w:val="20"/>
              </w:rPr>
            </w:pPr>
            <w:r>
              <w:rPr>
                <w:sz w:val="20"/>
              </w:rPr>
              <w:t>&lt;span style="font-family: &amp;quot;times new roman&amp;quot;, times;"&gt;&amp;#160;&lt;/span&gt;</w:t>
            </w:r>
          </w:p>
          <w:p>
            <w:pPr>
              <w:pStyle w:val="TableParagraph"/>
              <w:tabs>
                <w:tab w:pos="2350" w:val="left" w:leader="none"/>
                <w:tab w:pos="4154" w:val="left" w:leader="none"/>
                <w:tab w:pos="6154" w:val="left" w:leader="none"/>
              </w:tabs>
              <w:spacing w:line="208" w:lineRule="auto" w:before="9"/>
              <w:ind w:right="131"/>
              <w:rPr>
                <w:sz w:val="20"/>
              </w:rPr>
            </w:pPr>
            <w:r>
              <w:rPr>
                <w:sz w:val="20"/>
              </w:rPr>
              <w:t>&lt;/span&gt;&lt;/p&gt;&lt;p class="Standard" style="margin-top: 0cm; margin-right: 0cm; margin- bottom: 6.0pt; margin-left: 4.0cm; text-align: justify; text-justify: inter-ideograph; </w:t>
            </w:r>
            <w:r>
              <w:rPr>
                <w:spacing w:val="-2"/>
                <w:sz w:val="20"/>
              </w:rPr>
              <w:t>line-height: </w:t>
            </w:r>
            <w:r>
              <w:rPr>
                <w:sz w:val="20"/>
              </w:rPr>
              <w:t>150%;"&gt;  &lt;span style="font-size: medium;"&gt;</w:t>
              <w:tab/>
              <w:t>&lt;span style="font-family: &amp;quot;times new roman&amp;quot;, times;"&gt;</w:t>
              <w:tab/>
              <w:t>&lt;em&gt;Art. 2° Consumidor é toda pessoa física ou jurídica que adquire ou utiliza produto ou serviço como destinatário final.&lt;/em&gt;</w:t>
              <w:tab/>
              <w:t>&lt;/span&gt;</w:t>
            </w:r>
          </w:p>
          <w:p>
            <w:pPr>
              <w:pStyle w:val="TableParagraph"/>
              <w:tabs>
                <w:tab w:pos="1618" w:val="left" w:leader="none"/>
                <w:tab w:pos="2350" w:val="left" w:leader="none"/>
                <w:tab w:pos="2682" w:val="left" w:leader="none"/>
                <w:tab w:pos="4154" w:val="left" w:leader="none"/>
                <w:tab w:pos="5517" w:val="left" w:leader="none"/>
                <w:tab w:pos="5575" w:val="left" w:leader="none"/>
                <w:tab w:pos="6645" w:val="left" w:leader="none"/>
              </w:tabs>
              <w:spacing w:line="208" w:lineRule="auto" w:before="0"/>
              <w:ind w:right="74"/>
              <w:rPr>
                <w:sz w:val="20"/>
              </w:rPr>
            </w:pPr>
            <w:r>
              <w:rPr>
                <w:sz w:val="20"/>
              </w:rPr>
              <w:t>&lt;/span&gt;&lt;/p&gt;&lt;p class="Textbody" style="margin-top: 0cm; margin-right: 0cm; margin- bottom: 6.0pt; margin-left: 4.0cm; text-align: justify; text-justify: inter-ideograph; line-height: 150%;"&gt;  &lt;span style="font-size: medium;"&gt;</w:t>
              <w:tab/>
              <w:t>&lt;span style="font-family: &amp;quot;times new roman&amp;quot;, times;"&gt;</w:t>
              <w:tab/>
              <w:t>&lt;em&gt;Art. 3° Fornecedor é toda pessoa física ou jurídica, pública ou privada, nacional ou estrangeira, bem como os entes despersonalizados, que desenvolvem atividade de produção, montagem, criação, construção, transformação, importação, exportação, distribuição ou comercialização de produtos ou prestação de serviços.&lt;/em&gt;</w:t>
              <w:tab/>
              <w:t>&lt;/span&gt; &lt;/span&gt;&lt;/p&gt;&lt;p class="Textbody" style="margin-top: 0cm; margin-right: 0cm; margin-bottom: 6.0pt; margin-left: 4.0cm; text-align: justify; text-justify: inter-ideograph; line-height: 150%;"&gt;  &lt;span style="font-size: medium;"&gt;</w:t>
              <w:tab/>
              <w:t>&lt;span style="font-family: &amp;quot;times new roman&amp;quot;, times;"&gt;</w:t>
              <w:tab/>
              <w:t>&lt;em&gt;§ 1° Produto é qualquer bem, móvel ou imóvel, material ou imaterial.&lt;/em&gt;</w:t>
              <w:tab/>
              <w:tab/>
              <w:t>&lt;/span&gt; &lt;/span&gt;&lt;/p&gt;&lt;p class="Standard" style="margin-top: 0cm; margin-right: 0cm; margin-bottom: 6.0pt; </w:t>
            </w:r>
            <w:r>
              <w:rPr>
                <w:spacing w:val="-3"/>
                <w:sz w:val="20"/>
              </w:rPr>
              <w:t>margin- </w:t>
            </w:r>
            <w:r>
              <w:rPr>
                <w:sz w:val="20"/>
              </w:rPr>
              <w:t>left: 4.0cm; text-align: justify; text-justify: inter-ideograph; line-height: 150%;"&gt; &lt;span style="font-size: medium;"&gt;</w:t>
              <w:tab/>
              <w:t>&lt;span style="font-family: &amp;quot;times new roman&amp;quot;, times;"&gt;&amp;#160;&lt;/span&gt; &lt;/span&gt;&lt;/p&gt;&lt;p class="Standard" style="margin-bottom: 6.0pt; text-align: justify; text-justify: inter-ideograph; text-indent: 2.0cm; line-height: 150%;"&gt;</w:t>
            </w:r>
          </w:p>
          <w:p>
            <w:pPr>
              <w:pStyle w:val="TableParagraph"/>
              <w:spacing w:line="208" w:lineRule="auto" w:before="0"/>
              <w:ind w:right="1121"/>
              <w:jc w:val="both"/>
              <w:rPr>
                <w:sz w:val="20"/>
              </w:rPr>
            </w:pPr>
            <w:r>
              <w:rPr>
                <w:sz w:val="20"/>
              </w:rPr>
              <w:t>&lt;span style="font-size: medium;"&gt; &lt;span style="font-family: &amp;quot;times new roman&amp;quot;, times;"&gt;Dessume-se disso as seguintes consequências legais: a necessidade de &lt;strong&gt;inversão do ônus da prova&lt;/strong&gt; e a</w:t>
            </w:r>
          </w:p>
          <w:p>
            <w:pPr>
              <w:pStyle w:val="TableParagraph"/>
              <w:tabs>
                <w:tab w:pos="6889" w:val="left" w:leader="none"/>
              </w:tabs>
              <w:spacing w:line="208" w:lineRule="auto" w:before="0"/>
              <w:ind w:right="18"/>
              <w:rPr>
                <w:sz w:val="20"/>
              </w:rPr>
            </w:pPr>
            <w:r>
              <w:rPr>
                <w:sz w:val="20"/>
              </w:rPr>
              <w:t>&lt;strong&gt;responsabilidade objetiva do prestador de serviços&lt;/strong&gt;, conforme disposto nos artigos 6º e 14 do Código de Defesa do Consumidor.&lt;/span&gt; &lt;/span&gt;&lt;/p&gt;&lt;p class="Standard" style="margin-bottom: 6.0pt; text-align: justify; text-justify: inter-ideograph; text-indent: 2.0cm; line-height: 150%;"&gt;  &lt;span style="font-size: medium;"&gt;</w:t>
              <w:tab/>
              <w:t>&lt;span style="font-family: &amp;quot;times new roman&amp;quot;, times;"&gt;Especificamente quanto à responsabilidade civil do fornecedor, incide a norma do caput do art. 14 do CDC:&lt;/span&gt;</w:t>
            </w:r>
          </w:p>
          <w:p>
            <w:pPr>
              <w:pStyle w:val="TableParagraph"/>
              <w:tabs>
                <w:tab w:pos="6645" w:val="left" w:leader="none"/>
              </w:tabs>
              <w:spacing w:line="208" w:lineRule="auto" w:before="0"/>
              <w:ind w:right="68"/>
              <w:rPr>
                <w:sz w:val="20"/>
              </w:rPr>
            </w:pPr>
            <w:r>
              <w:rPr>
                <w:sz w:val="20"/>
              </w:rPr>
              <w:t>&lt;/span&gt;&lt;/p&gt;&lt;p class="Standard" style="margin-bottom: 6.0pt; text-align: justify; </w:t>
            </w:r>
            <w:r>
              <w:rPr>
                <w:spacing w:val="-2"/>
                <w:sz w:val="20"/>
              </w:rPr>
              <w:t>text-justify: </w:t>
            </w:r>
            <w:r>
              <w:rPr>
                <w:sz w:val="20"/>
              </w:rPr>
              <w:t>inter-ideograph; line-height: 150%;"&gt;  &lt;span style="font-size: medium;"&gt;</w:t>
              <w:tab/>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94" w:val="left" w:leader="none"/>
                <w:tab w:pos="1216" w:val="left" w:leader="none"/>
                <w:tab w:pos="2682" w:val="left" w:leader="none"/>
                <w:tab w:pos="3163" w:val="left" w:leader="none"/>
              </w:tabs>
              <w:spacing w:line="208" w:lineRule="auto" w:before="26"/>
              <w:ind w:right="30"/>
              <w:rPr>
                <w:sz w:val="20"/>
              </w:rPr>
            </w:pPr>
            <w:r>
              <w:rPr>
                <w:sz w:val="20"/>
              </w:rPr>
              <w:t>style="font-family: &amp;quot;times new roman&amp;quot;, times;"&gt;&amp;#160;&lt;/span&gt; &lt;/span&gt;&lt;/p&gt;&lt;p class="Standard" style="margin-top: 0cm; margin-right: 0cm; margin-bottom: 6.0pt; margin- left: 4.0cm; text-align: justify; text-justify: inter-ideograph; line-height: 150%;"&gt; &lt;span style="font-size: medium;"&gt;</w:t>
              <w:tab/>
              <w:t>&lt;span style="font-family: &amp;quot;times new roman&amp;quot;, times;"&gt;</w:t>
              <w:tab/>
              <w:t>&lt;em&gt;Art. 14. O fornecedor de serviços responde, independentemente da existência de culpa, pela reparação dos danos causados aos consumidores por defeitos relativos à prestação dos serviços, bem como por informações insuficientes ou inadequada sobre sua fruição e riscos.&lt;/em&gt;</w:t>
              <w:tab/>
              <w:t>&lt;/span&gt; &lt;/span&gt;&lt;/p&gt;&lt;p class="Standard" style="margin-top: 0cm; margin-right: 0cm; margin-bottom: 6.0pt; margin-left: 4.0cm; text- align: justify; text-justify: inter-ideograph; line-height: 150%;"&gt; &lt;span style="font-size: medium;"&gt;</w:t>
              <w:tab/>
              <w:tab/>
              <w:t>&lt;span style="font-family: &amp;quot;times new roman&amp;quot;, times;"&gt;&amp;#160;&lt;/span&gt; &lt;/span&gt;&lt;/p&gt;&lt;p class="Standard" style="margin-bottom: 6.0pt;</w:t>
            </w:r>
          </w:p>
          <w:p>
            <w:pPr>
              <w:pStyle w:val="TableParagraph"/>
              <w:spacing w:line="190" w:lineRule="exact" w:before="0"/>
              <w:rPr>
                <w:sz w:val="20"/>
              </w:rPr>
            </w:pPr>
            <w:r>
              <w:rPr>
                <w:sz w:val="20"/>
              </w:rPr>
              <w:t>text-align: justify; text-justify: inter-ideograph; text-indent: 2.0cm; line-height: 150%;"&gt;</w:t>
            </w:r>
          </w:p>
          <w:p>
            <w:pPr>
              <w:pStyle w:val="TableParagraph"/>
              <w:tabs>
                <w:tab w:pos="1629" w:val="left" w:leader="none"/>
                <w:tab w:pos="2682" w:val="left" w:leader="none"/>
                <w:tab w:pos="3288" w:val="left" w:leader="none"/>
                <w:tab w:pos="3430" w:val="left" w:leader="none"/>
                <w:tab w:pos="5844" w:val="left" w:leader="none"/>
                <w:tab w:pos="6773" w:val="left" w:leader="none"/>
                <w:tab w:pos="6833" w:val="left" w:leader="none"/>
                <w:tab w:pos="6889" w:val="left" w:leader="none"/>
              </w:tabs>
              <w:spacing w:line="208" w:lineRule="auto" w:before="10"/>
              <w:ind w:right="18"/>
              <w:rPr>
                <w:sz w:val="20"/>
              </w:rPr>
            </w:pPr>
            <w:r>
              <w:rPr>
                <w:sz w:val="20"/>
              </w:rPr>
              <w:t>&lt;span style="font-size: medium;"&gt;</w:t>
              <w:tab/>
              <w:t>&lt;span style="font-family: &amp;quot;times new roman&amp;quot;, times;"&gt;Em outras palavras, para a caracterização da responsabilidade civil objetiva, é necessária apenas a demonstração do ato ilícito, do dano e do nexo de causalidade entre ambos, sendo dispensada a aferição do elemento subjetivo (dolo ou culpa), exceto se configuradas as hipóteses excludentes previstas nos incisos I e II do § 3° do art. 14 do CDC, quais sejam: tendo o fornecedor prestado o serviço, o defeito inexiste; a culpa exclusiva do consumidor ou de terceiros.&lt;/span&gt; &lt;/span&gt;&lt;/p&gt;&lt;p class="Standard" style="margin-bottom: 6.0pt; text-align: justify; text-justify: inter-ideograph; text-indent: 2.0cm; line-height: 150%;"&gt;  &lt;span style="font-size: medium;"&gt;</w:t>
              <w:tab/>
              <w:t>&lt;span style="font-family: &amp;quot;times new roman&amp;quot;, times;"&gt;Compulsando os autos, verifica-se que no Contrato Particular de Promessa de Compra e Venda de id. 28795783, não há previsão contratual para a realização da cobrança denominada de "taxa de evolução de obra" que deveria estar clara e expressamente prevista no contrato, à luz do disposto no artigo 6º, inciso III, do Código de Defesa do Consumidor, sob pena de falha no dever de informação por parte do fornecedor.&lt;/span&gt; &lt;/span&gt;&lt;/p&gt;&lt;p class="Standard" style="margin-bottom: 6.0pt; text- align: justify; text-justify: inter-ideograph; text-indent: 2.0cm; line-height: 150%;"&gt; &lt;span style="font-size: medium;"&gt;</w:t>
              <w:tab/>
              <w:t>&lt;span style="font-family: &amp;quot;times new roman&amp;quot;, times;"&gt;Assim, da análise do conjunto probatório não é possível concluir que foram prestadas informações claras e adequadas ao consumidor, sobretudo por se tratar de um contrato de adesão, no qual as cláusulas não são discutidas entre as partes. Ademais, a interpretação das cláusulas contratuais deve ser realizada de maneira mais favorável ao consumidor, nos moldes do artigo. 47 da Lei Consumerista.&lt;/span&gt; &lt;/span&gt;&lt;/p&gt;&lt;p class="Standard" style="margin-bottom: 6.0pt; text-align: justify; text-justify: inter-ideograph; text-indent: 2.0cm; line-height: 150%;"&gt;  &lt;span style="font-size: medium;"&gt;</w:t>
              <w:tab/>
              <w:tab/>
              <w:tab/>
              <w:t>&lt;span style="font-family: &amp;quot;times new roman&amp;quot;, times;"&gt;As alegações autorais, portanto, restaram provadas, caracterizando-se os elementos gerais da responsabilidade civil, quais sejam, a conduta, o nexo de causalidade e o dano.&lt;/span&gt; &lt;/span&gt;&lt;/p&gt;&lt;p class="Standard" style="margin-bottom: 6.0pt; text-align: justify; text-justify: inter-ideograph; text-indent: 2.0cm; line-height: 150%;"&gt;  &lt;span style="font-size: medium;"&gt;</w:t>
              <w:tab/>
              <w:tab/>
              <w:tab/>
              <w:t>&lt;span style="font-family: &amp;quot;times new roman&amp;quot;, times;"&gt;Por outro lado,</w:t>
              <w:tab/>
              <w:t>&lt;span style="text-decoration: underline;"&gt;a construtora requerida não juntou aos autos o suposto contrato firmado entre as partes que previsse a obrigação&lt;/span&gt;, ônus que lhe competia, nos termos do Art. 373, II, do CPC,</w:t>
              <w:tab/>
              <w:tab/>
              <w:t>&lt;strong&gt;não demonstrando, assim, a existência de fato impeditivo do direito do autor.&lt;/strong&gt;&lt;/span&gt; &lt;/span&gt;&lt;/p&gt;&lt;p class="Standard" style="margin-bottom: 6.0pt; text-align: justify; text-justify: inter-ideograph; text-indent: 2.0cm; line-height: 150%;"&gt;  &lt;span style="font-size: medium;"&gt;</w:t>
              <w:tab/>
              <w:t>&lt;span style="font-family: &amp;quot;times new roman&amp;quot;, times;"&gt;Ressalte-se, ainda, que da análise dos elementos probatórios constantes nos autos, verifica-se que houve atraso na entrega do imóvel, considerando que o prazo contratual para conclusão estava fixado para o</w:t>
              <w:tab/>
              <w:tab/>
              <w:t>&lt;strong&gt;dia 31/10/2015&lt;/strong&gt;. Todavia, mesmo após a efetiva entrega das chaves e a imissão na posse do bem,</w:t>
              <w:tab/>
              <w:t>&lt;strong&gt;ocorrida apenas em março de 2016&lt;/strong&gt;, a requerida manteve a cobrança da denominada “taxa de evolução de obra”, conforme demonstram os documentos acostados ao id. 28795784.&lt;/span&gt; &lt;/span&gt;&lt;/p&gt;&lt;p class="Standard" style="margin-bottom: 5.95pt; text-align: justify; text-justify: inter-ideograph; text-indent: 2.0cm; line-height: 150%; tab-stops: right 425.2pt;"&gt; &lt;span style="font-size: medium;"&gt;</w:t>
            </w:r>
          </w:p>
          <w:p>
            <w:pPr>
              <w:pStyle w:val="TableParagraph"/>
              <w:spacing w:line="187" w:lineRule="exact" w:before="0"/>
              <w:rPr>
                <w:sz w:val="20"/>
              </w:rPr>
            </w:pPr>
            <w:r>
              <w:rPr>
                <w:sz w:val="20"/>
              </w:rPr>
              <w:t>&lt;span style="font-family: &amp;quot;times new roman&amp;quot;, times;"&gt;Cumpre esclarecer que,</w:t>
            </w:r>
          </w:p>
          <w:p>
            <w:pPr>
              <w:pStyle w:val="TableParagraph"/>
              <w:tabs>
                <w:tab w:pos="1550" w:val="left" w:leader="none"/>
                <w:tab w:pos="3395" w:val="left" w:leader="none"/>
                <w:tab w:pos="4518" w:val="left" w:leader="none"/>
              </w:tabs>
              <w:spacing w:line="208" w:lineRule="auto" w:before="9"/>
              <w:ind w:right="141"/>
              <w:rPr>
                <w:sz w:val="20"/>
              </w:rPr>
            </w:pPr>
            <w:r>
              <w:rPr>
                <w:sz w:val="20"/>
              </w:rPr>
              <w:t>&lt;a id="_Hlk129009785_Copia_1" name="_Hlk129009785_Copia_1"&gt;consoante entendimento firmado no âmbito do Superior Tribunal de Justiça, através do Tema 996 </w:t>
            </w:r>
            <w:r>
              <w:rPr>
                <w:spacing w:val="-9"/>
                <w:sz w:val="20"/>
              </w:rPr>
              <w:t>do </w:t>
            </w:r>
            <w:r>
              <w:rPr>
                <w:sz w:val="20"/>
              </w:rPr>
              <w:t>STJ&amp;#160;&lt;/a&gt;&lt;/span&gt; &lt;/span&gt; &lt;a id="_Hlk129009785_Copia_1" name="_Hlk129009785_Copia_1"&gt;</w:t>
              <w:tab/>
              <w:t>&lt;strong&gt;</w:t>
              <w:tab/>
              <w:t>&lt;span style="text-decoration: underline;"&gt;</w:t>
              <w:tab/>
              <w:t>&lt;span style="font-size: medium;"&gt;é ilícito cobrar do adquirente juros de obra ou outro encargo equivalente, após o prazo ajustado no contrato para a entrega das chaves da unidade autônoma, incluído o período de tolerância” (REsp nº 1.729.593/SP, relator Ministro Marco Aurélio Bellizze, Segunda Seção, DJe de 27/9/2019)&lt;/span&gt;</w:t>
            </w:r>
          </w:p>
          <w:p>
            <w:pPr>
              <w:pStyle w:val="TableParagraph"/>
              <w:tabs>
                <w:tab w:pos="985" w:val="left" w:leader="none"/>
              </w:tabs>
              <w:spacing w:line="208" w:lineRule="auto" w:before="0"/>
              <w:ind w:right="613"/>
              <w:rPr>
                <w:sz w:val="20"/>
              </w:rPr>
            </w:pPr>
            <w:r>
              <w:rPr>
                <w:sz w:val="20"/>
              </w:rPr>
              <w:t>&lt;/span&gt;</w:t>
              <w:tab/>
              <w:t>&lt;/strong&gt; &lt;/a&gt;&lt;/p&gt;&lt;p class="MsoNormal" style="text- align:justify"&gt;&amp;#160;&lt;/p&gt;&lt;p class="Standard" style="margin-bottom: 6.0pt; text-align: justify; text-justify: inter-ideograph; text-indent: 2.0cm; line-height: 150%;"&gt;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0174173-31.2018.8.06.0001</w:t>
            </w:r>
          </w:p>
        </w:tc>
      </w:tr>
      <w:tr>
        <w:trPr>
          <w:trHeight w:val="13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682" w:val="left" w:leader="none"/>
                <w:tab w:pos="5844" w:val="left" w:leader="none"/>
              </w:tabs>
              <w:spacing w:line="208" w:lineRule="auto" w:before="26"/>
              <w:ind w:right="52"/>
              <w:rPr>
                <w:sz w:val="20"/>
              </w:rPr>
            </w:pPr>
            <w:r>
              <w:rPr>
                <w:sz w:val="20"/>
              </w:rPr>
              <w:t>style="font-size: medium;"&gt;</w:t>
              <w:tab/>
              <w:t>&lt;span style="font-family: &amp;quot;times new roman&amp;quot;, times;"&gt;Dessa forma, verifica-se que agiu com acerto o magistrado a quo ao reconhecer a ilegalidade da cobrança da mencionada taxa, uma vez que a cobrança se revela ilegal por um duplo motivo: primeiramente, pela ausência de previsão contratual clara, violando o dever de informação; e, em segundo lugar, por ter persistido mesmo após o prazo final para a entrega do imóvel, contrariando o entendimento vinculante do STJ no Tema 996.&lt;/span&gt; &lt;/span&gt;&lt;/p&gt;&lt;p class="Textbody" style="margin-bottom: 5.95pt; text-align: justify; text-justify: inter-ideograph; text-indent: 2.0cm; line-height: 150%;"&gt; &lt;span style="font-size: medium;"&gt;</w:t>
              <w:tab/>
              <w:t>&lt;span style="font-family: &amp;quot;times new roman&amp;quot;, times;"&gt;Além disso, observa-se falha no dever de informação, pois o consumidor não foi previamente informado, no momento da assinatura do contrato de compra e venda, </w:t>
            </w:r>
            <w:r>
              <w:rPr>
                <w:spacing w:val="-3"/>
                <w:sz w:val="20"/>
              </w:rPr>
              <w:t>acerca </w:t>
            </w:r>
            <w:r>
              <w:rPr>
                <w:sz w:val="20"/>
              </w:rPr>
              <w:t>da obrigatoriedade e dos valores referentes à taxa de evolução de obra, o que compromete sua validade e exigibilidade.&lt;/span&gt; &lt;/span&gt;&lt;/p&gt;&lt;p class="Standard" style="margin-bottom: 5.95pt; text-align: justify; text-justify: inter-ideograph; text-indent: 2.0cm; line-height: 150%;"&gt;  &lt;span style="font-size: medium;"&gt;</w:t>
              <w:tab/>
              <w:t>&lt;span style="font-family: &amp;quot;times new roman&amp;quot;, times;"&gt;No que concerne à repetição do indébito, observa- se que o Superior Tribunal de Justiça, no julgamento do EAREsp 676.608/RS, definiu a tese de que a restituição em dobro do indébito independe da natureza do elemento volitivo do fornecedor que cobrou o valor indevido, prescindindo, assim, da comprovação da má- fé. Porém, houve modulação dos efeitos da decisão para que o entendimento nela fixado se aplique somente às cobranças realizadas após a data da publicação do acórdão paradigma.&lt;/span&gt; &lt;/span&gt;&lt;/p&gt;&lt;p class="Standard" style="margin-bottom: 5.95pt; text- align: justify; text-justify: inter-ideograph; text-indent: 2.0cm; line-height: 150%;"&gt; &lt;span style="font-size: medium;"&gt;</w:t>
              <w:tab/>
              <w:t>&lt;span style="font-family: &amp;quot;times new roman&amp;quot;, times;"&gt;Assim, a parte consumidora não precisa comprovar que o fornecedor do serviço agiu com má-fé, cabendo a restituição em dobro para os casos de indébito ocorridos a partir de 30 de março de 2021 (data da publicação do referido acórdão).&lt;/span&gt;</w:t>
            </w:r>
          </w:p>
          <w:p>
            <w:pPr>
              <w:pStyle w:val="TableParagraph"/>
              <w:tabs>
                <w:tab w:pos="1216" w:val="left" w:leader="none"/>
              </w:tabs>
              <w:spacing w:line="208" w:lineRule="auto" w:before="0"/>
              <w:ind w:right="420"/>
              <w:rPr>
                <w:sz w:val="20"/>
              </w:rPr>
            </w:pPr>
            <w:r>
              <w:rPr>
                <w:sz w:val="20"/>
              </w:rPr>
              <w:t>&lt;/span&gt;&lt;/p&gt;&lt;p class="Standard" style="margin-bottom: 5.95pt; text-align: justify; text- justify: inter-ideograph; text-indent: 2.0cm; line-height: 150%;"&gt; &lt;span style="font-size: medium;"&gt;</w:t>
              <w:tab/>
              <w:t>&lt;span style="font-family: &amp;quot;times new roman&amp;quot;, times;"&gt;</w:t>
            </w:r>
          </w:p>
          <w:p>
            <w:pPr>
              <w:pStyle w:val="TableParagraph"/>
              <w:spacing w:line="208" w:lineRule="auto" w:before="0"/>
              <w:ind w:right="179"/>
              <w:rPr>
                <w:sz w:val="20"/>
              </w:rPr>
            </w:pPr>
            <w:r>
              <w:rPr>
                <w:sz w:val="20"/>
              </w:rPr>
              <w:t>&lt;strong&gt;Portanto, determino que o réu restitua de forma simples os valores cobrados até março/2021 e, a partir da referida data, na forma dobrada, determinando que sejam acrescidos de correção monetária pelo INPC a partir de cada cobrança indevida (súmula nº 43, do STJ) e juros de mora desde a citação (art. 405, do Código Civil).&lt;/strong&gt;</w:t>
            </w:r>
          </w:p>
          <w:p>
            <w:pPr>
              <w:pStyle w:val="TableParagraph"/>
              <w:tabs>
                <w:tab w:pos="1216" w:val="left" w:leader="none"/>
              </w:tabs>
              <w:spacing w:line="208" w:lineRule="auto" w:before="0"/>
              <w:ind w:right="27"/>
              <w:rPr>
                <w:sz w:val="20"/>
              </w:rPr>
            </w:pPr>
            <w:r>
              <w:rPr>
                <w:sz w:val="20"/>
              </w:rPr>
              <w:t>&lt;/span&gt; &lt;/span&gt;&lt;/p&gt;&lt;p class="Textbody" style="margin-bottom: 5.95pt; text-align: justify; text-justify: inter-ideograph; text-indent: 2.0cm; line-height: 150%;"&gt; &lt;span style="font-size: medium;"&gt;</w:t>
              <w:tab/>
              <w:t>&lt;span style="font-family: &amp;quot;times new roman&amp;quot;, times;"&gt;&amp;#160;&lt;/span&gt; &lt;/span&gt;&lt;/p&gt;&lt;p class="Standard" style="margin-bottom: 5.95pt; text-align: center; line-height: 150%;" align="center"&gt; &lt;span style="font-size: medium;"&gt;</w:t>
            </w:r>
          </w:p>
          <w:p>
            <w:pPr>
              <w:pStyle w:val="TableParagraph"/>
              <w:spacing w:line="190" w:lineRule="exact" w:before="0"/>
              <w:rPr>
                <w:sz w:val="20"/>
              </w:rPr>
            </w:pPr>
            <w:r>
              <w:rPr>
                <w:sz w:val="20"/>
              </w:rPr>
              <w:t>&lt;span style="font-family: &amp;quot;times new roman&amp;quot;, times;"&gt;</w:t>
            </w:r>
          </w:p>
          <w:p>
            <w:pPr>
              <w:pStyle w:val="TableParagraph"/>
              <w:tabs>
                <w:tab w:pos="1251" w:val="left" w:leader="none"/>
                <w:tab w:pos="2682" w:val="left" w:leader="none"/>
                <w:tab w:pos="3174" w:val="left" w:leader="none"/>
                <w:tab w:pos="3663" w:val="left" w:leader="none"/>
                <w:tab w:pos="3929" w:val="left" w:leader="none"/>
                <w:tab w:pos="6864" w:val="left" w:leader="none"/>
              </w:tabs>
              <w:spacing w:line="208" w:lineRule="auto" w:before="7"/>
              <w:ind w:right="41"/>
              <w:rPr>
                <w:sz w:val="20"/>
              </w:rPr>
            </w:pPr>
            <w:r>
              <w:rPr>
                <w:sz w:val="20"/>
              </w:rPr>
              <w:t>&lt;strong&gt;DISPOSITIVO&lt;/strong&gt;</w:t>
              <w:tab/>
              <w:t>&lt;/span&gt; &lt;/span&gt;&lt;/p&gt;&lt;p class="Standard" style="margin-top: 6.0pt; margin-right: 0cm; margin-bottom: 6.0pt; margin-left: 0cm; text- align: justify; text-justify: inter-ideograph; text-indent: 2.0cm; line-height: 150%;"&gt; &lt;span style="font-size: medium;"&gt;</w:t>
              <w:tab/>
              <w:t>&lt;span style="font-family: &amp;quot;times new roman&amp;quot;, times;"&gt;Ante o exposto e fundamentado,</w:t>
              <w:tab/>
              <w:tab/>
              <w:t>&lt;strong&gt;CONHEÇO&lt;/strong&gt;</w:t>
              <w:tab/>
              <w:t>&lt;strong&gt;DO RECURSO&lt;/strong&gt; da construtora e</w:t>
              <w:tab/>
              <w:t>&lt;strong&gt;DOU-LHE PARCIAL PROVIMENTO&lt;/strong&gt; para determinar a repetição simples dos valores cobrados a título de taxa de evolução de obra até março/2021 e, a partir da referida data, na forma </w:t>
            </w:r>
            <w:r>
              <w:rPr>
                <w:spacing w:val="-3"/>
                <w:sz w:val="20"/>
              </w:rPr>
              <w:t>dobrada, </w:t>
            </w:r>
            <w:r>
              <w:rPr>
                <w:sz w:val="20"/>
              </w:rPr>
              <w:t>devendo a</w:t>
              <w:tab/>
              <w:t>&lt;strong&gt;apuração exata dos valores ocorrer na fase de liquidação da sentença&lt;/strong&gt;.&lt;/span&gt; &lt;/span&gt;&lt;/p&gt;&lt;p style="text-indent: 8%; text-align: justify;"&gt;</w:t>
            </w:r>
          </w:p>
          <w:p>
            <w:pPr>
              <w:pStyle w:val="TableParagraph"/>
              <w:tabs>
                <w:tab w:pos="1327" w:val="left" w:leader="none"/>
                <w:tab w:pos="2905" w:val="left" w:leader="none"/>
                <w:tab w:pos="2984" w:val="left" w:leader="none"/>
                <w:tab w:pos="3288" w:val="left" w:leader="none"/>
                <w:tab w:pos="3929" w:val="left" w:leader="none"/>
                <w:tab w:pos="4799" w:val="left" w:leader="none"/>
                <w:tab w:pos="5477" w:val="left" w:leader="none"/>
                <w:tab w:pos="6649" w:val="left" w:leader="none"/>
                <w:tab w:pos="7186" w:val="left" w:leader="none"/>
              </w:tabs>
              <w:spacing w:line="208" w:lineRule="auto" w:before="0"/>
              <w:ind w:right="58"/>
              <w:rPr>
                <w:sz w:val="20"/>
              </w:rPr>
            </w:pPr>
            <w:r>
              <w:rPr>
                <w:sz w:val="20"/>
              </w:rPr>
              <w:t>&lt;span style="font-size: medium;"&gt;</w:t>
              <w:tab/>
              <w:t>&lt;span style="font-size: medium;"&gt;</w:t>
              <w:tab/>
              <w:t>&lt;span style="font-size: medium;"&gt;</w:t>
              <w:tab/>
              <w:t>&lt;span style="font-family: &amp;quot;times new roman&amp;quot;, times;"&gt;É como voto.&lt;/span&gt;</w:t>
              <w:tab/>
              <w:tab/>
              <w:t>&lt;/span&gt;</w:t>
              <w:tab/>
              <w:t>&lt;/span&gt; &lt;/span&gt;&lt;/p&gt;&lt;p style="text-indent: 8%; text-align: justify;"&gt;  &lt;span style="font-size: medium;"&gt;</w:t>
              <w:tab/>
              <w:t>&lt;span style="font-size: medium;"&gt;</w:t>
              <w:tab/>
              <w:t>&lt;span style="font-size: medium;"&gt;</w:t>
              <w:tab/>
              <w:t>&lt;span style="font-family: &amp;quot;times new roman&amp;quot;, times;"&gt;Fortaleza/CE, data registrada no sistema.&lt;/span&gt;</w:t>
              <w:tab/>
              <w:t>&lt;/span&gt;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59"/>
              <w:rPr>
                <w:sz w:val="20"/>
              </w:rPr>
            </w:pPr>
            <w:r>
              <w:rPr>
                <w:sz w:val="20"/>
              </w:rPr>
              <w:t>&lt;/span&gt; &lt;/span&gt;&lt;/p&gt;&lt;p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THALIA ARAUJO FERNANDES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ITAUCARD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CARLA CRISTINA LOPES SCORTECCI - (CE37139-A)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style="font-size: medium;"&gt;</w:t>
            </w:r>
          </w:p>
          <w:p>
            <w:pPr>
              <w:pStyle w:val="TableParagraph"/>
              <w:spacing w:line="190" w:lineRule="exact" w:before="0"/>
              <w:rPr>
                <w:sz w:val="20"/>
              </w:rPr>
            </w:pPr>
            <w:r>
              <w:rPr>
                <w:sz w:val="20"/>
              </w:rPr>
              <w:t>&lt;strong&gt;PROCESSO&lt;/strong&gt;:&amp;#160;0219759-18.2023.8.06.0001 -&amp;#160;APELAÇÃO</w:t>
            </w:r>
          </w:p>
          <w:p>
            <w:pPr>
              <w:pStyle w:val="TableParagraph"/>
              <w:tabs>
                <w:tab w:pos="2440" w:val="left" w:leader="none"/>
                <w:tab w:pos="2794" w:val="left" w:leader="none"/>
                <w:tab w:pos="6557" w:val="left" w:leader="none"/>
              </w:tabs>
              <w:spacing w:line="208" w:lineRule="auto" w:before="8"/>
              <w:ind w:right="109"/>
              <w:rPr>
                <w:sz w:val="20"/>
              </w:rPr>
            </w:pPr>
            <w:r>
              <w:rPr>
                <w:sz w:val="20"/>
              </w:rPr>
              <w:t>CÍVEL (198)&lt;/span&gt;  &lt;/span&gt;&lt;/p&gt;&lt;p&gt;  &lt;span style="font-size: small;"&gt;</w:t>
              <w:tab/>
              <w:t>&lt;span style="font-size: medium;"&gt;</w:t>
              <w:tab/>
              <w:t>&lt;span style="font-size: medium;"&gt;EMBARGANTE: </w:t>
            </w:r>
            <w:r>
              <w:rPr>
                <w:spacing w:val="-4"/>
                <w:sz w:val="20"/>
              </w:rPr>
              <w:t>BANCO </w:t>
            </w:r>
            <w:r>
              <w:rPr>
                <w:sz w:val="20"/>
              </w:rPr>
              <w:t>ITAUCARD S.A.&lt;/span&gt;</w:t>
              <w:tab/>
              <w:t>&lt;/span&gt; &lt;/span&gt;&lt;/p&gt;&lt;p&gt; &lt;span style="font-size: small;"&gt;</w:t>
            </w:r>
          </w:p>
          <w:p>
            <w:pPr>
              <w:pStyle w:val="TableParagraph"/>
              <w:tabs>
                <w:tab w:pos="1683" w:val="left" w:leader="none"/>
                <w:tab w:pos="2794" w:val="left" w:leader="none"/>
                <w:tab w:pos="3400" w:val="left" w:leader="none"/>
                <w:tab w:pos="3841" w:val="left" w:leader="none"/>
                <w:tab w:pos="5043" w:val="left" w:leader="none"/>
                <w:tab w:pos="5788" w:val="left" w:leader="none"/>
                <w:tab w:pos="7275" w:val="left" w:leader="none"/>
              </w:tabs>
              <w:spacing w:line="208" w:lineRule="auto" w:before="0"/>
              <w:ind w:right="55"/>
              <w:rPr>
                <w:sz w:val="20"/>
              </w:rPr>
            </w:pPr>
            <w:r>
              <w:rPr>
                <w:sz w:val="20"/>
              </w:rPr>
              <w:t>&lt;span style="font-size: medium;"&gt;</w:t>
              <w:tab/>
              <w:t>&lt;span style="font-size: medium;"&gt;EMBARGADA: THALIA ARAUJO FERNANDES&lt;/span&gt;</w:t>
              <w:tab/>
              <w:t>&lt;/span&gt; &lt;/span&gt;&lt;/p&gt;&lt;p&gt; &lt;span style="font- size: medium;"&gt;</w:t>
              <w:tab/>
              <w:t>&lt;span style="font-size: medium;"&gt;</w:t>
              <w:tab/>
              <w:t>&lt;br /&gt;</w:t>
              <w:tab/>
              <w:t>&lt;/span&gt; &lt;/span&gt;&lt;/p&gt;&lt;p style="line-height: 1.7999999999999998; text-indent: 56.692913385826756pt; text-align: justify; margin-top: 6pt; margin-bottom: 6pt;" dir="ltr"&gt; &lt;span style="font-size: 12pt; color: #000000; background-color: transparent; font-weight: 700; font-style: normal; font-variant: normal; text-decoration: none; vertical-align: baseline; white-space: pre-wrap;"&gt;</w:t>
              <w:tab/>
              <w:t>&lt;span style="font-size: medium;"&gt;</w:t>
              <w:tab/>
              <w:t>&lt;span style="font-size: medium;"&gt;EMENTA: DIREITO PROCESSUAL CIVIL. EMBARGOS DE DECLARAÇÃO EM AGRAVO INTERNO QUE CONHECEU PARCIALMENTE, E, NA PARTE CONHECIDA, DESPROVEU À </w:t>
            </w:r>
            <w:r>
              <w:rPr>
                <w:spacing w:val="-3"/>
                <w:sz w:val="20"/>
              </w:rPr>
              <w:t>APELAÇÃO </w:t>
            </w:r>
            <w:r>
              <w:rPr>
                <w:sz w:val="20"/>
              </w:rPr>
              <w:t>CÍVEL INTERPOSTA PELO EMBARGADO. INEXISTÊNCIA DE VÍCIOS. TENTATIVA DE REDISCUSSÃO DO MÉRITO. EMBARGOS CONHECIDOS E DESPROVIDOS.&lt;/span&gt;</w:t>
            </w:r>
          </w:p>
          <w:p>
            <w:pPr>
              <w:pStyle w:val="TableParagraph"/>
              <w:spacing w:line="208" w:lineRule="auto" w:before="0"/>
              <w:rPr>
                <w:sz w:val="20"/>
              </w:rPr>
            </w:pPr>
            <w:r>
              <w:rPr>
                <w:sz w:val="20"/>
              </w:rPr>
              <w:t>&lt;/span&gt; &lt;/span&gt;&lt;/p&gt;&lt;p style="line-height: 1.7999999999999998; text-indent: 56.692913385826756pt; text-align: justify; margin-top: 6pt; margin-bottom: 6pt;"</w:t>
            </w:r>
            <w:r>
              <w:rPr>
                <w:spacing w:val="-18"/>
                <w:sz w:val="20"/>
              </w:rPr>
              <w:t> </w:t>
            </w:r>
            <w:r>
              <w:rPr>
                <w:sz w:val="20"/>
              </w:rPr>
              <w:t>dir="ltr"&gt;</w:t>
            </w:r>
          </w:p>
          <w:p>
            <w:pPr>
              <w:pStyle w:val="TableParagraph"/>
              <w:tabs>
                <w:tab w:pos="1551" w:val="left" w:leader="none"/>
                <w:tab w:pos="2473" w:val="left" w:leader="none"/>
                <w:tab w:pos="2794" w:val="left" w:leader="none"/>
                <w:tab w:pos="3618" w:val="left" w:leader="none"/>
                <w:tab w:pos="5833" w:val="left" w:leader="none"/>
                <w:tab w:pos="6553" w:val="left" w:leader="none"/>
              </w:tabs>
              <w:spacing w:line="208" w:lineRule="auto" w:before="0"/>
              <w:ind w:right="120"/>
              <w:rPr>
                <w:sz w:val="20"/>
              </w:rPr>
            </w:pPr>
            <w:r>
              <w:rPr>
                <w:sz w:val="20"/>
              </w:rPr>
              <w:t>&lt;span style="font-size: 12pt; color: #000000; background-color: transparent; font-weight: 700; font-style: normal; font-variant: normal; text-decoration: none; vertical-align: baseline; white-space: pre-wrap;"&gt;</w:t>
              <w:tab/>
              <w:t>&lt;span style="font-size: medium;"&gt;</w:t>
              <w:tab/>
              <w:t>&lt;span style="font-size: medium;"&gt;I. Caso em exame:&lt;/span&gt;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ab/>
              <w:t>&lt;span style="font-size: medium;"&gt;1. Trata-se de </w:t>
            </w:r>
            <w:r>
              <w:rPr>
                <w:spacing w:val="-3"/>
                <w:sz w:val="20"/>
              </w:rPr>
              <w:t>Embargos </w:t>
            </w:r>
            <w:r>
              <w:rPr>
                <w:sz w:val="20"/>
              </w:rPr>
              <w:t>de Declaração visando a reforma de Acórdão proferido pelo Colegiado da Primeira Câmara de Direito Privado quando da apreciação do Agravo Interno, apresentado em Ação de Busca e Apreensão que tramitou perante a 16ª Vara Cível (SEJUD 1º Grau).&lt;/span&gt;</w:t>
              <w:tab/>
              <w:t>&lt;/span&gt; &lt;/span&gt;&lt;/p&gt;&lt;p style="line-height: 1.7999999999999998; text- indent: 56.692913385826756pt; text-align: justify; margin-top: 6pt; margin-bottom: 6pt;"</w:t>
            </w:r>
          </w:p>
          <w:p>
            <w:pPr>
              <w:pStyle w:val="TableParagraph"/>
              <w:tabs>
                <w:tab w:pos="3329" w:val="left" w:leader="none"/>
                <w:tab w:pos="5717" w:val="left" w:leader="none"/>
                <w:tab w:pos="6689" w:val="left" w:leader="none"/>
              </w:tabs>
              <w:spacing w:line="208" w:lineRule="auto" w:before="0"/>
              <w:ind w:right="51"/>
              <w:rPr>
                <w:sz w:val="20"/>
              </w:rPr>
            </w:pPr>
            <w:r>
              <w:rPr>
                <w:sz w:val="20"/>
              </w:rPr>
              <w:t>dir="ltr"&gt; &lt;span style="font-size: 12pt; color: #000000; background-color: transparent; </w:t>
            </w:r>
            <w:r>
              <w:rPr>
                <w:spacing w:val="-4"/>
                <w:sz w:val="20"/>
              </w:rPr>
              <w:t>font- </w:t>
            </w:r>
            <w:r>
              <w:rPr>
                <w:sz w:val="20"/>
              </w:rPr>
              <w:t>weight: 700; font-style: normal; font-variant: normal; text-decoration: none; vertical-align: baseline; white-space: pre-wrap;"&gt;</w:t>
              <w:tab/>
              <w:t>&lt;span style="font-size: medium;"&gt;</w:t>
              <w:tab/>
              <w:t>&lt;span style="font-size: medium;"&gt;II. Questão em discussão:&lt;/span&gt;</w:t>
              <w:tab/>
              <w:t>&lt;/span&gt; &lt;/span&gt;&lt;/p&gt;&lt;p style="line-height: 1.7999999999999998; text-indent: 56.692913385826756pt; text-align: justify; margin-top: 6pt; margin-bottom: 6pt;" dir="ltr"&gt; &lt;span style="font-size: medium;"&gt;</w:t>
            </w:r>
          </w:p>
          <w:p>
            <w:pPr>
              <w:pStyle w:val="TableParagraph"/>
              <w:tabs>
                <w:tab w:pos="3288"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pre-wrap;"&gt;2. No caso dos autos, o Banco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3329" w:val="left" w:leader="none"/>
                <w:tab w:pos="4153" w:val="left" w:leader="none"/>
                <w:tab w:pos="5340" w:val="left" w:leader="none"/>
                <w:tab w:pos="6544" w:val="left" w:leader="none"/>
                <w:tab w:pos="6642" w:val="left" w:leader="none"/>
                <w:tab w:pos="6689" w:val="left" w:leader="none"/>
                <w:tab w:pos="7275" w:val="left" w:leader="none"/>
              </w:tabs>
              <w:spacing w:line="208" w:lineRule="auto" w:before="26"/>
              <w:ind w:right="51"/>
              <w:rPr>
                <w:sz w:val="20"/>
              </w:rPr>
            </w:pPr>
            <w:r>
              <w:rPr>
                <w:sz w:val="20"/>
              </w:rPr>
              <w:t>embargante alegou a existência de&lt;/span&gt;</w:t>
              <w:tab/>
              <w:t>&lt;span style="color: #000000; background- color: transparent; font-weight: 700; font-style: normal; font-variant: normal; text-decoration: none; vertical-align: baseline; white-space: pre-wrap;"&gt;omissão&lt;/span&gt;</w:t>
              <w:tab/>
              <w:tab/>
              <w:t>&lt;span style="color: #000000; background-color: transparent; font-weight: 400; font-style: normal; font-variant: normal; text-decoration: none; vertical-align: baseline; white-space: pre- wrap;"&gt;quanto à legalidade dos encargos moratórios capitalizados previstos no contrato.&lt;/span&gt;&lt;/span&gt; &lt;/span&gt;&lt;/p&gt;&lt;p style="line-height: 1.7999999999999998; text- indent: 56.692913385826756pt; text-align: justify; margin-top: 6pt; margin-bottom: 6pt;" dir="ltr"&gt; &lt;span style="font-size: 12pt; color: #000000; background-color: transparent; </w:t>
            </w:r>
            <w:r>
              <w:rPr>
                <w:spacing w:val="-4"/>
                <w:sz w:val="20"/>
              </w:rPr>
              <w:t>font- </w:t>
            </w:r>
            <w:r>
              <w:rPr>
                <w:sz w:val="20"/>
              </w:rPr>
              <w:t>weight: 700; font-style: normal; font-variant: normal; text-decoration: none; vertical-align: baseline; white-space: pre-wrap;"&gt;</w:t>
              <w:tab/>
              <w:t>&lt;span style="font-size: medium;"&gt;</w:t>
              <w:tab/>
              <w:tab/>
              <w:tab/>
              <w:t>&lt;span style="font-size: medium;"&gt;III. Razões de decidir:&lt;/span&gt;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medium;"&gt;3. A temática contida nos Embargos foi abordada de forma objetiva e exaustiva no Acórdão não sendo possível a rediscussão do julgado para acolher a argumentação da parte.&lt;/span&gt;</w:t>
              <w:tab/>
              <w:t>&lt;/span&gt;</w:t>
            </w:r>
          </w:p>
          <w:p>
            <w:pPr>
              <w:pStyle w:val="TableParagraph"/>
              <w:spacing w:line="208" w:lineRule="auto" w:before="0"/>
              <w:rPr>
                <w:sz w:val="20"/>
              </w:rPr>
            </w:pPr>
            <w:r>
              <w:rPr>
                <w:sz w:val="20"/>
              </w:rPr>
              <w:t>&lt;/span&gt;&lt;/p&gt;&lt;p style="line-height: 1.7999999999999998; text-indent: 56.692913385826756pt; text-align: justify; margin-top: 6pt; margin-bottom: 6pt;"</w:t>
            </w:r>
            <w:r>
              <w:rPr>
                <w:spacing w:val="-18"/>
                <w:sz w:val="20"/>
              </w:rPr>
              <w:t> </w:t>
            </w:r>
            <w:r>
              <w:rPr>
                <w:sz w:val="20"/>
              </w:rPr>
              <w:t>dir="ltr"&gt;</w:t>
            </w:r>
          </w:p>
          <w:p>
            <w:pPr>
              <w:pStyle w:val="TableParagraph"/>
              <w:tabs>
                <w:tab w:pos="2019" w:val="left" w:leader="none"/>
                <w:tab w:pos="2473" w:val="left" w:leader="none"/>
                <w:tab w:pos="2794" w:val="left" w:leader="none"/>
                <w:tab w:pos="3862" w:val="left" w:leader="none"/>
                <w:tab w:pos="5833" w:val="left" w:leader="none"/>
                <w:tab w:pos="6553" w:val="left" w:leader="none"/>
              </w:tabs>
              <w:spacing w:line="208" w:lineRule="auto" w:before="0"/>
              <w:ind w:right="164"/>
              <w:rPr>
                <w:sz w:val="20"/>
              </w:rPr>
            </w:pPr>
            <w:r>
              <w:rPr>
                <w:sz w:val="20"/>
              </w:rPr>
              <w:t>&lt;span style="font-size: 12pt; color: #000000; background-color: transparent; font-weight: 700; font-style: normal; font-variant: normal; text-decoration: none; vertical-align: baseline; white-space: pre-wrap;"&gt;</w:t>
              <w:tab/>
              <w:t>&lt;span style="font-size: medium;"&gt;</w:t>
              <w:tab/>
              <w:t>&lt;span style="font-size: medium;"&gt;IV. Dispositivo e tese:&lt;/span&gt;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ab/>
              <w:t>&lt;span style="font-size: medium;"&gt;Recurso conhecido e desprovido.&lt;/span&gt;</w:t>
              <w:tab/>
              <w:t>&lt;/span&gt; &lt;/span&gt;&lt;/p&gt;&lt;p style="line-height: 1.7999999999999998;</w:t>
            </w:r>
          </w:p>
          <w:p>
            <w:pPr>
              <w:pStyle w:val="TableParagraph"/>
              <w:tabs>
                <w:tab w:pos="3529" w:val="left" w:leader="none"/>
                <w:tab w:pos="4164" w:val="left" w:leader="none"/>
                <w:tab w:pos="7413" w:val="left" w:leader="none"/>
              </w:tabs>
              <w:spacing w:line="208" w:lineRule="auto" w:before="0"/>
              <w:ind w:right="37"/>
              <w:rPr>
                <w:sz w:val="20"/>
              </w:rPr>
            </w:pPr>
            <w:r>
              <w:rPr>
                <w:sz w:val="20"/>
              </w:rPr>
              <w:t>text-indent: 56.692913385826756pt; text-align: justify; margin-top: 6pt; margin-bottom: </w:t>
            </w:r>
            <w:r>
              <w:rPr>
                <w:spacing w:val="-4"/>
                <w:sz w:val="20"/>
              </w:rPr>
              <w:t>6pt;" </w:t>
            </w:r>
            <w:r>
              <w:rPr>
                <w:sz w:val="20"/>
              </w:rPr>
              <w:t>dir="ltr"&gt;  &lt;span style="font-size: medium;"&gt;</w:t>
              <w:tab/>
              <w:t>&lt;span style="font-size: medium;"&gt;</w:t>
              <w:tab/>
              <w:t>&lt;span style="color: #000000; background-color: transparent; font-weight: 700; font-style: normal; font-variant: normal; text-decoration: none; vertical-align: baseline; white-space: pre- wrap;"&gt;Tese de julgamento:&lt;/span&gt;</w:t>
              <w:tab/>
              <w:t>&lt;span style="color: #000000; background-color: transparent; font-weight: 400; font-style: normal; font-variant: normal; text-decoration: </w:t>
            </w:r>
            <w:r>
              <w:rPr>
                <w:spacing w:val="-3"/>
                <w:sz w:val="20"/>
              </w:rPr>
              <w:t>none; </w:t>
            </w:r>
            <w:r>
              <w:rPr>
                <w:sz w:val="20"/>
              </w:rPr>
              <w:t>vertical-align: baseline; white-space: pre-wrap;"&gt;“Inexistência de vícios de omissão, contradição ou obscuridade a serem sanados.”&lt;/span&gt;&lt;/span&gt; &lt;/span&gt;&lt;/p&gt;&lt;p</w:t>
            </w:r>
          </w:p>
          <w:p>
            <w:pPr>
              <w:pStyle w:val="TableParagraph"/>
              <w:spacing w:line="208" w:lineRule="auto" w:before="0"/>
              <w:ind w:right="267"/>
              <w:rPr>
                <w:sz w:val="20"/>
              </w:rPr>
            </w:pPr>
            <w:r>
              <w:rPr>
                <w:sz w:val="20"/>
              </w:rPr>
              <w:t>style="line-height: 1.7999999999999998; text-indent: 56.692913385826756pt; text-align: justify; margin-top: 6pt; margin-bottom: 6pt;" dir="ltr"&gt;  &lt;span style="font-size:</w:t>
            </w:r>
            <w:r>
              <w:rPr>
                <w:spacing w:val="-18"/>
                <w:sz w:val="20"/>
              </w:rPr>
              <w:t> </w:t>
            </w:r>
            <w:r>
              <w:rPr>
                <w:sz w:val="20"/>
              </w:rPr>
              <w:t>medium;"&gt;</w:t>
            </w:r>
          </w:p>
          <w:p>
            <w:pPr>
              <w:pStyle w:val="TableParagraph"/>
              <w:tabs>
                <w:tab w:pos="3288" w:val="left" w:leader="none"/>
              </w:tabs>
              <w:spacing w:line="208" w:lineRule="auto" w:before="0"/>
              <w:ind w:right="42"/>
              <w:rPr>
                <w:sz w:val="20"/>
              </w:rPr>
            </w:pPr>
            <w:r>
              <w:rPr>
                <w:sz w:val="20"/>
              </w:rPr>
              <w:t>&lt;span style="font-size: medium;"&gt;</w:t>
              <w:tab/>
              <w:t>&lt;span style="color: #000000; background-color: transparent; font-weight: 700; font-style: normal; font-variant: normal; text-decoration: </w:t>
            </w:r>
            <w:r>
              <w:rPr>
                <w:spacing w:val="-4"/>
                <w:sz w:val="20"/>
              </w:rPr>
              <w:t>none; </w:t>
            </w:r>
            <w:r>
              <w:rPr>
                <w:sz w:val="20"/>
              </w:rPr>
              <w:t>vertical-align: baseline; white-space: pre-wrap;"&gt;Dispositivos relevantes citados:&lt;/span&gt;</w:t>
            </w:r>
          </w:p>
          <w:p>
            <w:pPr>
              <w:pStyle w:val="TableParagraph"/>
              <w:tabs>
                <w:tab w:pos="2794" w:val="left" w:leader="none"/>
                <w:tab w:pos="6265" w:val="left" w:leader="none"/>
                <w:tab w:pos="7121" w:val="left" w:leader="none"/>
                <w:tab w:pos="7275" w:val="left" w:leader="none"/>
              </w:tabs>
              <w:spacing w:line="208" w:lineRule="auto" w:before="0"/>
              <w:ind w:right="208"/>
              <w:rPr>
                <w:sz w:val="20"/>
              </w:rPr>
            </w:pPr>
            <w:r>
              <w:rPr>
                <w:sz w:val="20"/>
              </w:rPr>
              <w:t>&lt;span style="color: #000000; background-color: transparent; font-weight: 400; font-style: normal; font-variant: normal; text-decoration: none; vertical-align: baseline; white-space: pre-wrap;"&gt;CPC/2015, art. 1.022; CC/2002, art. 368&lt;/span&gt;&lt;/span&gt; &lt;/span&gt;&lt;/p&gt;&lt;p style="line-height: 1.7999999999999998; text-indent: 56.692913385826756pt; text-align: justify; margin-top: 6pt; margin-bottom: 6pt;" dir="ltr"&gt; &lt;span style="font-size: 12pt; color: #000000; background-color: transparent; font-weight: 400; font-style: normal; </w:t>
            </w:r>
            <w:r>
              <w:rPr>
                <w:spacing w:val="-2"/>
                <w:sz w:val="20"/>
              </w:rPr>
              <w:t>font-variant: </w:t>
            </w:r>
            <w:r>
              <w:rPr>
                <w:sz w:val="20"/>
              </w:rPr>
              <w:t>normal; text-decoration: none; vertical-align: baseline; white-space: pre-wrap;"&gt;</w:t>
              <w:tab/>
              <w:tab/>
              <w:t>&lt;span style="font-size: medium;"&gt;</w:t>
              <w:tab/>
              <w:t>&lt;span style="font-size: medium;"&gt;</w:t>
              <w:tab/>
              <w:t>&lt;br /&gt;</w:t>
              <w:tab/>
              <w:t>&lt;/span&gt;</w:t>
            </w:r>
          </w:p>
          <w:p>
            <w:pPr>
              <w:pStyle w:val="TableParagraph"/>
              <w:tabs>
                <w:tab w:pos="2794" w:val="left" w:leader="none"/>
                <w:tab w:pos="7275" w:val="left" w:leader="none"/>
              </w:tabs>
              <w:spacing w:line="208" w:lineRule="auto" w:before="0"/>
              <w:ind w:right="208"/>
              <w:rPr>
                <w:sz w:val="20"/>
              </w:rPr>
            </w:pPr>
            <w:r>
              <w:rPr>
                <w:sz w:val="20"/>
              </w:rPr>
              <w:t>&lt;/span&gt; &lt;/span&gt;&lt;/p&gt;&lt;p style="line-height: 1.7999999999999998; text-align: center; margin-top: 6pt; margin-bottom: 6pt;" dir="ltr"&gt; &lt;span style="font-size: 12pt; color: #000000; background-color: transparent; font-weight: 700; font-style: normal; </w:t>
            </w:r>
            <w:r>
              <w:rPr>
                <w:spacing w:val="-2"/>
                <w:sz w:val="20"/>
              </w:rPr>
              <w:t>font-variant: </w:t>
            </w:r>
            <w:r>
              <w:rPr>
                <w:sz w:val="20"/>
              </w:rPr>
              <w:t>normal; text-decoration: none; vertical-align: baseline; white-space: pre-wrap;"&gt;</w:t>
              <w:tab/>
              <w:t>&lt;span style="font-size: medium;"&gt;</w:t>
              <w:tab/>
              <w:t>&lt;span style="font-size: medium;"&gt;ACÓRDÃO&lt;/span&gt;</w:t>
            </w:r>
          </w:p>
          <w:p>
            <w:pPr>
              <w:pStyle w:val="TableParagraph"/>
              <w:spacing w:line="208" w:lineRule="auto" w:before="0"/>
              <w:rPr>
                <w:sz w:val="20"/>
              </w:rPr>
            </w:pPr>
            <w:r>
              <w:rPr>
                <w:sz w:val="20"/>
              </w:rPr>
              <w:t>&lt;/span&gt; &lt;/span&gt;&lt;/p&gt;&lt;p style="line-height: 1.7999999999999998; text-indent: 56.692913385826756pt; text-align: justify; margin-top: 6pt; margin-bottom: 6pt;"</w:t>
            </w:r>
            <w:r>
              <w:rPr>
                <w:spacing w:val="-18"/>
                <w:sz w:val="20"/>
              </w:rPr>
              <w:t> </w:t>
            </w:r>
            <w:r>
              <w:rPr>
                <w:sz w:val="20"/>
              </w:rPr>
              <w:t>dir="ltr"&gt;</w:t>
            </w:r>
          </w:p>
          <w:p>
            <w:pPr>
              <w:pStyle w:val="TableParagraph"/>
              <w:tabs>
                <w:tab w:pos="2473" w:val="left" w:leader="none"/>
                <w:tab w:pos="3174" w:val="left" w:leader="none"/>
                <w:tab w:pos="5833" w:val="left" w:leader="none"/>
              </w:tabs>
              <w:spacing w:line="208" w:lineRule="auto" w:before="0"/>
              <w:ind w:right="80"/>
              <w:rPr>
                <w:sz w:val="20"/>
              </w:rPr>
            </w:pPr>
            <w:r>
              <w:rPr>
                <w:sz w:val="20"/>
              </w:rPr>
              <w:t>&lt;span style="font-size: 12pt; color: #000000; background-color: transparent; font-weight: 400; font-style: normal; font-variant: normal; text-decoration: none; vertical-align: baseline; white-space: pre-wrap;"&gt;</w:t>
              <w:tab/>
              <w:t>&lt;span style="font-size: medium;"&gt;</w:t>
              <w:tab/>
              <w:t>&lt;span style="font-size: medium;"&gt;Vistos, relatados e discutidos estes autos, acorda a Quinta Câmara de Direito Privado do Tribunal de Justiça do Estado do Ceará, por unanimidade, em conhecer do recurso para NEGAR-LHE PROVIMENTO, nos termos do voto proferido pelo Desembargador Relator.&lt;/span&gt;</w:t>
              <w:tab/>
              <w:t>&lt;/span&gt; &lt;/span&gt;&lt;/p&gt;&lt;p style="line-height: 1.7999999999999998; text-indent: 56.692913385826756pt; text-align: justify; margin-top: 6pt; margin-bottom: 6pt;" dir="ltr"&gt; &lt;span style="font-size: medium; text-indent: 0px; </w:t>
            </w:r>
            <w:r>
              <w:rPr>
                <w:spacing w:val="-3"/>
                <w:sz w:val="20"/>
              </w:rPr>
              <w:t>white- </w:t>
            </w:r>
            <w:r>
              <w:rPr>
                <w:sz w:val="20"/>
              </w:rPr>
              <w:t>space-collapse: preserve;"&gt;Fortaleza, data registrada no sistema.&lt;/span&gt;&lt;/p&gt;&lt;p style="line-height: 1.2; text-indent: 56.692913385826756pt; text-align: center; margin-top: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6553" w:val="left" w:leader="none"/>
              </w:tabs>
              <w:spacing w:line="208" w:lineRule="auto" w:before="26"/>
              <w:ind w:right="81"/>
              <w:rPr>
                <w:sz w:val="20"/>
              </w:rPr>
            </w:pPr>
            <w:r>
              <w:rPr>
                <w:sz w:val="20"/>
              </w:rPr>
              <w:t>6pt; margin-bottom: 6pt;" dir="ltr"&gt; &lt;span style="font-size: 12pt; color: #000000; background-color: transparent; font-weight: 700; font-style: normal; font-variant: normal; text-decoration: none; vertical-align: baseline; white-space: pre-wrap;"&gt;</w:t>
              <w:tab/>
              <w:t>&lt;span style="font-size: medium;"&gt;</w:t>
              <w:tab/>
              <w:t>&lt;span style="font-size: medium;"&gt;MARIA REGINA OLIVEIRA CAMARA&lt;/span&gt;</w:t>
              <w:tab/>
              <w:t>&lt;/span&gt; &lt;/span&gt;&lt;/p&gt;&lt;p style="line-height: 1.2; </w:t>
            </w:r>
            <w:r>
              <w:rPr>
                <w:spacing w:val="-2"/>
                <w:sz w:val="20"/>
              </w:rPr>
              <w:t>text-indent: </w:t>
            </w:r>
            <w:r>
              <w:rPr>
                <w:sz w:val="20"/>
              </w:rPr>
              <w:t>56.692913385826756pt; text-align: center; margin-top: 6pt; margin-bottom: 6pt;" dir="ltr"&gt;</w:t>
            </w:r>
          </w:p>
          <w:p>
            <w:pPr>
              <w:pStyle w:val="TableParagraph"/>
              <w:tabs>
                <w:tab w:pos="2473" w:val="left" w:leader="none"/>
                <w:tab w:pos="4562" w:val="left" w:leader="none"/>
                <w:tab w:pos="4608" w:val="left" w:leader="none"/>
                <w:tab w:pos="5833" w:val="left" w:leader="none"/>
              </w:tabs>
              <w:spacing w:line="208" w:lineRule="auto" w:before="0"/>
              <w:ind w:right="42"/>
              <w:rPr>
                <w:sz w:val="20"/>
              </w:rPr>
            </w:pPr>
            <w:r>
              <w:rPr>
                <w:sz w:val="20"/>
              </w:rPr>
              <w:t>&lt;span style="font-size: 12pt; color: #000000; background-color: transparent; font-weight: 400; font-style: normal; font-variant: normal; text-decoration: none; vertical-align: baseline; white-space: pre-wrap;"&gt;</w:t>
              <w:tab/>
              <w:t>&lt;span style="font-size: medium;"&gt;</w:t>
              <w:tab/>
              <w:t>&lt;span style="font-size: medium;"&gt;Presidente do Órgão Julgador&lt;/span&gt;</w:t>
              <w:tab/>
              <w:tab/>
              <w:t>&lt;/span&gt; &lt;/span&gt;&lt;/p&gt;&lt;p style="line- height: 1.2; text-indent: 56.692913385826756pt; text-align: center; margin-top: 6pt; margin- bottom: 6pt;" dir="ltr"&gt; &lt;span style="font-size: 12pt; color: #000000; background-color: transparent; font-weight: 400; font-style: normal; font-variant: normal; text-decoration: </w:t>
            </w:r>
            <w:r>
              <w:rPr>
                <w:spacing w:val="-4"/>
                <w:sz w:val="20"/>
              </w:rPr>
              <w:t>none; </w:t>
            </w:r>
            <w:r>
              <w:rPr>
                <w:sz w:val="20"/>
              </w:rPr>
              <w:t>vertical-align: baseline; white-space: pre-wrap;"&gt;</w:t>
              <w:tab/>
              <w:t>&lt;span style="font-size: medium;"&gt;</w:t>
            </w:r>
          </w:p>
          <w:p>
            <w:pPr>
              <w:pStyle w:val="TableParagraph"/>
              <w:tabs>
                <w:tab w:pos="3511" w:val="left" w:leader="none"/>
                <w:tab w:pos="4478" w:val="left" w:leader="none"/>
                <w:tab w:pos="5334" w:val="left" w:leader="none"/>
                <w:tab w:pos="6279" w:val="left" w:leader="none"/>
              </w:tabs>
              <w:spacing w:line="190" w:lineRule="exact" w:before="0"/>
              <w:rPr>
                <w:sz w:val="20"/>
              </w:rPr>
            </w:pPr>
            <w:r>
              <w:rPr>
                <w:sz w:val="20"/>
              </w:rPr>
              <w:t>&lt;span style="font-size: medium;"&gt;</w:t>
              <w:tab/>
              <w:t>&lt;br /&gt;</w:t>
              <w:tab/>
              <w:t>&lt;br /&gt;</w:t>
              <w:tab/>
              <w:t>&lt;/span&gt;</w:t>
              <w:tab/>
              <w:t>&lt;/span&gt;</w:t>
            </w:r>
          </w:p>
          <w:p>
            <w:pPr>
              <w:pStyle w:val="TableParagraph"/>
              <w:tabs>
                <w:tab w:pos="2794" w:val="left" w:leader="none"/>
                <w:tab w:pos="3029" w:val="left" w:leader="none"/>
                <w:tab w:pos="3329" w:val="left" w:leader="none"/>
                <w:tab w:pos="4839" w:val="left" w:leader="none"/>
                <w:tab w:pos="6265" w:val="left" w:leader="none"/>
                <w:tab w:pos="6689" w:val="left" w:leader="none"/>
                <w:tab w:pos="7232" w:val="left" w:leader="none"/>
                <w:tab w:pos="7275" w:val="left" w:leader="none"/>
              </w:tabs>
              <w:spacing w:line="208" w:lineRule="auto" w:before="9"/>
              <w:ind w:right="51"/>
              <w:rPr>
                <w:sz w:val="20"/>
              </w:rPr>
            </w:pPr>
            <w:r>
              <w:rPr>
                <w:sz w:val="20"/>
              </w:rPr>
              <w:t>&lt;/span&gt;&lt;/p&gt;&lt;p style="line-height: 1.2; text-indent: 56.692913385826756pt; text-align: center; margin-top: 6pt; margin-bottom: 6pt;" dir="ltr"&gt; &lt;span style="font-size: 12pt; color: #000000; background-color: transparent; font-weight: 700; font-style: normal; font-variant: normal; text-decoration: none; vertical-align: baseline; white-space: pre-wrap;"&gt;</w:t>
              <w:tab/>
              <w:tab/>
              <w:t>&lt;span style="font-size: medium;"&gt;</w:t>
              <w:tab/>
              <w:t>&lt;span style="font-size: medium;"&gt;FRANCISCO LUCÍDIO DE QUEIROZ JÚNIOR&lt;/span&gt;</w:t>
              <w:tab/>
              <w:t>&lt;/span&gt; &lt;/span&gt;&lt;/p&gt;&lt;p style="line-height: 1.2; text- indent: 56.692913385826756pt; text-align: center; margin-top: 6pt; margin-bottom: 6pt;" dir="ltr"&gt; &lt;span style="font-size: 12pt; color: #000000; background-color: transparent; </w:t>
            </w:r>
            <w:r>
              <w:rPr>
                <w:spacing w:val="-4"/>
                <w:sz w:val="20"/>
              </w:rPr>
              <w:t>font- </w:t>
            </w:r>
            <w:r>
              <w:rPr>
                <w:sz w:val="20"/>
              </w:rPr>
              <w:t>weight: 400; font-style: normal; font-variant: normal; text-decoration: none; vertical-align: baseline; white-space: pre-wrap;"&gt;</w:t>
              <w:tab/>
              <w:t>&lt;span style="font-size: medium;"&gt;</w:t>
              <w:tab/>
              <w:t>&lt;span style="font-size: medium;"&gt;Desembargador&lt;/span&gt;</w:t>
              <w:tab/>
              <w:t>&lt;/span&gt; &lt;/span&gt;&lt;/p&gt;&lt;p style="line- height: 1.7999999999999998; text-indent: 56.692913385826756pt; text-align: justify; margin-top: 6pt; margin-bottom: 6pt;" dir="ltr"&gt; &lt;span style="font-size: 12pt; color: #000000; background-color: transparent; font-weight: 400; font-style: italic; font-variant: normal; text-decoration: none; vertical-align: baseline; white-space: pre-wrap;"&gt;</w:t>
              <w:tab/>
              <w:tab/>
              <w:t>&lt;span style="font-size: medium;"&gt;</w:t>
              <w:tab/>
              <w:t>&lt;span style="font-size: medium;"&gt;</w:t>
              <w:tab/>
              <w:t>&lt;br /&gt;</w:t>
              <w:tab/>
              <w:t>&lt;br /&gt;</w:t>
            </w:r>
          </w:p>
          <w:p>
            <w:pPr>
              <w:pStyle w:val="TableParagraph"/>
              <w:tabs>
                <w:tab w:pos="985" w:val="left" w:leader="none"/>
                <w:tab w:pos="2794" w:val="left" w:leader="none"/>
                <w:tab w:pos="7275" w:val="left" w:leader="none"/>
              </w:tabs>
              <w:spacing w:line="208" w:lineRule="auto" w:before="0"/>
              <w:ind w:right="192"/>
              <w:rPr>
                <w:sz w:val="20"/>
              </w:rPr>
            </w:pPr>
            <w:r>
              <w:rPr>
                <w:sz w:val="20"/>
              </w:rPr>
              <w:t>&lt;/span&gt;</w:t>
              <w:tab/>
              <w:t>&lt;/span&gt; &lt;/span&gt;&lt;/p&gt;&lt;p style="line-height: 1.7999999999999998; text-align: center; margin-top: 6pt; margin-bottom: 6pt;" dir="ltr"&gt; &lt;span style="font-size: 12pt; </w:t>
            </w:r>
            <w:r>
              <w:rPr>
                <w:spacing w:val="-3"/>
                <w:sz w:val="20"/>
              </w:rPr>
              <w:t>color: </w:t>
            </w:r>
            <w:r>
              <w:rPr>
                <w:sz w:val="20"/>
              </w:rPr>
              <w:t>#000000; background-color: transparent; font-weight: 700; font-style: normal; font-variant: normal; text-decoration: none; vertical-align: baseline; white-space: pre-wrap;"&gt;</w:t>
              <w:tab/>
              <w:t>&lt;span style="font-size: medium;"&gt;</w:t>
              <w:tab/>
              <w:t>&lt;span style="font-size: medium;"&gt;RELATÓRIO&lt;/span&gt;</w:t>
            </w:r>
          </w:p>
          <w:p>
            <w:pPr>
              <w:pStyle w:val="TableParagraph"/>
              <w:tabs>
                <w:tab w:pos="1216" w:val="left" w:leader="none"/>
                <w:tab w:pos="4465" w:val="left" w:leader="none"/>
              </w:tabs>
              <w:spacing w:line="208" w:lineRule="auto" w:before="0"/>
              <w:ind w:right="76"/>
              <w:rPr>
                <w:sz w:val="20"/>
              </w:rPr>
            </w:pPr>
            <w:r>
              <w:rPr>
                <w:sz w:val="20"/>
              </w:rPr>
              <w:t>&lt;/span&gt; &lt;/span&gt;&lt;/p&gt;&lt;p style="line-height: 1.7999999999999998; text-indent: 57pt; text- align: justify; margin-top: 6pt; margin-bottom: 6pt;" dir="ltr"&gt; &lt;span style="font-size: medium;"&gt;</w:t>
              <w:tab/>
              <w:t>&lt;span style="font-size: medium;"&gt;</w:t>
              <w:tab/>
              <w:t>&lt;span style="color: #000000; background-color: transparent; font-weight: 400; font-style: normal; font-variant: normal; text-decoration: none; vertical-align: baseline; white-space: pre-wrap;"&gt;Trata-se</w:t>
            </w:r>
            <w:r>
              <w:rPr>
                <w:spacing w:val="-17"/>
                <w:sz w:val="20"/>
              </w:rPr>
              <w:t> </w:t>
            </w:r>
            <w:r>
              <w:rPr>
                <w:sz w:val="20"/>
              </w:rPr>
              <w:t>de&lt;/span&gt;</w:t>
            </w:r>
          </w:p>
          <w:p>
            <w:pPr>
              <w:pStyle w:val="TableParagraph"/>
              <w:tabs>
                <w:tab w:pos="1318" w:val="left" w:leader="none"/>
                <w:tab w:pos="2462" w:val="left" w:leader="none"/>
                <w:tab w:pos="3385" w:val="left" w:leader="none"/>
                <w:tab w:pos="4274" w:val="left" w:leader="none"/>
                <w:tab w:pos="4320" w:val="left" w:leader="none"/>
                <w:tab w:pos="4720" w:val="left" w:leader="none"/>
                <w:tab w:pos="5842" w:val="left" w:leader="none"/>
                <w:tab w:pos="6441" w:val="left" w:leader="none"/>
                <w:tab w:pos="6942" w:val="left" w:leader="none"/>
              </w:tabs>
              <w:spacing w:line="208" w:lineRule="auto" w:before="0"/>
              <w:ind w:right="42"/>
              <w:rPr>
                <w:sz w:val="20"/>
              </w:rPr>
            </w:pPr>
            <w:r>
              <w:rPr>
                <w:sz w:val="20"/>
              </w:rPr>
              <w:t>&lt;span style="color: #000000; background-color: transparent; font-weight: 700; font-style: normal; font-variant: normal; text-decoration: none; vertical-align: baseline; white-space: pre-wrap;"&gt;embargos de declaração&lt;/span&gt;</w:t>
              <w:tab/>
              <w:t>&lt;span style="color: #000000; background- color: transparent; font-weight: 400; font-style: normal; font-variant: normal; text-decoration: none; vertical-align: baseline; white-space: pre-wrap;"&gt;opostos por&lt;/span&gt;</w:t>
              <w:tab/>
              <w:t>&lt;span style="color: #000000; background-color: transparent; font-weight: 700; font-style: normal; font-variant: normal; text-decoration: none; vertical-align: baseline; white-space: pre- wrap;"&gt;Banco Itaucard S/A&lt;/span&gt;</w:t>
              <w:tab/>
              <w:t>&lt;span style="color: #000000; background-color: transparent; font-weight: 400; font-style: normal; font-variant: normal; text-decoration: </w:t>
            </w:r>
            <w:r>
              <w:rPr>
                <w:spacing w:val="-4"/>
                <w:sz w:val="20"/>
              </w:rPr>
              <w:t>none; </w:t>
            </w:r>
            <w:r>
              <w:rPr>
                <w:sz w:val="20"/>
              </w:rPr>
              <w:t>vertical-align: baseline; white-space: pre-wrap;"&gt;, em face do&lt;/span&gt;</w:t>
              <w:tab/>
              <w:t>&lt;span style="color: #000000; background-color: transparent; font-weight: 700; font-style: normal; font-variant: normal; text-decoration: none; vertical-align: baseline; white-space: pre- wrap;"&gt;Acórdão&lt;/span&gt;</w:t>
              <w:tab/>
              <w:t>&lt;span style="color: #000000; background-color: transparent; font-weight: 400; font-style: normal; font-variant: normal; text-decoration: none; vertical- align: baseline; white-space: pre-wrap;"&gt;ID 23065270 proferido pela Primeira Câmara de Direito Privado, quando do julgamento do&lt;/span&gt;</w:t>
              <w:tab/>
              <w:t>&lt;span style="color: #000000; background-color: transparent; font-weight: 700; font-style: normal; font-variant: normal; text-decoration: none; vertical-align: baseline; white-space: pre-wrap;"&gt;Agravo Interno em&lt;/span&gt;</w:t>
              <w:tab/>
              <w:t>&lt;span style="color: #000000; background-color: transparent; font-weight: 700; font-style: normal; font-variant: normal; text-decoration: none; vertical-align: baseline; white-space: pre-wrap;"&gt;Ação de Busca e Apreensão,&lt;/span&gt;</w:t>
              <w:tab/>
              <w:t>&lt;span style="color: #000000; background-color: transparent; font-weight: 400; font-style: normal; font-variant: normal; text-decoration: none; vertical-align: baseline; white-space: pre-wrap;"&gt;interposto pelo ora embargante em desfavor de&lt;/span&gt;</w:t>
              <w:tab/>
              <w:tab/>
              <w:t>&lt;span style="color: #000000; background- color: transparent; font-weight: 700; font-style: normal; font-variant: normal; text-decoration: none; vertical-align: baseline; white-space: pre-wrap;"&gt;Thalia Araújo Fernandes,&lt;/span&gt;</w:t>
            </w:r>
          </w:p>
          <w:p>
            <w:pPr>
              <w:pStyle w:val="TableParagraph"/>
              <w:spacing w:line="208" w:lineRule="auto" w:before="0"/>
              <w:ind w:right="292"/>
              <w:rPr>
                <w:sz w:val="20"/>
              </w:rPr>
            </w:pPr>
            <w:r>
              <w:rPr>
                <w:sz w:val="20"/>
              </w:rPr>
              <w:t>&lt;span style="color: #000000; background-color: transparent; font-weight: 400; font-style: normal; font-variant: normal; text-decoration: none; vertical-align: baseline; white-space: pre-wrap;"&gt;ora embargada.&amp;#160;&lt;/span&gt;&lt;/span&gt; &lt;/span&gt;&lt;/p&gt;&lt;p style="line-height: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624" w:val="left" w:leader="none"/>
              </w:tabs>
              <w:spacing w:line="208" w:lineRule="auto" w:before="26"/>
              <w:ind w:right="163"/>
              <w:rPr>
                <w:sz w:val="20"/>
              </w:rPr>
            </w:pPr>
            <w:r>
              <w:rPr>
                <w:sz w:val="20"/>
              </w:rPr>
              <w:t>1.7999999999999998; text-indent: 57pt; text-align: justify; margin-top: 6pt; margin-bottom: 6pt;" dir="ltr"&gt;  &lt;span style="font-size: medium;"&gt;</w:t>
              <w:tab/>
              <w:t>&lt;span style="font-size: medium;"&gt;</w:t>
            </w:r>
          </w:p>
          <w:p>
            <w:pPr>
              <w:pStyle w:val="TableParagraph"/>
              <w:tabs>
                <w:tab w:pos="2206" w:val="left" w:leader="none"/>
                <w:tab w:pos="2373" w:val="left" w:leader="none"/>
                <w:tab w:pos="5864" w:val="left" w:leader="none"/>
                <w:tab w:pos="7433" w:val="left" w:leader="none"/>
              </w:tabs>
              <w:spacing w:line="208" w:lineRule="auto" w:before="0"/>
              <w:ind w:right="127"/>
              <w:rPr>
                <w:sz w:val="20"/>
              </w:rPr>
            </w:pPr>
            <w:r>
              <w:rPr>
                <w:sz w:val="20"/>
              </w:rPr>
              <w:t>&lt;span style="color: #000000; background-color: transparent; font-weight: 400; font-style: normal; font-variant: normal; text-decoration: none; vertical-align: baseline; white-space: pre-wrap;"&gt;A&lt;/span&gt;</w:t>
              <w:tab/>
              <w:t>&lt;span style="color: #000000; background-color: transparent; </w:t>
            </w:r>
            <w:r>
              <w:rPr>
                <w:spacing w:val="-4"/>
                <w:sz w:val="20"/>
              </w:rPr>
              <w:t>font- </w:t>
            </w:r>
            <w:r>
              <w:rPr>
                <w:sz w:val="20"/>
              </w:rPr>
              <w:t>weight: 700; font-style: normal; font-variant: normal; text-decoration: none; vertical-align: baseline; white-space: pre-wrap;"&gt;decisão embargada&lt;/span&gt;</w:t>
              <w:tab/>
              <w:t>&lt;span style="color: #000000; background-color: transparent; font-weight: 400; font-style: normal; font-variant: normal; text-decoration: none; vertical-align: baseline; white-space: pre-wrap;"&gt;conheceu parcialmente do recurso, e, na parte conhecida, o desproveu mantendo,&lt;/span&gt;</w:t>
              <w:tab/>
              <w:t>&lt;span style="color: #000000; background-color: transparent; font-weight: 400; font-style: italic; font-variant: normal; text-decoration: none; vertical-align: baseline; white-space: pre- wrap;"&gt;in totum&lt;/span&gt;</w:t>
              <w:tab/>
              <w:tab/>
              <w:t>&lt;span style="color: #000000; background-color: transparent; font-weight: 400; font-style: normal; font-variant: normal; text-decoration: none; vertical- align: baseline; white-space: pre-wrap;"&gt;, a decisão monocrática.&amp;#160;&lt;/span&gt;&lt;/span&gt;</w:t>
            </w:r>
          </w:p>
          <w:p>
            <w:pPr>
              <w:pStyle w:val="TableParagraph"/>
              <w:spacing w:line="208" w:lineRule="auto" w:before="0"/>
              <w:ind w:right="59"/>
              <w:rPr>
                <w:sz w:val="20"/>
              </w:rPr>
            </w:pPr>
            <w:r>
              <w:rPr>
                <w:sz w:val="20"/>
              </w:rPr>
              <w:t>&lt;/span&gt;&lt;/p&gt;&lt;p style="line-height: 1.7999999999999998; text-indent: 57pt; text-align: justify; margin-top: 6pt; margin-bottom: 6pt;" dir="ltr"&gt;  &lt;span style="font-size:</w:t>
            </w:r>
            <w:r>
              <w:rPr>
                <w:spacing w:val="-18"/>
                <w:sz w:val="20"/>
              </w:rPr>
              <w:t> </w:t>
            </w:r>
            <w:r>
              <w:rPr>
                <w:sz w:val="20"/>
              </w:rPr>
              <w:t>medium;"&gt;</w:t>
            </w:r>
          </w:p>
          <w:p>
            <w:pPr>
              <w:pStyle w:val="TableParagraph"/>
              <w:tabs>
                <w:tab w:pos="2630" w:val="left" w:leader="none"/>
                <w:tab w:pos="3288" w:val="left" w:leader="none"/>
                <w:tab w:pos="4624" w:val="left" w:leader="none"/>
                <w:tab w:pos="5386"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pre-wrap;"&gt;Sustenta o Banco embargante, em linhas gerais, que houve&lt;/span&gt;</w:t>
              <w:tab/>
              <w:t>&lt;span style="color: #000000; background-color: transparent; font-weight: 700; font-style: normal; font-variant: normal; text-decoration: none; vertical- align: baseline; white-space: pre-wrap;"&gt;omissão&lt;/span&gt;</w:t>
              <w:tab/>
              <w:t>&lt;span style="color: #000000; background-color: transparent; font-weight: 400; font-style: normal; font-variant: normal; text-decoration: none; vertical-align: baseline; white-space: pre-wrap;"&gt;quanto à legalidade dos encargos moratórios capitalizados previstos no contrato, ID 23065786.&amp;#160;&lt;/span&gt;&lt;/span&gt; &lt;/span&gt;&lt;/p&gt;&lt;p style="line-height: 1.7999999999999998; text-indent: 57pt; text-align: justify; margin-top: 6pt; margin-bottom: 6pt;" dir="ltr"&gt;  &lt;span style="font-size: medium;"&gt;</w:t>
              <w:tab/>
              <w:t>&lt;span style="font-size: medium;"&gt;</w:t>
            </w:r>
          </w:p>
          <w:p>
            <w:pPr>
              <w:pStyle w:val="TableParagraph"/>
              <w:tabs>
                <w:tab w:pos="2041" w:val="left" w:leader="none"/>
                <w:tab w:pos="4652" w:val="left" w:leader="none"/>
              </w:tabs>
              <w:spacing w:line="208" w:lineRule="auto" w:before="0"/>
              <w:ind w:right="164"/>
              <w:rPr>
                <w:sz w:val="20"/>
              </w:rPr>
            </w:pPr>
            <w:r>
              <w:rPr>
                <w:sz w:val="20"/>
              </w:rPr>
              <w:t>&lt;span style="color: #000000; background-color: transparent; font-weight: 400; font-style: normal; font-variant: normal; text-decoration: none; vertical-align: baseline; white-space: pre-wrap;"&gt;Oportunizado o contraditório,&lt;/span&gt;</w:t>
              <w:tab/>
              <w:t>&lt;span style="color: #000000; background-color: transparent; font-weight: 700; font-style: normal; font-variant: normal; text-decoration: none; vertical-align: baseline; white-space: pre-wrap;"&gt;a embargada apresentou&lt;/span&gt;</w:t>
              <w:tab/>
              <w:t>&lt;span style="color: #000000; background-color: transparent; font- weight: 400; font-style: normal; font-variant: normal; text-decoration: none; vertical-align: baseline; white-space: pre-wrap;"&gt;as contrarrazões, ID</w:t>
            </w:r>
            <w:r>
              <w:rPr>
                <w:spacing w:val="-17"/>
                <w:sz w:val="20"/>
              </w:rPr>
              <w:t> </w:t>
            </w:r>
            <w:r>
              <w:rPr>
                <w:sz w:val="20"/>
              </w:rPr>
              <w:t>28097826.&amp;#160;&lt;/span&gt;&lt;/span&gt;</w:t>
            </w:r>
          </w:p>
          <w:p>
            <w:pPr>
              <w:pStyle w:val="TableParagraph"/>
              <w:tabs>
                <w:tab w:pos="1707" w:val="left" w:leader="none"/>
                <w:tab w:pos="2794" w:val="left" w:leader="none"/>
                <w:tab w:pos="7275" w:val="left" w:leader="none"/>
              </w:tabs>
              <w:spacing w:line="208" w:lineRule="auto" w:before="0"/>
              <w:ind w:right="124"/>
              <w:rPr>
                <w:sz w:val="20"/>
              </w:rPr>
            </w:pPr>
            <w:r>
              <w:rPr>
                <w:sz w:val="20"/>
              </w:rPr>
              <w:t>&lt;/span&gt;&lt;/p&gt;&lt;p style="line-height: 1.7999999999999998;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medium;"&gt;É em síntese o relatório&lt;/span&gt;</w:t>
              <w:tab/>
              <w:t>&lt;/span&gt; &lt;/span&gt;&lt;/p&gt;&lt;p style="line-height: 1.7999999999999998; </w:t>
            </w:r>
            <w:r>
              <w:rPr>
                <w:spacing w:val="-4"/>
                <w:sz w:val="20"/>
              </w:rPr>
              <w:t>text- </w:t>
            </w:r>
            <w:r>
              <w:rPr>
                <w:sz w:val="20"/>
              </w:rPr>
              <w:t>align: center; margin-top: 6pt; margin-bottom: 6pt;" dir="ltr"&gt; &lt;span style="font-size: 12pt; color: #000000; background-color: transparent; font-weight: 700; font-style: normal; font- variant: normal; text-decoration: none; vertical-align: baseline; white-space: pre-wrap;"&gt;</w:t>
            </w:r>
          </w:p>
          <w:p>
            <w:pPr>
              <w:pStyle w:val="TableParagraph"/>
              <w:tabs>
                <w:tab w:pos="3400" w:val="left" w:leader="none"/>
              </w:tabs>
              <w:spacing w:line="190" w:lineRule="exact" w:before="0"/>
              <w:rPr>
                <w:sz w:val="20"/>
              </w:rPr>
            </w:pPr>
            <w:r>
              <w:rPr>
                <w:sz w:val="20"/>
              </w:rPr>
              <w:t>&lt;span style="font-size: medium;"&gt;</w:t>
              <w:tab/>
              <w:t>&lt;span style="font-size: large;"&gt;VOTO&lt;/span&gt;</w:t>
            </w:r>
          </w:p>
          <w:p>
            <w:pPr>
              <w:pStyle w:val="TableParagraph"/>
              <w:spacing w:line="208" w:lineRule="auto" w:before="7"/>
              <w:ind w:right="244"/>
              <w:rPr>
                <w:sz w:val="20"/>
              </w:rPr>
            </w:pPr>
            <w:r>
              <w:rPr>
                <w:sz w:val="20"/>
              </w:rPr>
              <w:t>&lt;/span&gt; &lt;/span&gt;&lt;/p&gt;&lt;p style="line-height: 1.7999999999999998; text-indent: 56.692913385826756pt; text-align: justify; margin-top: 6pt; margin-bottom: 6pt;" dir="ltr"&gt;</w:t>
            </w:r>
          </w:p>
          <w:p>
            <w:pPr>
              <w:pStyle w:val="TableParagraph"/>
              <w:tabs>
                <w:tab w:pos="2473" w:val="left" w:leader="none"/>
                <w:tab w:pos="2794" w:val="left" w:leader="none"/>
                <w:tab w:pos="3319" w:val="left" w:leader="none"/>
                <w:tab w:pos="5721" w:val="left" w:leader="none"/>
                <w:tab w:pos="5833" w:val="left" w:leader="none"/>
                <w:tab w:pos="7275" w:val="left" w:leader="none"/>
              </w:tabs>
              <w:spacing w:line="208" w:lineRule="auto" w:before="0"/>
              <w:ind w:right="67"/>
              <w:rPr>
                <w:sz w:val="20"/>
              </w:rPr>
            </w:pPr>
            <w:r>
              <w:rPr>
                <w:sz w:val="20"/>
              </w:rPr>
              <w:t>&lt;span style="font-size: 12pt; color: #000000; background-color: transparent; font-weight: 400; font-style: normal; font-variant: normal; text-decoration: none; vertical-align: baseline; white-space: pre-wrap;"&gt;</w:t>
              <w:tab/>
              <w:t>&lt;span style="font-size: medium;"&gt;</w:t>
              <w:tab/>
              <w:tab/>
              <w:t>&lt;span style="font-size: medium;"&gt;Presentes os pressupostos intrínsecos e extrínsecos de admissibilidade, conheço do recurso interposto e passo à sua análise.&lt;/span&gt;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ab/>
              <w:t>&lt;span style="font-size: medium;"&gt;O acórdão embargado possui a seguinte ementa:&lt;/span&gt;</w:t>
              <w:tab/>
              <w:t>&lt;/span&gt; &lt;/span&gt;&lt;/p&gt;&lt;p style="line-height: 1.7999999999999998; margin-left: 113.38582677165351pt; text-indent: 57pt; text-align: justify; margin-top: 6pt; margin-bottom: 6pt;" dir="ltr"&gt;&amp;#160;&lt;/p&gt;&lt;p style="line-height: 1.7999999999999998; margin-left: 113.38582677165351pt;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ab/>
              <w:t>&lt;span style="font-size: medium;"&gt;EMENTA: DIREITO DO CONSUMIDOR. AGRAVO INTERNO EM APELAÇÃO. AÇÃO DE BUSCA E APREENSÃO EM ALIENAÇÃO FIDUCIÁRIA. CAPITALIZAÇÃO DIÁRIA DE JUROS REMUNERATÓRIOS. TAXA DIÁRIA NÃO INFORMADA NO CONTRATO. VIOLAÇÃO AO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3"/>
              <w:rPr>
                <w:sz w:val="20"/>
              </w:rPr>
            </w:pPr>
            <w:r>
              <w:rPr>
                <w:sz w:val="20"/>
              </w:rPr>
              <w:t>DEVER DE INFORMAÇÃO. ABUSIVIDADE EVIDENCIADA. MORA DESCARACTERIZADA. TAXA DE JUROS REMUNERATÓRIOS. MATÉRIA NÃO DISCUTIDA EM SEDE DE APELAÇÃO. NÃO CONHECIDA. TARIFA DE AVALIAÇÃO DO BEM INDEVIDA, CONSIDERANDO A NÃO COMPROVAÇÃO DA PRESTAÇÃO DO SERVIÇO. RECURSO CONHECIDO PARCIALMENTE, E, NA PARTE CONHECIDA,</w:t>
            </w:r>
          </w:p>
          <w:p>
            <w:pPr>
              <w:pStyle w:val="TableParagraph"/>
              <w:spacing w:line="208" w:lineRule="auto" w:before="0"/>
              <w:ind w:right="41"/>
              <w:rPr>
                <w:sz w:val="20"/>
              </w:rPr>
            </w:pPr>
            <w:r>
              <w:rPr>
                <w:sz w:val="20"/>
              </w:rPr>
              <w:t>DESPROVIDO. DECISÃO MONOCRÁTICA MANTIDA. 1. Trata-se de agravo interno interposto pela Instituição Bancária em face de decisão monocrática que deu provimento ao recurso de apelação interposto pela consumidora, concluindo pela descaracterização da mora e a revogação da decisão que deferiu a busca e apreensão do veículo automotor da consumidora. 2. É permitida a capitalização de juros com periodicidade inferior à anual em contratos celebrados com instituições integrantes do Sistema Financeiro Nacional a partir de 31/3/2000, conforme enunciado nº 539 do STJ. No entanto, a Segunda Seção do Superior Tribunal de Justiça, ao julgar o REsp n. 1.826.463/SC, estabeleceu que, além da previsão da periodicidade da capitalização, é imprescindível a expressa indicação da taxa aplicável, sob pena de configurar violação do dever de transparência e de informação imposto ao fornecedor. 3. No caso, o contrato firmado pelas partes prevê expressamente </w:t>
            </w:r>
            <w:r>
              <w:rPr>
                <w:spacing w:val="-17"/>
                <w:sz w:val="20"/>
              </w:rPr>
              <w:t>a </w:t>
            </w:r>
            <w:r>
              <w:rPr>
                <w:sz w:val="20"/>
              </w:rPr>
              <w:t>capitalização diária de juros remuneratórios, porém sem especificar a taxa diária aplicável, restando configurada a violação ao dever de informação e a abusividade da referida cláusula. 4. Por conseguinte, à luz da tese firmada no julgamento do Tema 28 do REsp Repetitivo nº 1.061.530/RS, o reconhecimento da abusividade nos encargos exigidos no período da normalidade contratual descaracteriza a mora, e, conforme dispõe a Súmula </w:t>
            </w:r>
            <w:r>
              <w:rPr>
                <w:spacing w:val="-9"/>
                <w:sz w:val="20"/>
              </w:rPr>
              <w:t>72 </w:t>
            </w:r>
            <w:r>
              <w:rPr>
                <w:sz w:val="20"/>
              </w:rPr>
              <w:t>do STJ, "a comprovação da mora é imprescindível à busca e apreensão do bem alienado fiduciariamente" 5. Ademais, descabe discussão acerca da taxa de juros remuneratórios, visto que não não fora objeto de apelação e tampouco da decisão monocrática atacada. 6. No que tange à tarifa de avaliação do bem, tem-se que esta se mostra indevida, considerando que a instituição financeira não demonstrara a efetiva prestação do serviço.</w:t>
            </w:r>
          </w:p>
          <w:p>
            <w:pPr>
              <w:pStyle w:val="TableParagraph"/>
              <w:tabs>
                <w:tab w:pos="2462" w:val="left" w:leader="none"/>
                <w:tab w:pos="2841" w:val="left" w:leader="none"/>
                <w:tab w:pos="4164" w:val="left" w:leader="none"/>
                <w:tab w:pos="6553" w:val="left" w:leader="none"/>
                <w:tab w:pos="7309" w:val="left" w:leader="none"/>
                <w:tab w:pos="7413" w:val="left" w:leader="none"/>
              </w:tabs>
              <w:spacing w:line="208" w:lineRule="auto" w:before="0"/>
              <w:ind w:right="37"/>
              <w:rPr>
                <w:sz w:val="20"/>
              </w:rPr>
            </w:pPr>
            <w:r>
              <w:rPr>
                <w:sz w:val="20"/>
              </w:rPr>
              <w:t>7. Recurso conhecido parcialmente, e, na parte conhecida, desprovido. Decisão monocrática mantida&lt;/span&gt;</w:t>
              <w:tab/>
              <w:t>&lt;/span&gt; &lt;/span&gt;&lt;/p&gt;&lt;p style="line-height: 1.7999999999999998; text-indent: 56.692913385826756pt; text-align: justify; margin-top: 6pt; margin-bottom: 6pt;" dir="ltr"&gt;&amp;#160;&lt;/p&gt;&lt;p style="line-height: 1.7999999999999998; text-indent: 56.692913385826756pt; text-align: justify; margin-top: 6pt; margin-bottom: </w:t>
            </w:r>
            <w:r>
              <w:rPr>
                <w:spacing w:val="-4"/>
                <w:sz w:val="20"/>
              </w:rPr>
              <w:t>6pt;" </w:t>
            </w:r>
            <w:r>
              <w:rPr>
                <w:sz w:val="20"/>
              </w:rPr>
              <w:t>dir="ltr"&gt;  &lt;span style="font-size: medium;"&gt;</w:t>
              <w:tab/>
              <w:t>&lt;span style="font-size: medium;"&gt;</w:t>
              <w:tab/>
              <w:tab/>
              <w:t>&lt;span style="color: #000000; background-color: transparent; font-weight: 400; font-style: normal; font-variant: normal; text-decoration: none; vertical-align: baseline; white-space: pre- wrap;"&gt;Cinge-se às razões recursais ao apontamento da existência de&lt;/span&gt;</w:t>
              <w:tab/>
              <w:t>&lt;span style="color: #000000; background-color: transparent; font-weight: 700; font-style: normal; font-variant: normal; text-decoration: none; vertical-align: baseline; white-space: pre- wrap;"&gt;omissão&lt;/span&gt;</w:t>
              <w:tab/>
              <w:t>&lt;span style="color: #000000; background-color: transparent; font-weight: 400; font-style: normal; font-variant: normal; text-decoration: none; vertical- align: baseline; white-space: pre-wrap;"&gt;quanto à legalidade dos encargos moratórios capitalizados previstos no contrato.&lt;/span&gt;&lt;/span&gt;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w:t>
            </w:r>
          </w:p>
          <w:p>
            <w:pPr>
              <w:pStyle w:val="TableParagraph"/>
              <w:tabs>
                <w:tab w:pos="1294" w:val="left" w:leader="none"/>
                <w:tab w:pos="2794" w:val="left" w:leader="none"/>
                <w:tab w:pos="4654" w:val="left" w:leader="none"/>
                <w:tab w:pos="5632" w:val="left" w:leader="none"/>
              </w:tabs>
              <w:spacing w:line="208" w:lineRule="auto" w:before="0"/>
              <w:ind w:right="152"/>
              <w:rPr>
                <w:sz w:val="20"/>
              </w:rPr>
            </w:pPr>
            <w:r>
              <w:rPr>
                <w:sz w:val="20"/>
              </w:rPr>
              <w:t>style="font-size: medium;"&gt;</w:t>
              <w:tab/>
              <w:t>&lt;span style="font-size: medium;"&gt;De acordo com a norma insculpida no artigo 1.022, do Código de Processo Civil, a seguir transcrito, cabe à parte interpor Embargos de Declaração, a fim de sanar erros, omissões, contradições e obscuridades eventualmente existentes no decisum.&lt;/span&gt;</w:t>
              <w:tab/>
              <w:t>&lt;/span&gt; &lt;/span&gt;&lt;/p&gt;&lt;p style="line-height: 1.7999999999999998; margin-left: 113.38582677165351pt; </w:t>
            </w:r>
            <w:r>
              <w:rPr>
                <w:spacing w:val="-2"/>
                <w:sz w:val="20"/>
              </w:rPr>
              <w:t>text-indent: </w:t>
            </w:r>
            <w:r>
              <w:rPr>
                <w:sz w:val="20"/>
              </w:rPr>
              <w:t>57pt; text-align: justify; margin-top: 6pt; margin-bottom: 6pt;" dir="ltr"&gt;&amp;#160;&lt;/p&gt;&lt;p style="line-height: 1.7999999999999998; margin-left: 113.38582677165351pt; </w:t>
            </w:r>
            <w:r>
              <w:rPr>
                <w:spacing w:val="-2"/>
                <w:sz w:val="20"/>
              </w:rPr>
              <w:t>text-indent: </w:t>
            </w:r>
            <w:r>
              <w:rPr>
                <w:sz w:val="20"/>
              </w:rPr>
              <w:t>57pt; text-align: justify; margin-top: 6pt; margin-bottom: 6pt;" dir="ltr"&gt; &lt;span style="font- size: 12pt; color: #000000; background-color: transparent; font-weight: 400; font-style: normal; font-variant: normal; text-decoration: none; vertical-align: baseline; white-space: pre-wrap;"&gt;</w:t>
              <w:tab/>
              <w:t>&lt;span style="font-size: medium;"&gt;</w:t>
              <w:tab/>
              <w:t>&lt;span style="font-size: medium;"&gt;</w:t>
            </w:r>
          </w:p>
          <w:p>
            <w:pPr>
              <w:pStyle w:val="TableParagraph"/>
              <w:tabs>
                <w:tab w:pos="1294" w:val="left" w:leader="none"/>
                <w:tab w:pos="1396" w:val="left" w:leader="none"/>
                <w:tab w:pos="2341" w:val="left" w:leader="none"/>
                <w:tab w:pos="2794" w:val="left" w:leader="none"/>
                <w:tab w:pos="4208" w:val="left" w:leader="none"/>
                <w:tab w:pos="4654" w:val="left" w:leader="none"/>
                <w:tab w:pos="5153" w:val="left" w:leader="none"/>
                <w:tab w:pos="6265" w:val="left" w:leader="none"/>
                <w:tab w:pos="7275" w:val="left" w:leader="none"/>
              </w:tabs>
              <w:spacing w:line="208" w:lineRule="auto" w:before="0"/>
              <w:ind w:right="152"/>
              <w:rPr>
                <w:sz w:val="20"/>
              </w:rPr>
            </w:pPr>
            <w:r>
              <w:rPr>
                <w:sz w:val="20"/>
              </w:rPr>
              <w:t>&lt;em&gt;Art. 1.022: Cabem embargos de declaração contra qualquer decisão judicial para:&lt;/em&gt;</w:t>
              <w:tab/>
              <w:tab/>
              <w:t>&lt;/span&gt;</w:t>
              <w:tab/>
              <w:t>&lt;/span&gt; &lt;/span&gt;&lt;/p&gt;&lt;p style="line-height: 1.7999999999999998; margin-left: 113.38582677165351pt;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w:t>
              <w:tab/>
              <w:t>&lt;em&gt;I – esclarecer obscuridade ou eliminar contradição;&lt;/em&gt;</w:t>
              <w:tab/>
              <w:t>&lt;/span&gt;</w:t>
              <w:tab/>
              <w:t>&lt;/span&gt; &lt;/span&gt;&lt;/p&gt;&lt;p style="line-height: 1.7999999999999998; margin-left: 113.38582677165351pt; </w:t>
            </w:r>
            <w:r>
              <w:rPr>
                <w:spacing w:val="-2"/>
                <w:sz w:val="20"/>
              </w:rPr>
              <w:t>text-indent: </w:t>
            </w:r>
            <w:r>
              <w:rPr>
                <w:sz w:val="20"/>
              </w:rPr>
              <w:t>57pt; text-align: justify; margin-top: 6pt; margin-bottom: 6pt;" dir="ltr"&gt; &lt;span style="font- size: 12pt; color: #000000; background-color: transparent; font-weight: 400; font-style: normal; font-variant: normal; text-decoration: none; vertical-align: baseline; white-space: pre-wrap;"&gt;</w:t>
              <w:tab/>
              <w:t>&lt;span style="font-size: medium;"&gt;</w:t>
              <w:tab/>
              <w:t>&lt;span style="font-size: medium;"&gt;</w:t>
            </w:r>
          </w:p>
          <w:p>
            <w:pPr>
              <w:pStyle w:val="TableParagraph"/>
              <w:spacing w:line="205" w:lineRule="exact" w:before="0"/>
              <w:rPr>
                <w:sz w:val="20"/>
              </w:rPr>
            </w:pPr>
            <w:r>
              <w:rPr>
                <w:sz w:val="20"/>
              </w:rPr>
              <w:t>&lt;em&gt;II – suprir omissão de ponto ou questão sobre o qual devia se pronunciar o juiz de</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94" w:val="left" w:leader="none"/>
                <w:tab w:pos="2118" w:val="left" w:leader="none"/>
                <w:tab w:pos="2794" w:val="left" w:leader="none"/>
                <w:tab w:pos="3063" w:val="left" w:leader="none"/>
                <w:tab w:pos="3152" w:val="left" w:leader="none"/>
                <w:tab w:pos="4097" w:val="left" w:leader="none"/>
                <w:tab w:pos="4654" w:val="left" w:leader="none"/>
                <w:tab w:pos="4875" w:val="left" w:leader="none"/>
                <w:tab w:pos="5820" w:val="left" w:leader="none"/>
                <w:tab w:pos="6265" w:val="left" w:leader="none"/>
                <w:tab w:pos="7275" w:val="left" w:leader="none"/>
              </w:tabs>
              <w:spacing w:line="208" w:lineRule="auto" w:before="26"/>
              <w:ind w:right="146"/>
              <w:rPr>
                <w:sz w:val="20"/>
              </w:rPr>
            </w:pPr>
            <w:r>
              <w:rPr>
                <w:sz w:val="20"/>
              </w:rPr>
              <w:t>ofício ou a requerimento;&lt;/em&gt;</w:t>
              <w:tab/>
              <w:tab/>
              <w:t>&lt;/span&gt;</w:t>
              <w:tab/>
              <w:t>&lt;/span&gt; &lt;/span&gt;&lt;/p&gt;&lt;p style="line-height: 1.7999999999999998; margin-left: 113.38582677165351pt;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w:t>
              <w:tab/>
              <w:t>&lt;em&gt;III – corrigir erro material.&lt;/em&gt;</w:t>
              <w:tab/>
              <w:t>&lt;/span&gt;</w:t>
              <w:tab/>
              <w:t>&lt;/span&gt; &lt;/span&gt;&lt;/p&gt;&lt;p style="line-height: 1.7999999999999998; margin-left: 113.38582677165351pt;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w:t>
              <w:tab/>
              <w:t>&lt;em&gt;Parágrafo único: Considera-se omissão a decisão que:&lt;/em&gt;</w:t>
              <w:tab/>
              <w:tab/>
              <w:t>&lt;/span&gt;</w:t>
              <w:tab/>
              <w:t>&lt;/span&gt; </w:t>
            </w:r>
            <w:r>
              <w:rPr>
                <w:spacing w:val="-2"/>
                <w:sz w:val="20"/>
              </w:rPr>
              <w:t>&lt;/span&gt;&lt;/p&gt;&lt;p </w:t>
            </w:r>
            <w:r>
              <w:rPr>
                <w:sz w:val="20"/>
              </w:rPr>
              <w:t>style="line-height: 1.7999999999999998; margin-left: 113.38582677165351pt; text-indent: 57pt; text-align: justify; margin-top: 6pt; margin-bottom: 6pt;" dir="ltr"&gt; &lt;span style="font- size: 12pt; color: #000000; background-color: transparent; font-weight: 400; font-style: normal; font-variant: normal; text-decoration: none; vertical-align: baseline; white-space: pre-wrap;"&gt;</w:t>
              <w:tab/>
              <w:t>&lt;span style="font-size: medium;"&gt;</w:t>
              <w:tab/>
              <w:t>&lt;span style="font-size: medium;"&gt;</w:t>
            </w:r>
          </w:p>
          <w:p>
            <w:pPr>
              <w:pStyle w:val="TableParagraph"/>
              <w:spacing w:line="208" w:lineRule="auto" w:before="0"/>
              <w:ind w:right="112"/>
              <w:rPr>
                <w:sz w:val="20"/>
              </w:rPr>
            </w:pPr>
            <w:r>
              <w:rPr>
                <w:sz w:val="20"/>
              </w:rPr>
              <w:t>&lt;em&gt;I – deixe de se manifestar sobre tese firmada em julgamento de casos repetitivos ou em incidente de assunção de competência aplicável ao caso sob julgamento;&lt;/em&gt;</w:t>
            </w:r>
          </w:p>
          <w:p>
            <w:pPr>
              <w:pStyle w:val="TableParagraph"/>
              <w:tabs>
                <w:tab w:pos="985" w:val="left" w:leader="none"/>
                <w:tab w:pos="4562" w:val="left" w:leader="none"/>
              </w:tabs>
              <w:spacing w:line="208" w:lineRule="auto" w:before="0"/>
              <w:ind w:right="42"/>
              <w:rPr>
                <w:sz w:val="20"/>
              </w:rPr>
            </w:pPr>
            <w:r>
              <w:rPr>
                <w:sz w:val="20"/>
              </w:rPr>
              <w:t>&lt;/span&gt;</w:t>
              <w:tab/>
              <w:t>&lt;/span&gt; &lt;/span&gt;&lt;/p&gt;&lt;p style="line-height: 1.7999999999999998; margin-left: 113.38582677165351pt; text-indent: 57pt; text-align: justify; margin-top: 6pt; margin- bottom: 6pt;" dir="ltr"&gt; &lt;span style="font-size: 12pt; color: #000000; background-color: transparent; font-weight: 400; font-style: normal; font-variant: normal; text-decoration: </w:t>
            </w:r>
            <w:r>
              <w:rPr>
                <w:spacing w:val="-4"/>
                <w:sz w:val="20"/>
              </w:rPr>
              <w:t>none; </w:t>
            </w:r>
            <w:r>
              <w:rPr>
                <w:sz w:val="20"/>
              </w:rPr>
              <w:t>vertical-align: baseline; white-space: pre-wrap;"&gt;</w:t>
              <w:tab/>
              <w:t>&lt;span style="font-size: medium;"&gt;</w:t>
            </w:r>
          </w:p>
          <w:p>
            <w:pPr>
              <w:pStyle w:val="TableParagraph"/>
              <w:tabs>
                <w:tab w:pos="1794" w:val="left" w:leader="none"/>
                <w:tab w:pos="3481" w:val="left" w:leader="none"/>
                <w:tab w:pos="3511" w:val="left" w:leader="none"/>
                <w:tab w:pos="4296" w:val="left" w:leader="none"/>
                <w:tab w:pos="4426" w:val="left" w:leader="none"/>
                <w:tab w:pos="6414" w:val="left" w:leader="none"/>
                <w:tab w:pos="6553" w:val="left" w:leader="none"/>
              </w:tabs>
              <w:spacing w:line="208" w:lineRule="auto" w:before="0"/>
              <w:ind w:right="51"/>
              <w:rPr>
                <w:sz w:val="20"/>
              </w:rPr>
            </w:pPr>
            <w:r>
              <w:rPr>
                <w:sz w:val="20"/>
              </w:rPr>
              <w:t>&lt;span style="font-size: medium;"&gt;</w:t>
              <w:tab/>
              <w:tab/>
              <w:t>&lt;em&gt;II – incorra em qualquer das condutas descritas no artigo 489, § 1º.&lt;/em&gt;</w:t>
              <w:tab/>
              <w:t>&lt;/span&gt;</w:t>
              <w:tab/>
              <w:tab/>
              <w:t>&lt;/span&gt; &lt;/span&gt;&lt;/p&gt;&lt;p style="line- height: 1.7999999999999998; text-indent: 56.692913385826756pt; text-align: justify; margin-top: 6pt; margin-bottom: 6pt;" dir="ltr"&gt;&amp;#160;&lt;/p&gt;&lt;p style="line-height: 1.7999999999999998; text-indent: 56.692913385826756pt; text-align: justify; margin-top: 6pt; margin-bottom: 6pt;" dir="ltr"&gt;  &lt;span style="font-size: medium;"&gt;</w:t>
              <w:tab/>
              <w:t>&lt;span style="font- size: medium;"&gt;</w:t>
              <w:tab/>
              <w:t>&lt;span style="color: #000000; background-color: transparent; font- weight: 400; font-style: italic; font-variant: normal; text-decoration: none; vertical-align: baseline; white-space: pre-wrap;"&gt;S&lt;/span&gt;</w:t>
              <w:tab/>
              <w:t>&lt;span style="color: #000000; background- color: transparent; font-weight: 400; font-style: normal; font-variant: normal; text-decoration: none; vertical-align: baseline; white-space: pre-wrap;"&gt;obre o tema, leciona a doutrina que há obscuridade quando a redação da decisão não é suficientemente clara, dificultando </w:t>
            </w:r>
            <w:r>
              <w:rPr>
                <w:spacing w:val="-6"/>
                <w:sz w:val="20"/>
              </w:rPr>
              <w:t>sua </w:t>
            </w:r>
            <w:r>
              <w:rPr>
                <w:sz w:val="20"/>
              </w:rPr>
              <w:t>compreensão ou interpretação. Ocorre contradição quando o julgado apresenta proposições inconciliáveis, tornando incerto o provimento jurisdicional. Há omissão nos casos em que determinada questão ou ponto controvertido deveria ser apreciado pelo órgão julgados mas não o foi. (Curso Didático de Direito Processual Civil, 19ª ed., São Paulo: Atlas, 2016, p. 1500).&lt;/span&gt;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ab/>
              <w:t>&lt;span</w:t>
            </w:r>
          </w:p>
          <w:p>
            <w:pPr>
              <w:pStyle w:val="TableParagraph"/>
              <w:tabs>
                <w:tab w:pos="2794" w:val="left" w:leader="none"/>
                <w:tab w:pos="3886" w:val="left" w:leader="none"/>
                <w:tab w:pos="5876" w:val="left" w:leader="none"/>
                <w:tab w:pos="7275" w:val="left" w:leader="none"/>
              </w:tabs>
              <w:spacing w:line="208" w:lineRule="auto" w:before="0"/>
              <w:ind w:right="85"/>
              <w:rPr>
                <w:sz w:val="20"/>
              </w:rPr>
            </w:pPr>
            <w:r>
              <w:rPr>
                <w:sz w:val="20"/>
              </w:rPr>
              <w:t>style="font-size: medium;"&gt;</w:t>
              <w:tab/>
              <w:t>&lt;span style="font-size: medium;"&gt;Sendo assim, trata-se de recurso que não se presta a rediscutir questões e matérias já decididas, em busca de modificá-las em sua essência ou substância, cabendo ressaltar neste azo, ainda, que, mesmo com a finalidade de prequestionamento, devem os aclaratórios se ater às hipóteses previstas no dispositivo legal supratranscrito.&lt;/span&gt;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medium;"&gt;A temática contida nos Embargos foi abordada de forma objetiva e exaustiva na decisão monocrática de ID 23065253 proferida pelo Desembargador Raimundo Nonato Silva Santos e no acórdão, </w:t>
            </w:r>
            <w:r>
              <w:rPr>
                <w:spacing w:val="-9"/>
                <w:sz w:val="20"/>
              </w:rPr>
              <w:t>ID </w:t>
            </w:r>
            <w:r>
              <w:rPr>
                <w:sz w:val="20"/>
              </w:rPr>
              <w:t>23065270, proferido pela 1ª Câmara de Direito Privado, não sendo possível a rediscussão do julgado para acolher a argumentação da parte. Para corroborar com esse entendimento, e com o fim de evitar desnecessária repetição, colaciono trechos do Acórdão recorrido, ID 23065270:&lt;/span&gt;</w:t>
              <w:tab/>
              <w:t>&lt;/span&gt; &lt;/span&gt;&lt;/p&gt;&lt;p style="line-height: 1.7999999999999998; margin-left: 113.38582677165351pt; text-indent: 57pt; text-align: justify; margin-top: 6pt; margin-bottom: 6pt;" dir="ltr"&gt;&amp;#160;&lt;/p&gt;&lt;p style="line-height: 1.7999999999999998; margin-left: 113.38582677165351pt; text-indent: 57pt; text-align: justify; margin-top: 6pt; margin-bottom: 6pt;" dir="ltr"&gt; &lt;span style="font-size: 12pt; color: #000000; background-color: transparent; font-weight: 400; font-style: italic; font-variant: normal; text-decoration: none; vertical-align: baseline; white-space: pre-wrap;"&gt;</w:t>
              <w:tab/>
              <w:t>&lt;span style="font-size: medium;"&gt;</w:t>
              <w:tab/>
              <w:t>&lt;span style="font-size: medium;"&gt;“(...) Analisando o instrumento contratual apresentado às fls. 20-21 (SAJPG), verifica-se a previsão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5563" w:val="left" w:leader="none"/>
                <w:tab w:pos="7275" w:val="left" w:leader="none"/>
              </w:tabs>
              <w:spacing w:line="208" w:lineRule="auto" w:before="26"/>
              <w:ind w:right="130"/>
              <w:rPr>
                <w:sz w:val="20"/>
              </w:rPr>
            </w:pPr>
            <w:r>
              <w:rPr>
                <w:sz w:val="20"/>
              </w:rPr>
              <w:t>capitalização diária dos juros remuneratórios no parágrafo destinado a tratar a respeito </w:t>
            </w:r>
            <w:r>
              <w:rPr>
                <w:spacing w:val="-9"/>
                <w:sz w:val="20"/>
              </w:rPr>
              <w:t>de </w:t>
            </w:r>
            <w:r>
              <w:rPr>
                <w:sz w:val="20"/>
              </w:rPr>
              <w:t>"Promessa de Pagamento". Senão vejamos:&amp;#160;&lt;/span&gt;</w:t>
              <w:tab/>
              <w:t>&lt;/span&gt; &lt;/span&gt;&lt;/p&gt;&lt;p style="line-height: 1.7999999999999998; margin-left: 170.07874015748033pt; text-align: justify; margin-top: 6pt; margin-bottom: 6pt;" dir="ltr"&gt; &lt;span style="font-size: 12pt; color: #000000; background-color: transparent; font-weight: 400; font-style: italic; font-variant: normal; text-decoration: none; vertical-align: baseline; white-space: pre-wrap;"&gt;</w:t>
              <w:tab/>
              <w:t>&lt;span style="font-size: medium;"&gt;</w:t>
              <w:tab/>
              <w:t>&lt;span style="font-size: medium;"&gt;[...] M – Promessa de Pagamento – O Cliente, por esta cédula de Crédito Bancário ("CCB"), promete pagar ao Credor, ou à sua ordem, nos respectivos vencimentos, na Praça de São Paulo/SP, em moeda corrente, a dívida em dinheiro, certa, líquida e exigível, correspondente ao valor financiado (item F.6), acrescido de juros remuneratórios (item F.4), capitalizados diariamente, observadas as Condições Específicas e Gerais deta CCB.[...]&amp;#160;&lt;/span&gt;</w:t>
            </w:r>
          </w:p>
          <w:p>
            <w:pPr>
              <w:pStyle w:val="TableParagraph"/>
              <w:tabs>
                <w:tab w:pos="4562" w:val="left" w:leader="none"/>
              </w:tabs>
              <w:spacing w:line="208" w:lineRule="auto" w:before="0"/>
              <w:ind w:right="253"/>
              <w:rPr>
                <w:sz w:val="20"/>
              </w:rPr>
            </w:pPr>
            <w:r>
              <w:rPr>
                <w:sz w:val="20"/>
              </w:rPr>
              <w:t>&lt;/span&gt; &lt;/span&gt;&lt;/p&gt;&lt;p style="line-height: 1.7999999999999998; margin-left: 113.38582677165351pt; text-indent: 57pt; text-align: justify; margin-top: 6pt; margin- bottom: 6pt;" dir="ltr"&gt; &lt;span style="font-size: 12pt; color: #000000; background-color: transparent; font-weight: 400; font-style: italic; font-variant: normal; text-decoration: </w:t>
            </w:r>
            <w:r>
              <w:rPr>
                <w:spacing w:val="-4"/>
                <w:sz w:val="20"/>
              </w:rPr>
              <w:t>none; </w:t>
            </w:r>
            <w:r>
              <w:rPr>
                <w:sz w:val="20"/>
              </w:rPr>
              <w:t>vertical-align: baseline; white-space: pre-wrap;"&gt;</w:t>
              <w:tab/>
              <w:t>&lt;span style="font-size: medium;"&gt;</w:t>
            </w:r>
          </w:p>
          <w:p>
            <w:pPr>
              <w:pStyle w:val="TableParagraph"/>
              <w:tabs>
                <w:tab w:pos="5954" w:val="left" w:leader="none"/>
              </w:tabs>
              <w:spacing w:line="208" w:lineRule="auto" w:before="0"/>
              <w:ind w:right="252"/>
              <w:rPr>
                <w:sz w:val="20"/>
              </w:rPr>
            </w:pPr>
            <w:r>
              <w:rPr>
                <w:sz w:val="20"/>
              </w:rPr>
              <w:t>&lt;span style="font-size: medium;"&gt;Já no "Quadro F: Dados do Financiamento" da </w:t>
            </w:r>
            <w:r>
              <w:rPr>
                <w:spacing w:val="-3"/>
                <w:sz w:val="20"/>
              </w:rPr>
              <w:t>Cédula </w:t>
            </w:r>
            <w:r>
              <w:rPr>
                <w:sz w:val="20"/>
              </w:rPr>
              <w:t>de Crédito Bancário, acostada à fl. 20 (SAJPG), observa-se que foram discriminadas as taxas de juros mensal (1,73%) e anual (22,95%).&amp;#160;&lt;/span&gt;</w:t>
              <w:tab/>
              <w:t>&lt;/span&gt;</w:t>
            </w:r>
          </w:p>
          <w:p>
            <w:pPr>
              <w:pStyle w:val="TableParagraph"/>
              <w:tabs>
                <w:tab w:pos="4562" w:val="left" w:leader="none"/>
              </w:tabs>
              <w:spacing w:line="208" w:lineRule="auto" w:before="0"/>
              <w:ind w:right="253"/>
              <w:rPr>
                <w:sz w:val="20"/>
              </w:rPr>
            </w:pPr>
            <w:r>
              <w:rPr>
                <w:sz w:val="20"/>
              </w:rPr>
              <w:t>&lt;/span&gt;&lt;/p&gt;&lt;p style="line-height: 1.7999999999999998; margin-left: 113.38582677165351pt; text-indent: 57pt; text-align: justify; margin-top: 6pt; margin- bottom: 6pt;" dir="ltr"&gt; &lt;span style="font-size: 12pt; color: #000000; background-color: transparent; font-weight: 400; font-style: italic; font-variant: normal; text-decoration: </w:t>
            </w:r>
            <w:r>
              <w:rPr>
                <w:spacing w:val="-4"/>
                <w:sz w:val="20"/>
              </w:rPr>
              <w:t>none; </w:t>
            </w:r>
            <w:r>
              <w:rPr>
                <w:sz w:val="20"/>
              </w:rPr>
              <w:t>vertical-align: baseline; white-space: pre-wrap;"&gt;</w:t>
              <w:tab/>
              <w:t>&lt;span style="font-size: medium;"&gt;</w:t>
            </w:r>
          </w:p>
          <w:p>
            <w:pPr>
              <w:pStyle w:val="TableParagraph"/>
              <w:spacing w:line="208" w:lineRule="auto" w:before="0"/>
              <w:ind w:right="76"/>
              <w:rPr>
                <w:sz w:val="20"/>
              </w:rPr>
            </w:pPr>
            <w:r>
              <w:rPr>
                <w:sz w:val="20"/>
              </w:rPr>
              <w:t>&lt;span style="font-size: medium;"&gt;A respeito da capitalização de juros, o Colendo Superior Tribunal de Justiça fixou entendimento através da súmula nº 539, in verbis:&amp;#160;&lt;/span&gt;</w:t>
            </w:r>
          </w:p>
          <w:p>
            <w:pPr>
              <w:pStyle w:val="TableParagraph"/>
              <w:spacing w:line="208" w:lineRule="auto" w:before="0"/>
              <w:ind w:right="244"/>
              <w:rPr>
                <w:sz w:val="20"/>
              </w:rPr>
            </w:pPr>
            <w:r>
              <w:rPr>
                <w:sz w:val="20"/>
              </w:rPr>
              <w:t>&lt;/span&gt; &lt;/span&gt;&lt;/p&gt;&lt;p style="line-height: 1.7999999999999998; margin-left: 162.99212598425197pt; text-align: justify; margin-top: 6pt; margin-bottom: 6pt;" dir="ltr"&gt;</w:t>
            </w:r>
          </w:p>
          <w:p>
            <w:pPr>
              <w:pStyle w:val="TableParagraph"/>
              <w:tabs>
                <w:tab w:pos="939" w:val="left" w:leader="none"/>
                <w:tab w:pos="2473" w:val="left" w:leader="none"/>
                <w:tab w:pos="4299" w:val="left" w:leader="none"/>
                <w:tab w:pos="4375" w:val="left" w:leader="none"/>
                <w:tab w:pos="5810" w:val="left" w:leader="none"/>
              </w:tabs>
              <w:spacing w:line="208" w:lineRule="auto" w:before="0"/>
              <w:ind w:right="19"/>
              <w:rPr>
                <w:sz w:val="20"/>
              </w:rPr>
            </w:pPr>
            <w:r>
              <w:rPr>
                <w:sz w:val="20"/>
              </w:rPr>
              <w:t>&lt;span style="font-size: 12pt; color: #000000; background-color: transparent; font-weight: 400; font-style: italic; font-variant: normal; text-decoration: none; vertical-align: baseline; white-space: pre-wrap;"&gt;</w:t>
              <w:tab/>
              <w:t>&lt;span style="font-size: medium;"&gt;</w:t>
              <w:tab/>
              <w:t>&lt;span style="font-size: medium;"&gt;Súmula nº 539: É permitida a capitalização de juros com periodicidade inferior à anual em contratos celebrados com instituições integrantes do Sistema Financeiro Nacional a partir de 31/3/2000 (MP n. 1.963-17/2000, reeditada como MP n. 2.170- 36/2001), desde que expressamente pactuada.&amp;#160;&lt;/span&gt;</w:t>
              <w:tab/>
              <w:t>&lt;/span&gt; &lt;/span&gt;&lt;/p&gt;&lt;p style="line-height: 1.7999999999999998; margin-left: 113.38582677165351pt; text-indent: 57pt; text-align: justify; margin-top: 6pt; margin-bottom: 6pt;" dir="ltr"&gt; &lt;span style="font- size: 12pt; color: #000000; background-color: transparent; font-weight: 400; font-style: </w:t>
            </w:r>
            <w:r>
              <w:rPr>
                <w:spacing w:val="-3"/>
                <w:sz w:val="20"/>
              </w:rPr>
              <w:t>italic; </w:t>
            </w:r>
            <w:r>
              <w:rPr>
                <w:sz w:val="20"/>
              </w:rPr>
              <w:t>font-variant: normal; text-decoration: none; vertical-align: baseline; white-space: pre- wrap;"&gt;</w:t>
              <w:tab/>
              <w:t>&lt;span style="font-size: medium;"&gt;</w:t>
              <w:tab/>
              <w:t>&lt;span style="font-size: medium;"&gt;A partir dessas premissas, conclui-se que não há impedimento à prática da capitalização diária de juros em contratos bancários. Todavia, em decisão recente, a Segunda Seção do Colendo Superior Tribunal de Justiça estabeleceu que não se mostra suficiente a mera previsão contratual da periodicidade da capitalização dos juros, mas também a clara e expressa indicação da taxa aplicável, sob pena de infringir o dever de informação que a legislação impõe ao fornecedor. In verbis:&amp;#160;&lt;/span&gt;</w:t>
              <w:tab/>
              <w:tab/>
              <w:t>&lt;/span&gt; &lt;/span&gt;&lt;/p&gt;&lt;p style="line- height: 1.7999999999999998; margin-left: 113.38582677165351pt; text-indent: 57pt; text- align: justify; margin-top: 6pt; margin-bottom: 6pt;" dir="ltr"&gt; &lt;span style="font-size: 12pt; color: #000000; background-color: transparent; font-weight: 400; font-style: italic; font- variant: normal; text-decoration: none; vertical-align: baseline; white-space: pre-wrap;"&gt;</w:t>
            </w:r>
          </w:p>
          <w:p>
            <w:pPr>
              <w:pStyle w:val="TableParagraph"/>
              <w:tabs>
                <w:tab w:pos="3400" w:val="left" w:leader="none"/>
              </w:tabs>
              <w:spacing w:line="189" w:lineRule="exact" w:before="0"/>
              <w:rPr>
                <w:sz w:val="20"/>
              </w:rPr>
            </w:pPr>
            <w:r>
              <w:rPr>
                <w:sz w:val="20"/>
              </w:rPr>
              <w:t>&lt;span style="font-size: medium;"&gt;</w:t>
              <w:tab/>
              <w:t>&lt;span style="font-size: medium;"&gt;(...)&lt;/span&gt;</w:t>
            </w:r>
          </w:p>
          <w:p>
            <w:pPr>
              <w:pStyle w:val="TableParagraph"/>
              <w:tabs>
                <w:tab w:pos="4562" w:val="left" w:leader="none"/>
              </w:tabs>
              <w:spacing w:line="208" w:lineRule="auto" w:before="7"/>
              <w:ind w:right="253"/>
              <w:rPr>
                <w:sz w:val="20"/>
              </w:rPr>
            </w:pPr>
            <w:r>
              <w:rPr>
                <w:sz w:val="20"/>
              </w:rPr>
              <w:t>&lt;/span&gt; &lt;/span&gt;&lt;/p&gt;&lt;p style="line-height: 1.7999999999999998; margin-left: 113.38582677165351pt; text-indent: 57pt; text-align: justify; margin-top: 6pt; margin- bottom: 6pt;" dir="ltr"&gt; &lt;span style="font-size: 12pt; color: #000000; background-color: transparent; font-weight: 400; font-style: italic; font-variant: normal; text-decoration: </w:t>
            </w:r>
            <w:r>
              <w:rPr>
                <w:spacing w:val="-4"/>
                <w:sz w:val="20"/>
              </w:rPr>
              <w:t>none; </w:t>
            </w:r>
            <w:r>
              <w:rPr>
                <w:sz w:val="20"/>
              </w:rPr>
              <w:t>vertical-align: baseline; white-space: pre-wrap;"&gt;</w:t>
              <w:tab/>
              <w:t>&lt;span style="font-size: medium;"&gt;</w:t>
            </w:r>
          </w:p>
          <w:p>
            <w:pPr>
              <w:pStyle w:val="TableParagraph"/>
              <w:tabs>
                <w:tab w:pos="939" w:val="left" w:leader="none"/>
                <w:tab w:pos="1327" w:val="left" w:leader="none"/>
                <w:tab w:pos="2239" w:val="left" w:leader="none"/>
                <w:tab w:pos="4299" w:val="left" w:leader="none"/>
                <w:tab w:pos="5119" w:val="left" w:leader="none"/>
                <w:tab w:pos="5620" w:val="left" w:leader="none"/>
              </w:tabs>
              <w:spacing w:line="208" w:lineRule="auto" w:before="0"/>
              <w:ind w:right="19"/>
              <w:rPr>
                <w:sz w:val="20"/>
              </w:rPr>
            </w:pPr>
            <w:r>
              <w:rPr>
                <w:sz w:val="20"/>
              </w:rPr>
              <w:t>&lt;span style="font-size: medium;"&gt;Nessa mesma linha de entendimento, tem decidido esta Primeira Câmara de Direito Privado. Veja-se:&amp;#160;&lt;/span&gt;</w:t>
              <w:tab/>
              <w:t>&lt;/span&gt; &lt;/span&gt;&lt;/p&gt;&lt;p style="line-height: 1.7999999999999998; margin-left: 113.38582677165351pt; text-indent: 57pt; text-align: justify; margin-top: 6pt; margin-bottom: 6pt;" dir="ltr"&gt; &lt;span style="font- size: 12pt; color: #000000; background-color: transparent; font-weight: 400; font-style: </w:t>
            </w:r>
            <w:r>
              <w:rPr>
                <w:spacing w:val="-3"/>
                <w:sz w:val="20"/>
              </w:rPr>
              <w:t>italic; </w:t>
            </w:r>
            <w:r>
              <w:rPr>
                <w:sz w:val="20"/>
              </w:rPr>
              <w:t>font-variant: normal; text-decoration: none; vertical-align: baseline; white-space: pre- wrap;"&gt;</w:t>
              <w:tab/>
              <w:t>&lt;span style="font-size: medium;"&gt;</w:t>
              <w:tab/>
              <w:t>&lt;span style="font-size: medium;"&gt;(...)&lt;/span&gt;</w:t>
              <w:tab/>
              <w:t>&lt;/span&gt; &lt;/span&gt;&lt;/p&gt;&lt;p style="line-height: 1.7999999999999998; margin-left: 113.38582677165351pt; text-indent: 57pt; text-align: justify; margin-top: 6pt; margin-bottom: 6pt;" dir="ltr"&gt; &lt;span style="font-size: 12pt; color: #000000; background- color: transparent; font-weight: 400; font-style: italic; font-variant: normal; text-decoration: none; vertical-align: baseline; white-space: pre-wrap;"&gt;</w:t>
              <w:tab/>
              <w:t>&lt;span style="font-size: medium;"&gt;</w:t>
              <w:tab/>
              <w:t>&lt;span style="font-size: medium;"&gt;Logo, havendo previsão no contrato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5" w:val="left" w:leader="none"/>
                <w:tab w:pos="2742" w:val="left" w:leader="none"/>
                <w:tab w:pos="2794" w:val="left" w:leader="none"/>
                <w:tab w:pos="5842" w:val="left" w:leader="none"/>
                <w:tab w:pos="6553" w:val="left" w:leader="none"/>
                <w:tab w:pos="7275" w:val="left" w:leader="none"/>
              </w:tabs>
              <w:spacing w:line="208" w:lineRule="auto" w:before="26"/>
              <w:ind w:right="97"/>
              <w:rPr>
                <w:sz w:val="20"/>
              </w:rPr>
            </w:pPr>
            <w:r>
              <w:rPr>
                <w:sz w:val="20"/>
              </w:rPr>
              <w:t>firmado entre as partes da incidência de capitalização diária de juros, mas inexistindo cláusula mencionando a taxa aplicável, resta configurada a violação ao dever de informação e a abusividade da referida cláusula. (Vide REsp n. 1.826.463/SC, relator Ministro Paulo de Tarso Sanseverino, Segunda Seção, julgado em 14/10/2020, DJe de 29/10/2020).&amp;#160;&lt;/span&gt;</w:t>
              <w:tab/>
              <w:t>&lt;/span&gt; &lt;/span&gt;&lt;/p&gt;&lt;p style="line-height: 1.7999999999999998; margin-left: 113.38582677165351pt; text-indent: 57pt; text-align: justify; margin-top: 6pt; margin-bottom: 6pt;" dir="ltr"&gt; &lt;span style="font-size: 12pt; color: #000000; background-color: transparent; font-weight: 400; font-style: italic; font-variant: normal; text-decoration: none; vertical-align: baseline; white-space: pre-wrap;"&gt;</w:t>
              <w:tab/>
              <w:t>&lt;span style="font-size: medium;"&gt;</w:t>
              <w:tab/>
              <w:tab/>
              <w:t>&lt;span style="font-size: medium;"&gt;Por conseguinte, e à luz da tese firmada no julgamento do REsp Repetitivo nº 1.061.530 / RS, tema 28, "o reconhecimento da abusividade nos encargos exigidos no período de normalidade contratual (juros remuneratórios e capitalização) descaracteriza a mora", não há de se acolher a tese do recorrente para reformar o decisum.”&lt;/span&gt;</w:t>
              <w:tab/>
              <w: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ab/>
              <w:t>&lt;span style="font-size: medium;"&gt;No caso vertente, ao contrário do que alega o insurgente, inexistem omissões a serem sanadas, uma vez que </w:t>
            </w:r>
            <w:r>
              <w:rPr>
                <w:spacing w:val="-18"/>
                <w:sz w:val="20"/>
              </w:rPr>
              <w:t>a </w:t>
            </w:r>
            <w:r>
              <w:rPr>
                <w:sz w:val="20"/>
              </w:rPr>
              <w:t>matéria posta a exame restou plena e satisfatoriamente analisada pela decisão hostilizada.&lt;/span&gt;</w:t>
              <w:tab/>
              <w:t>&lt;/span&gt; &lt;/span&gt;&lt;/p&gt;&lt;p style="line-height: 1.7999999999999998;</w:t>
            </w:r>
          </w:p>
          <w:p>
            <w:pPr>
              <w:pStyle w:val="TableParagraph"/>
              <w:tabs>
                <w:tab w:pos="3329" w:val="left" w:leader="none"/>
                <w:tab w:pos="4187" w:val="left" w:leader="none"/>
                <w:tab w:pos="6553" w:val="left" w:leader="none"/>
                <w:tab w:pos="6689" w:val="left" w:leader="none"/>
              </w:tabs>
              <w:spacing w:line="208" w:lineRule="auto" w:before="0"/>
              <w:ind w:right="37"/>
              <w:rPr>
                <w:sz w:val="20"/>
              </w:rPr>
            </w:pPr>
            <w:r>
              <w:rPr>
                <w:sz w:val="20"/>
              </w:rPr>
              <w:t>text-indent: 56.692913385826756pt; text-align: justify; margin-top: 6pt; margin-bottom: </w:t>
            </w:r>
            <w:r>
              <w:rPr>
                <w:spacing w:val="-4"/>
                <w:sz w:val="20"/>
              </w:rPr>
              <w:t>6pt;" </w:t>
            </w:r>
            <w:r>
              <w:rPr>
                <w:sz w:val="20"/>
              </w:rPr>
              <w:t>dir="ltr"&gt; &lt;span style="font-size: 12pt; color: #000000; background-color: transparent; font- weight: 400; font-style: normal; font-variant: normal; text-decoration: none; vertical-align: baseline; white-space: pre-wrap;"&gt;</w:t>
              <w:tab/>
              <w:t>&lt;span style="font-size: medium;"&gt;</w:t>
              <w:tab/>
              <w:tab/>
              <w:t>&lt;span style="font-size: medium;"&gt;De fato, da simples leitura do decisum embargado, verifica-se que o voto condutor do julgado apreciou, de forma fundamentada, todas as questões necessárias à solução da demanda.&lt;/span&gt;</w:t>
              <w:tab/>
              <w:t>&lt;/span&gt; &lt;/span&gt;&lt;/p&gt;&lt;p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w:t>
            </w:r>
          </w:p>
          <w:p>
            <w:pPr>
              <w:pStyle w:val="TableParagraph"/>
              <w:tabs>
                <w:tab w:pos="2596" w:val="left" w:leader="none"/>
                <w:tab w:pos="2794" w:val="left" w:leader="none"/>
              </w:tabs>
              <w:spacing w:line="208" w:lineRule="auto" w:before="0"/>
              <w:ind w:right="42"/>
              <w:rPr>
                <w:sz w:val="20"/>
              </w:rPr>
            </w:pPr>
            <w:r>
              <w:rPr>
                <w:sz w:val="20"/>
              </w:rPr>
              <w:t>style="font-size: medium;"&gt;</w:t>
              <w:tab/>
              <w:tab/>
              <w:t>&lt;span style="font-size: medium;"&gt;Sobre o tema, o </w:t>
            </w:r>
            <w:r>
              <w:rPr>
                <w:spacing w:val="-3"/>
                <w:sz w:val="20"/>
              </w:rPr>
              <w:t>Supremo </w:t>
            </w:r>
            <w:r>
              <w:rPr>
                <w:sz w:val="20"/>
              </w:rPr>
              <w:t>Tribunal Federal - STF, se manifestou por ocasião do julgamento do ARE: 1363321 SP, veja-se a Ementa:&lt;/span&gt;</w:t>
              <w:tab/>
              <w:t>&lt;/span&gt; &lt;/span&gt;&lt;/p&gt;&lt;p style="line-height: 1.7999999999999998; margin-left: 113.38582677165351pt; text-indent: 57pt; text-align: justify; margin-top: 6pt; margin-bottom: 6pt;" dir="ltr"&gt; &lt;span style="font-size: medium;"&gt;</w:t>
            </w:r>
          </w:p>
          <w:p>
            <w:pPr>
              <w:pStyle w:val="TableParagraph"/>
              <w:tabs>
                <w:tab w:pos="3288"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pre-wrap;"&gt;EMENTA: EMBARGOS DECLARATÓRIOS EM AGRAVO REGIMENTAL EM RECURSO EXTRAORDINÁRIO COM AGRAVO. OPOSIÇÃO EM 31.08.2022. ESCREVENTE DE SERVENTIA EXTRAJUDICIAL. LEI ESTADUAL 10.393/1970. NORMA QUE VINCULA PROVENTOS AO SALÁRIO MÍNIMO. NÃO RECEPÇÃO PELA CONSTITUIÇÃO FEDERAL DE 1988.</w:t>
            </w:r>
          </w:p>
          <w:p>
            <w:pPr>
              <w:pStyle w:val="TableParagraph"/>
              <w:spacing w:line="208" w:lineRule="auto" w:before="0"/>
              <w:rPr>
                <w:sz w:val="20"/>
              </w:rPr>
            </w:pPr>
            <w:r>
              <w:rPr>
                <w:sz w:val="20"/>
              </w:rPr>
              <w:t>SÚMULA VINCULANTE 4. ADI 4. 420. PRECEDENTES. ALÍQUOTA DE </w:t>
            </w:r>
            <w:r>
              <w:rPr>
                <w:spacing w:val="-2"/>
                <w:sz w:val="20"/>
              </w:rPr>
              <w:t>CONTRIBUIÇÃO. </w:t>
            </w:r>
            <w:r>
              <w:rPr>
                <w:sz w:val="20"/>
              </w:rPr>
              <w:t>PRETENSÃO DE MANUTENÇÃO. INEXISTÊNCIA DE DIREITO ADQUIRIDO A REGIME JURÍDICO. TEMA 660 DA REPERCUSSÃO GERAL. EMBARGOS REJEITADOS. 1. Ao</w:t>
            </w:r>
          </w:p>
          <w:p>
            <w:pPr>
              <w:pStyle w:val="TableParagraph"/>
              <w:tabs>
                <w:tab w:pos="6777" w:val="left" w:leader="none"/>
                <w:tab w:pos="6855" w:val="left" w:leader="none"/>
              </w:tabs>
              <w:spacing w:line="208" w:lineRule="auto" w:before="0"/>
              <w:ind w:right="85"/>
              <w:rPr>
                <w:sz w:val="20"/>
              </w:rPr>
            </w:pPr>
            <w:r>
              <w:rPr>
                <w:sz w:val="20"/>
              </w:rPr>
              <w:t>apreciar a ADI 4.420 e decidir sobre questão relativa à vinculação do reajustamento futuro dos benefícios, o Supremo Tribunal Federal não analisou a matéria sob a ótica da vinculação ao salário mínimo, mas sob o ângulo da constitucionalidade da previsão de critérios diversos de reajuste, ressalvando-se a impossibilidade da existência de direito adquirido à manutenção do regime jurídico anterior. Precedentes.&lt;/span&gt;</w:t>
              <w:tab/>
              <w:tab/>
              <w:t>&lt;span style="color: #000000; background-color: transparent; font-weight: 700; font-style: normal; font-variant: normal; text-decoration: none; vertical-align: baseline; white-space: pre- wrap;"&gt;2. Os embargos de declaração não constituem meio hábil para reforma do julgado, sendo cabíveis somente quando houver no acórdão omissão, contradição, obscuridade </w:t>
            </w:r>
            <w:r>
              <w:rPr>
                <w:spacing w:val="-9"/>
                <w:sz w:val="20"/>
              </w:rPr>
              <w:t>ou </w:t>
            </w:r>
            <w:r>
              <w:rPr>
                <w:sz w:val="20"/>
              </w:rPr>
              <w:t>erro material, o que não ocorre no presente caso. 3. Não se prestam os embargos de declaração para rediscutir a matéria, com objetivo único de obten&lt;/span&gt;</w:t>
              <w:tab/>
              <w:t>&lt;span style="color: #000000; background-color: transparent; font-weight: 400; font-style: normal; font-variant: normal; text-decoration: none; vertical-align: baseline; white-space: pre- wrap;"&gt;ção de excepcional efeito infringente 4. Embargos de declaração rejeitados. (STF </w:t>
            </w:r>
            <w:r>
              <w:rPr>
                <w:spacing w:val="-16"/>
                <w:sz w:val="20"/>
              </w:rPr>
              <w:t>- </w:t>
            </w:r>
            <w:r>
              <w:rPr>
                <w:sz w:val="20"/>
              </w:rPr>
              <w:t>ARE: 1363321 SP, Relator: EDSON FACHIN, Data de Julgamento: 29/05/2023, Segunda Turma, Data de Publicação: PROCESSO ELETRÔNICO DJe-s/n DIVULG 06-06-2023 PUBLIC 07-06-2023).&lt;/span&gt;&lt;/span&gt; &lt;/span&gt;&lt;/p&gt;&lt;p style="line-height: 1.7999999999999998; text-indent: 56.692913385826756pt; text-align: justify; margin-top: 6pt; margin-bottom: 6pt;" dir="ltr"&gt; &lt;span style="font-size: 12pt; color: #000000; 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683" w:val="left" w:leader="none"/>
                <w:tab w:pos="2794" w:val="left" w:leader="none"/>
                <w:tab w:pos="4932" w:val="left" w:leader="none"/>
                <w:tab w:pos="5475" w:val="left" w:leader="none"/>
                <w:tab w:pos="6553" w:val="left" w:leader="none"/>
                <w:tab w:pos="6652" w:val="left" w:leader="none"/>
              </w:tabs>
              <w:spacing w:line="208" w:lineRule="auto" w:before="26"/>
              <w:ind w:right="67"/>
              <w:rPr>
                <w:sz w:val="20"/>
              </w:rPr>
            </w:pPr>
            <w:r>
              <w:rPr>
                <w:sz w:val="20"/>
              </w:rPr>
              <w:t>text-decoration: none; vertical-align: baseline; white-space: pre-wrap;"&gt;</w:t>
              <w:tab/>
              <w:t>&lt;span style="font-size: medium;"&gt;</w:t>
              <w:tab/>
              <w:t>&lt;span style="font-size: medium;"&gt;Por sua vez, o Superior Tribunal de Justiça – STJ, também vem decidindo:&lt;/span&gt;</w:t>
              <w:tab/>
              <w:t>&lt;/span&gt; &lt;/span&gt;&lt;/p&gt;&lt;p style="line-height: 1.7999999999999998; margin-left: 113.38582677165351pt; text-indent: 57pt; text-align: justify; margin-top: 6pt; margin-bottom: 6pt;" dir="ltr"&gt; &lt;span style="font- size: medium;"&gt;</w:t>
              <w:tab/>
              <w:t>&lt;span style="font-size: medium;"&gt;</w:t>
              <w:tab/>
              <w:t>&lt;span style="color: #000000; background-color: transparent; font-weight: 400; font-style: normal; font-variant: normal; text-decoration: none; vertical-align: baseline; white-space: pre-wrap;"&gt;EMBARGOS DE DECLARAÇÃO NOS EMBARGOS DE DECLARAÇÃO NO AGRAVO INTERNO NOS EMBARGOS DE DIVERGÊNCIA EM RECURSO ESPECIAL. OBSCURIDADE, </w:t>
            </w:r>
            <w:r>
              <w:rPr>
                <w:spacing w:val="-3"/>
                <w:sz w:val="20"/>
              </w:rPr>
              <w:t>OMISSÃO, </w:t>
            </w:r>
            <w:r>
              <w:rPr>
                <w:sz w:val="20"/>
              </w:rPr>
              <w:t>CONTRADIÇÃO OU ERRO MATERIAL. NÃO OCORRÊNCIA. REFORMA DO JULGADO. IMPOSSIBILIDADE. EMBARGOS PROTELATÓRIOS. MULTA.&lt;/span&gt;</w:t>
              <w:tab/>
              <w:tab/>
              <w:t>&lt;span</w:t>
            </w:r>
          </w:p>
          <w:p>
            <w:pPr>
              <w:pStyle w:val="TableParagraph"/>
              <w:tabs>
                <w:tab w:pos="6399" w:val="left" w:leader="none"/>
              </w:tabs>
              <w:spacing w:line="208" w:lineRule="auto" w:before="0"/>
              <w:ind w:right="20"/>
              <w:rPr>
                <w:sz w:val="20"/>
              </w:rPr>
            </w:pPr>
            <w:r>
              <w:rPr>
                <w:sz w:val="20"/>
              </w:rPr>
              <w:t>style="color: #000000; background-color: transparent; font-weight: 700; font-style: normal; font-variant: normal; text-decoration: none; vertical-align: baseline; white-space: pre- wrap;"&gt;1. Os embargos de declaração são instrumento processual excepcional e, a teor </w:t>
            </w:r>
            <w:r>
              <w:rPr>
                <w:spacing w:val="-9"/>
                <w:sz w:val="20"/>
              </w:rPr>
              <w:t>do </w:t>
            </w:r>
            <w:r>
              <w:rPr>
                <w:sz w:val="20"/>
              </w:rPr>
              <w:t>art. 1.022 do CPC/2015, destinam-se ao aprimoramento do julgado que contenha obscuridade, contradição, erro material ou omissão sobre tema cujo pronunciamento se impunha manifestar o julgador. Não se prestam à simples reanálise da causa, nem são vocacionados a modificar o entendimento do órgão julgador.&lt;/span&gt;</w:t>
              <w:tab/>
              <w:t>&lt;span style="color: #000000; background-color: transparent; font-weight: 400; font-style: normal; font-variant: normal; text-decoration: none; vertical-align: baseline; white-space: pre-wrap;"&gt;2. O erro material apto a acolher os declaratórios é aquele evidente quanto a aspectos incontroversos da demanda, o que não se verifica na espécie. 3. Não se verifica omissão no acórdão embargado que abrangeu integralmente as matérias submetida a esta Corte.</w:t>
            </w:r>
          </w:p>
          <w:p>
            <w:pPr>
              <w:pStyle w:val="TableParagraph"/>
              <w:tabs>
                <w:tab w:pos="2156" w:val="left" w:leader="none"/>
                <w:tab w:pos="2794" w:val="left" w:leader="none"/>
                <w:tab w:pos="3101" w:val="left" w:leader="none"/>
                <w:tab w:pos="3329" w:val="left" w:leader="none"/>
                <w:tab w:pos="3675" w:val="left" w:leader="none"/>
                <w:tab w:pos="6265" w:val="left" w:leader="none"/>
                <w:tab w:pos="6365" w:val="left" w:leader="none"/>
                <w:tab w:pos="6689" w:val="left" w:leader="none"/>
                <w:tab w:pos="7275" w:val="left" w:leader="none"/>
              </w:tabs>
              <w:spacing w:line="208" w:lineRule="auto" w:before="0"/>
              <w:ind w:right="19"/>
              <w:rPr>
                <w:sz w:val="20"/>
              </w:rPr>
            </w:pPr>
            <w:r>
              <w:rPr>
                <w:sz w:val="20"/>
              </w:rPr>
              <w:t>4. Embargos de declaração rejeitados, com aplicação de multa do art. 1.026, § 2º do CPC/15. (STJ - EDcl nos EDcl no AgInt nos EREsp: 1788413 RS 2018/0340847-8, </w:t>
            </w:r>
            <w:r>
              <w:rPr>
                <w:spacing w:val="-3"/>
                <w:sz w:val="20"/>
              </w:rPr>
              <w:t>Relator: </w:t>
            </w:r>
            <w:r>
              <w:rPr>
                <w:sz w:val="20"/>
              </w:rPr>
              <w:t>Ministra NANCY ANDRIGHI, Data de Julgamento: 08/08/2023, CE - CORTE ESPECIAL, Data de Publicação: DJe 10/08/2023).&lt;/span&gt;&lt;/span&gt;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style="font-size: 12pt; color: #000000; background-color: transparent; font- weight: 400; font-style: normal; font-variant: normal; text-decoration: none; vertical-align: baseline; white-space: pre-wrap;"&gt;</w:t>
              <w:tab/>
              <w:t>&lt;span style="font-size: medium;"&gt;</w:t>
              <w:tab/>
              <w:tab/>
              <w:t>&lt;span style="font-size: medium;"&gt;Ao fim, de bom alvitre ressaltar o enunciado da Súmula nº 18 desta Corte de Justiça, verbis:&lt;/span&gt;</w:t>
              <w:tab/>
              <w:t>&lt;/span&gt; &lt;/span&gt;&lt;/p&gt;&lt;p style="line-height: 1.7999999999999998; margin-left: 113.38582677165351pt; text-indent: 57pt; text-align: justify; margin-top: 6pt; margin-bottom: 6pt;" dir="ltr"&gt;&amp;#160;&lt;/p&gt;&lt;p style="line-height: 1.7999999999999998; margin-left: 113.38582677165351pt; text-indent: 57pt; text-align: justify; margin-top: 6pt; margin-bottom: 6pt;" dir="ltr"&gt; &lt;span style="font-size: 12pt; color: #000000; background-color: transparent; font-weight: 400; font-style: normal; font-variant: normal; text-decoration: none; vertical-align: baseline; white-space: pre-wrap;"&gt;</w:t>
              <w:tab/>
              <w:t>&lt;span style="font-size: medium;"&gt;</w:t>
              <w:tab/>
              <w:t>&lt;span style="font-size: medium;"&gt;</w:t>
              <w:tab/>
              <w:t>&lt;em&gt;"São indevidos embargos de declaração que têm por única finalidade o reexame da controvérsia jurídica já apreciada."&lt;/em&gt;</w:t>
              <w:tab/>
              <w:t>&lt;/span&gt;</w:t>
              <w:tab/>
              <w: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style="font-size: 12pt; color: #000000; background-color: transparent; font- weight: 400; font-style: normal; font-variant: normal; text-decoration: none; vertical-align: baseline; white-space: pre-wrap;"&gt;</w:t>
              <w:tab/>
              <w:t>&lt;span style="font-size: medium;"&gt;</w:t>
              <w:tab/>
              <w:tab/>
              <w:t>&lt;span style="font-size: medium;"&gt;Insta ressaltar que a simples interposição dos Embargos já é suficiente para pré-questionar a matéria, ainda que os embargos de declaração sejam inadmitidos ou rejeitados. Inteligência do art. 1.025, do CPC:&lt;/span&gt;</w:t>
              <w:tab/>
              <w:tab/>
              <w:t>&lt;/span&gt;</w:t>
            </w:r>
          </w:p>
          <w:p>
            <w:pPr>
              <w:pStyle w:val="TableParagraph"/>
              <w:tabs>
                <w:tab w:pos="4562" w:val="left" w:leader="none"/>
              </w:tabs>
              <w:spacing w:line="208" w:lineRule="auto" w:before="0"/>
              <w:ind w:right="42"/>
              <w:rPr>
                <w:sz w:val="20"/>
              </w:rPr>
            </w:pPr>
            <w:r>
              <w:rPr>
                <w:sz w:val="20"/>
              </w:rPr>
              <w:t>&lt;/span&gt;&lt;/p&gt;&lt;p style="line-height: 1.7999999999999998; margin-left: 113.38582677165351pt; text-indent: 57pt; text-align: justify; margin-top: 6pt; margin- bottom: 6pt;" dir="ltr"&gt;&amp;#160;&lt;/p&gt;&lt;p style="line-height: 1.7999999999999998; margin-left: 113.38582677165351pt; text-indent: 57pt; text-align: justify; margin-top: 6pt; margin- bottom: 6pt;" dir="ltr"&gt; &lt;span style="font-size: 12pt; color: #000000; background-color: transparent; font-weight: 400; font-style: normal; font-variant: normal; text-decoration: </w:t>
            </w:r>
            <w:r>
              <w:rPr>
                <w:spacing w:val="-4"/>
                <w:sz w:val="20"/>
              </w:rPr>
              <w:t>none; </w:t>
            </w:r>
            <w:r>
              <w:rPr>
                <w:sz w:val="20"/>
              </w:rPr>
              <w:t>vertical-align: baseline; white-space: pre-wrap;"&gt;</w:t>
              <w:tab/>
              <w:t>&lt;span style="font-size: medium;"&gt;</w:t>
            </w:r>
          </w:p>
          <w:p>
            <w:pPr>
              <w:pStyle w:val="TableParagraph"/>
              <w:tabs>
                <w:tab w:pos="3511" w:val="left" w:leader="none"/>
                <w:tab w:pos="6654" w:val="left" w:leader="none"/>
              </w:tabs>
              <w:spacing w:line="208" w:lineRule="auto" w:before="0"/>
              <w:ind w:right="85"/>
              <w:rPr>
                <w:sz w:val="20"/>
              </w:rPr>
            </w:pPr>
            <w:r>
              <w:rPr>
                <w:sz w:val="20"/>
              </w:rPr>
              <w:t>&lt;span style="font-size: medium;"&gt;</w:t>
              <w:tab/>
              <w:t>&lt;em&gt;Art. 1.025. Consideram-se incluídos no acórdão os elementos que o embargante suscitou, para fins de pré-questionamento, </w:t>
            </w:r>
            <w:r>
              <w:rPr>
                <w:spacing w:val="-4"/>
                <w:sz w:val="20"/>
              </w:rPr>
              <w:t>ainda </w:t>
            </w:r>
            <w:r>
              <w:rPr>
                <w:sz w:val="20"/>
              </w:rPr>
              <w:t>que os embargos de declaração sejam inadmitidos ou rejeitados, caso o tribunal superior considere existentes erro, omissão, contradição ou obscuridade.&lt;/em&gt;</w:t>
              <w:tab/>
              <w:t>&lt;/span&gt;</w:t>
            </w:r>
          </w:p>
          <w:p>
            <w:pPr>
              <w:pStyle w:val="TableParagraph"/>
              <w:spacing w:line="208" w:lineRule="auto" w:before="0"/>
              <w:rPr>
                <w:sz w:val="20"/>
              </w:rPr>
            </w:pPr>
            <w:r>
              <w:rPr>
                <w:sz w:val="20"/>
              </w:rPr>
              <w:t>&lt;/span&gt; &lt;/span&gt;&lt;/p&gt;&lt;p style="line-height: 1.7999999999999998; text-indent: 56.692913385826756pt; text-align: justify; margin-top: 6pt; margin-bottom: 6pt;" dir="ltr"&gt;&amp;#160;&lt;/p&gt;&lt;p style="line-height: 1.7999999999999998; text-indent: 56.692913385826756pt; text-align: justify; margin-top: 6pt; margin-bottom: 6pt;"</w:t>
            </w:r>
            <w:r>
              <w:rPr>
                <w:spacing w:val="-18"/>
                <w:sz w:val="20"/>
              </w:rPr>
              <w:t> </w:t>
            </w:r>
            <w:r>
              <w:rPr>
                <w:sz w:val="20"/>
              </w:rPr>
              <w:t>dir="ltr"&gt;</w:t>
            </w:r>
          </w:p>
          <w:p>
            <w:pPr>
              <w:pStyle w:val="TableParagraph"/>
              <w:spacing w:line="205" w:lineRule="exact" w:before="0"/>
              <w:rPr>
                <w:sz w:val="20"/>
              </w:rPr>
            </w:pPr>
            <w:r>
              <w:rPr>
                <w:sz w:val="20"/>
              </w:rPr>
              <w:t>&lt;span style="font-size: 12pt; color: #000000; background-color: transparent; font-weight: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0219759-18.2023.8.06.0001</w:t>
            </w:r>
          </w:p>
        </w:tc>
      </w:tr>
      <w:tr>
        <w:trPr>
          <w:trHeight w:val="8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763" w:val="left" w:leader="none"/>
                <w:tab w:pos="2473" w:val="left" w:leader="none"/>
                <w:tab w:pos="2794" w:val="left" w:leader="none"/>
                <w:tab w:pos="3329" w:val="left" w:leader="none"/>
                <w:tab w:pos="5833" w:val="left" w:leader="none"/>
                <w:tab w:pos="6651" w:val="left" w:leader="none"/>
                <w:tab w:pos="6689" w:val="left" w:leader="none"/>
              </w:tabs>
              <w:spacing w:line="208" w:lineRule="auto" w:before="26"/>
              <w:ind w:right="51"/>
              <w:rPr>
                <w:sz w:val="20"/>
              </w:rPr>
            </w:pPr>
            <w:r>
              <w:rPr>
                <w:sz w:val="20"/>
              </w:rPr>
              <w:t>400; font-style: normal; font-variant: normal; text-decoration: none; vertical-align: baseline; white-space: pre-wrap;"&gt;</w:t>
              <w:tab/>
              <w:t>&lt;span style="font-size: medium;"&gt;</w:t>
              <w:tab/>
              <w:t>&lt;span style="font-size: medium;"&gt;Desta feita, não vejo com prosperar a pretensão aqui deduzida, uma vez que não há qualquer omissão, obscuridade, contradição ou sequer ambiguidade a declarar.&lt;/span&gt;</w:t>
              <w:tab/>
              <w:t>&lt;/span&gt; &lt;/span&gt;&lt;/p&gt;&lt;p style="line-height: 1.7999999999999998; text- indent: 56.692913385826756pt; text-align: justify; margin-top: 6pt; margin-bottom: 6pt;" dir="ltr"&gt; &lt;span style="font-size: 12pt; color: #000000; background-color: transparent; </w:t>
            </w:r>
            <w:r>
              <w:rPr>
                <w:spacing w:val="-4"/>
                <w:sz w:val="20"/>
              </w:rPr>
              <w:t>font- </w:t>
            </w:r>
            <w:r>
              <w:rPr>
                <w:sz w:val="20"/>
              </w:rPr>
              <w:t>weight: 400; font-style: normal; font-variant: normal; text-decoration: none; vertical-align: baseline; white-space: pre-wrap;"&gt;</w:t>
              <w:tab/>
              <w:t>&lt;span style="font-size: medium;"&gt;</w:t>
              <w:tab/>
              <w:tab/>
              <w:t>&lt;span style="font-size: medium;"&gt;</w:t>
              <w:tab/>
              <w:tab/>
              <w:t>&lt;strong&gt;DISPOSITIVO&lt;/strong&gt;&lt;/span&gt;</w:t>
              <w:tab/>
              <w:t>&lt;/span&gt;</w:t>
            </w:r>
          </w:p>
          <w:p>
            <w:pPr>
              <w:pStyle w:val="TableParagraph"/>
              <w:spacing w:line="208" w:lineRule="auto" w:before="0"/>
              <w:rPr>
                <w:sz w:val="20"/>
              </w:rPr>
            </w:pPr>
            <w:r>
              <w:rPr>
                <w:sz w:val="20"/>
              </w:rPr>
              <w:t>&lt;/span&gt;&lt;/p&gt;&lt;p style="line-height: 1.7999999999999998; text-indent: 56.692913385826756pt; text-align: justify; margin-top: 6pt; margin-bottom: 6pt;"</w:t>
            </w:r>
            <w:r>
              <w:rPr>
                <w:spacing w:val="-18"/>
                <w:sz w:val="20"/>
              </w:rPr>
              <w:t> </w:t>
            </w:r>
            <w:r>
              <w:rPr>
                <w:sz w:val="20"/>
              </w:rPr>
              <w:t>dir="ltr"&gt;</w:t>
            </w:r>
          </w:p>
          <w:p>
            <w:pPr>
              <w:pStyle w:val="TableParagraph"/>
              <w:tabs>
                <w:tab w:pos="2473" w:val="left" w:leader="none"/>
                <w:tab w:pos="5833" w:val="left" w:leader="none"/>
                <w:tab w:pos="6242" w:val="left" w:leader="none"/>
                <w:tab w:pos="6287" w:val="left" w:leader="none"/>
              </w:tabs>
              <w:spacing w:line="208" w:lineRule="auto" w:before="0"/>
              <w:ind w:right="164"/>
              <w:rPr>
                <w:sz w:val="20"/>
              </w:rPr>
            </w:pPr>
            <w:r>
              <w:rPr>
                <w:sz w:val="20"/>
              </w:rPr>
              <w:t>&lt;span style="font-size: 12pt; color: #000000; background-color: transparent; font-weight: 400; font-style: normal; font-variant: normal; text-decoration: none; vertical-align: baseline; white-space: pre-wrap;"&gt;</w:t>
              <w:tab/>
              <w:t>&lt;span style="font-size: medium;"&gt;</w:t>
              <w:tab/>
              <w:t>&lt;span style="font-size: medium;"&gt;Diante de tudo que acima foi exposto e fundamentado,</w:t>
              <w:tab/>
              <w:t>&lt;strong&gt;conheço dos aclaratórios, mas para negar-lhes provimento.&lt;/strong&gt;&lt;/span&gt;</w:t>
              <w:tab/>
              <w:tab/>
              <w:t>&lt;/span&gt; &lt;/span&gt;</w:t>
            </w:r>
          </w:p>
          <w:p>
            <w:pPr>
              <w:pStyle w:val="TableParagraph"/>
              <w:tabs>
                <w:tab w:pos="6553" w:val="left" w:leader="none"/>
              </w:tabs>
              <w:spacing w:line="208" w:lineRule="auto" w:before="0"/>
              <w:ind w:right="22"/>
              <w:rPr>
                <w:sz w:val="20"/>
              </w:rPr>
            </w:pPr>
            <w:r>
              <w:rPr>
                <w:sz w:val="20"/>
              </w:rPr>
              <w:t>&lt;span style="font-size: medium; text-indent: 8%;"&gt;&amp;#160;&lt;/span&gt;&lt;/p&gt;&lt;p style="line-height: 1.7999999999999998; text-indent: 56.692913385826756pt; text-align: justify; margin-top: 6pt; margin-bottom: 6pt;" dir="ltr"&gt; &lt;span style="font-size: 12pt; color: #000000; background-color: transparent; font-weight: 400; font-style: normal; font-variant: normal; text-decoration: none; vertical-align: baseline; white-space: pre-wrap;"&gt;</w:t>
              <w:tab/>
              <w:t>&lt;span</w:t>
            </w:r>
          </w:p>
          <w:p>
            <w:pPr>
              <w:pStyle w:val="TableParagraph"/>
              <w:tabs>
                <w:tab w:pos="2794" w:val="left" w:leader="none"/>
              </w:tabs>
              <w:spacing w:line="190" w:lineRule="exact" w:before="0"/>
              <w:rPr>
                <w:sz w:val="20"/>
              </w:rPr>
            </w:pPr>
            <w:r>
              <w:rPr>
                <w:sz w:val="20"/>
              </w:rPr>
              <w:t>style="font-size: medium;"&gt;</w:t>
              <w:tab/>
              <w:t>&lt;span style="font-size: medium;"&gt;É como voto.&lt;/span&gt;</w:t>
            </w:r>
          </w:p>
          <w:p>
            <w:pPr>
              <w:pStyle w:val="TableParagraph"/>
              <w:spacing w:line="208" w:lineRule="auto" w:before="8"/>
              <w:ind w:right="244"/>
              <w:rPr>
                <w:sz w:val="20"/>
              </w:rPr>
            </w:pPr>
            <w:r>
              <w:rPr>
                <w:sz w:val="20"/>
              </w:rPr>
              <w:t>&lt;/span&gt; &lt;/span&gt;&lt;/p&gt;&lt;p style="line-height: 1.7999999999999998; text-indent: 56.692913385826756pt; text-align: justify; margin-top: 6pt; margin-bottom: 6pt;" dir="ltr"&gt;</w:t>
            </w:r>
          </w:p>
          <w:p>
            <w:pPr>
              <w:pStyle w:val="TableParagraph"/>
              <w:tabs>
                <w:tab w:pos="1729" w:val="left" w:leader="none"/>
                <w:tab w:pos="2406" w:val="left" w:leader="none"/>
                <w:tab w:pos="3288" w:val="left" w:leader="none"/>
                <w:tab w:pos="6649" w:val="left" w:leader="none"/>
              </w:tabs>
              <w:spacing w:line="208" w:lineRule="auto" w:before="0"/>
              <w:ind w:right="73"/>
              <w:rPr>
                <w:sz w:val="20"/>
              </w:rPr>
            </w:pPr>
            <w:r>
              <w:rPr>
                <w:sz w:val="20"/>
              </w:rPr>
              <w:t>&lt;span style="font-size: medium;"&gt;</w:t>
              <w:tab/>
              <w:t>&lt;span style="font-size: medium;"&gt;</w:t>
              <w:tab/>
              <w:t>&lt;span style="color: #000000; background-color: transparent; font-weight: 400; font-style: normal; font-variant: normal; text-decoration: none; vertical-align: baseline; white-space: pre- wrap;"&gt;&amp;#160;&lt;/span&gt;</w:t>
              <w:tab/>
              <w:t>&lt;span style="text-indent: 8%;"&gt;Fortaleza/CE, data registrada </w:t>
            </w:r>
            <w:r>
              <w:rPr>
                <w:spacing w:val="-9"/>
                <w:sz w:val="20"/>
              </w:rPr>
              <w:t>no </w:t>
            </w:r>
            <w:r>
              <w:rPr>
                <w:sz w:val="20"/>
              </w:rPr>
              <w:t>sistema.&lt;/span&gt;</w:t>
              <w:tab/>
              <w:t>&lt;/span&gt; &lt;/span&gt;&lt;/p&gt;&lt;p style="text-indent: 8%; text-align: justify;"&gt;</w:t>
            </w:r>
          </w:p>
          <w:p>
            <w:pPr>
              <w:pStyle w:val="TableParagraph"/>
              <w:tabs>
                <w:tab w:pos="1905" w:val="left" w:leader="none"/>
                <w:tab w:pos="3044" w:val="left" w:leader="none"/>
                <w:tab w:pos="5488" w:val="left" w:leader="none"/>
                <w:tab w:pos="6404" w:val="left" w:leader="none"/>
                <w:tab w:pos="6455" w:val="left" w:leader="none"/>
              </w:tabs>
              <w:spacing w:line="208" w:lineRule="auto" w:before="0"/>
              <w:ind w:right="143"/>
              <w:rPr>
                <w:sz w:val="20"/>
              </w:rPr>
            </w:pPr>
            <w:r>
              <w:rPr>
                <w:sz w:val="20"/>
              </w:rPr>
              <w:t>&lt;span style="font-size: small;"&gt;</w:t>
              <w:tab/>
              <w:t>&lt;span style="font-size: medium;"&gt;</w:t>
              <w:tab/>
              <w:t>&lt;span </w:t>
            </w:r>
            <w:r>
              <w:rPr>
                <w:spacing w:val="-2"/>
                <w:sz w:val="20"/>
              </w:rPr>
              <w:t>style="font- </w:t>
            </w:r>
            <w:r>
              <w:rPr>
                <w:sz w:val="20"/>
              </w:rPr>
              <w:t>size: medium;"&gt;</w:t>
              <w:tab/>
              <w:t>&lt;span style="font-size: medium;"&gt;</w:t>
              <w:tab/>
              <w:t>&lt;br /&gt;</w:t>
              <w:tab/>
              <w:tab/>
              <w:t>&lt;/span&gt;</w:t>
            </w:r>
          </w:p>
          <w:p>
            <w:pPr>
              <w:pStyle w:val="TableParagraph"/>
              <w:tabs>
                <w:tab w:pos="985" w:val="left" w:leader="none"/>
                <w:tab w:pos="1439" w:val="left" w:leader="none"/>
                <w:tab w:pos="2682" w:val="left" w:leader="none"/>
                <w:tab w:pos="5021" w:val="left" w:leader="none"/>
                <w:tab w:pos="5920" w:val="left" w:leader="none"/>
                <w:tab w:pos="6099" w:val="left" w:leader="none"/>
                <w:tab w:pos="6895" w:val="left" w:leader="none"/>
              </w:tabs>
              <w:spacing w:line="208" w:lineRule="auto" w:before="0"/>
              <w:ind w:right="215"/>
              <w:rPr>
                <w:sz w:val="20"/>
              </w:rPr>
            </w:pPr>
            <w:r>
              <w:rPr>
                <w:sz w:val="20"/>
              </w:rPr>
              <w:t>&lt;/span&gt;</w:t>
              <w:tab/>
              <w:t>&lt;/span&gt; &lt;/span&gt;&lt;/p&gt;&lt;p style="text-indent: 8%; text-align: center;"&gt; &lt;span style="font-size: medium;"&gt;</w:t>
              <w:tab/>
              <w:t>&lt;strong style="font-size: small;"&gt;</w:t>
              <w:tab/>
              <w:t>&lt;span style="font-size: medium;"&gt;</w:t>
              <w:tab/>
              <w:t>&lt;span style="font-size: medium;"&gt;</w:t>
              <w:tab/>
              <w:t>&lt;br /&gt;</w:t>
              <w:tab/>
              <w:tab/>
              <w:t>&lt;strong style="font- size: medium;"&gt;FRANCISCO LUCÍDIO DE QUEIROZ JÚNIOR&lt;/strong&gt;</w:t>
              <w:tab/>
              <w:t>&lt;/span&gt;</w:t>
            </w:r>
          </w:p>
          <w:p>
            <w:pPr>
              <w:pStyle w:val="TableParagraph"/>
              <w:tabs>
                <w:tab w:pos="972" w:val="left" w:leader="none"/>
                <w:tab w:pos="4209" w:val="left" w:leader="none"/>
              </w:tabs>
              <w:spacing w:line="208" w:lineRule="auto" w:before="0"/>
              <w:ind w:right="415"/>
              <w:rPr>
                <w:sz w:val="20"/>
              </w:rPr>
            </w:pPr>
            <w:r>
              <w:rPr>
                <w:sz w:val="20"/>
              </w:rPr>
              <w:t>&lt;/span&gt;</w:t>
              <w:tab/>
              <w:t>&lt;/strong&gt; &lt;/span&gt;&lt;/p&gt;&lt;p style="text-align: center;"&gt; &lt;span style="font-size: small;"&gt;</w:t>
              <w:tab/>
              <w:t>&lt;strong style="font-size: small;"&gt;</w:t>
              <w:tab/>
              <w:t>&lt;span style="font-size: medium;"&gt;</w:t>
            </w:r>
          </w:p>
          <w:p>
            <w:pPr>
              <w:pStyle w:val="TableParagraph"/>
              <w:tabs>
                <w:tab w:pos="1852" w:val="left" w:leader="none"/>
                <w:tab w:pos="2908" w:val="left" w:leader="none"/>
                <w:tab w:pos="3622" w:val="left" w:leader="none"/>
                <w:tab w:pos="3853" w:val="left" w:leader="none"/>
              </w:tabs>
              <w:spacing w:line="208" w:lineRule="auto" w:before="0"/>
              <w:ind w:right="23"/>
              <w:rPr>
                <w:sz w:val="20"/>
              </w:rPr>
            </w:pPr>
            <w:r>
              <w:rPr>
                <w:sz w:val="20"/>
              </w:rPr>
              <w:t>&lt;span style="font-size: medium;"&gt;</w:t>
              <w:tab/>
              <w:t>&lt;span style="font-size: medium;"&gt;Desembargador Relator&lt;/span&gt;</w:t>
              <w:tab/>
              <w:t>&lt;/span&gt;</w:t>
              <w:tab/>
              <w:t>&lt;/span&gt;</w:t>
              <w:tab/>
              <w:t>&lt;/strong&gt; &lt;/span&gt;&lt;/p&gt;&lt;p&gt;&amp;#160;&lt;/p&gt;&lt;br</w:t>
            </w:r>
            <w:r>
              <w:rPr>
                <w:spacing w:val="2"/>
                <w:sz w:val="20"/>
              </w:rPr>
              <w:t> </w:t>
            </w:r>
            <w:r>
              <w:rPr>
                <w:spacing w:val="-4"/>
                <w:sz w:val="20"/>
              </w:rPr>
              <w:t>/&gt;&lt;br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705"/>
              <w:rPr>
                <w:sz w:val="20"/>
              </w:rPr>
            </w:pPr>
            <w:r>
              <w:rPr>
                <w:sz w:val="20"/>
              </w:rPr>
              <w:t>CAIXA DE ASSISTENCIA DOS FUNCIONARIOS DO BANCO DO NORDESTE DO BRASIL</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FELIPE SILVEIRA GURGEL DO AMARAL - (CE18476-A)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 P. D. 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 RABELLO LEAO - (PA22628-A)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&lt;strong&gt;PROCESSO&lt;/strong&gt;:&amp;#160;3010559-49.2025.8.06.0000 -&amp;#160;AGRAVO DE</w:t>
            </w:r>
          </w:p>
          <w:p>
            <w:pPr>
              <w:pStyle w:val="TableParagraph"/>
              <w:tabs>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CAIXA DE ASSISTENCIA DOS FUNCIONARIOS DO BANCO DO NORDESTE DO BRASIL&lt;/span&gt;</w:t>
            </w:r>
          </w:p>
          <w:p>
            <w:pPr>
              <w:pStyle w:val="TableParagraph"/>
              <w:tabs>
                <w:tab w:pos="1094" w:val="left" w:leader="none"/>
                <w:tab w:pos="1839" w:val="left" w:leader="none"/>
                <w:tab w:pos="2682" w:val="left" w:leader="none"/>
                <w:tab w:pos="4623" w:val="left" w:leader="none"/>
              </w:tabs>
              <w:spacing w:line="208" w:lineRule="auto" w:before="0"/>
              <w:ind w:right="21"/>
              <w:rPr>
                <w:sz w:val="20"/>
              </w:rPr>
            </w:pPr>
            <w:r>
              <w:rPr>
                <w:sz w:val="20"/>
              </w:rPr>
              <w:t>&lt;/span&gt;&lt;/p&gt;&lt;p&gt;  &lt;span style="font-size: small;"&gt;</w:t>
              <w:tab/>
              <w:t>&lt;span style="font-family: &amp;quot;times new roman&amp;quot;, times;"&gt;AGRAVADO: R. P. D. A.&lt;/span&gt; &lt;/span&gt;&lt;/p&gt;&lt;p&gt; &lt;span style="font-size: medium;"&gt;</w:t>
              <w:tab/>
              <w:t>&lt;span style="font-family: &amp;quot;times new roman&amp;quot;, times;"&gt;</w:t>
              <w:tab/>
              <w:t>&lt;br /&gt;</w:t>
              <w:tab/>
              <w:t>&lt;/span&gt; &lt;/span&gt;&lt;/p&gt;&lt;p style="line-height:1.38;text-align: justify;margin-top:6pt;margin-bottom:0pt;" dir="ltr"&gt;&lt;span style="font-size:12pt;font- family:'Times New Roman',serif;color:#131314;background-color:#ffffff;font-weight:400;font- style:normal;font-variant:normal;text-decoration:none;vertical-align:baseline;white- space:pre;white-space:pre-wrap;"&gt;Ementa: DIREITO PROCESSUAL CIVIL. AGRAVO DE INSTRUMENTO. CUMPRIMENTO PROVISÓRIO DE SENTENÇA, ONDE SE LIMITA A EXECUTAR O TÍTULO NOS TERMOS DA SENTENÇA, MANTENDO A EXIGIBILIDADE DA OBRIGAÇÃO, EXCLUINDO-SE O AUXILIAR EDUCATIVO (AE)&lt;/span&gt;&lt;span</w:t>
            </w:r>
          </w:p>
          <w:p>
            <w:pPr>
              <w:pStyle w:val="TableParagraph"/>
              <w:tabs>
                <w:tab w:pos="4562" w:val="left" w:leader="none"/>
              </w:tabs>
              <w:spacing w:line="208" w:lineRule="auto" w:before="0"/>
              <w:ind w:right="19"/>
              <w:rPr>
                <w:sz w:val="20"/>
              </w:rPr>
            </w:pPr>
            <w:r>
              <w:rPr>
                <w:sz w:val="20"/>
              </w:rPr>
              <w:t>style="color: #131314; font-family: &amp;quot;Times New Roman&amp;quot;, serif; font-size: 16px; white-space-collapse: preserve;"&gt;.&lt;/span&gt; &lt;span style="color: #131314; font-family: &amp;quot;Times New Roman&amp;quot;, serif; font-size: 12pt; white-space-collapse: preserve;"&gt;RECURSO CONHECIDO E DESPROVIDO.&lt;/span&gt;&lt;/p&gt;&lt;p style="line- height:1.38;text-align: justify;margin-top:6pt;margin-bottom:0pt;" dir="ltr"&gt; &lt;span style="font-size:12pt;font-family:'Times New Roman',serif;color:#131314;background- color:#ffffff;font-weight:700;font-style:normal;font-variant:normal;text- decoration:none;vertical-align:baseline;white-space:pre;white-space:pre-wrap;"&gt;I. Caso em exame&lt;/span&gt;&lt;/p&gt;&lt;p style="line-height:1.38;text-align: justify;margin-top:6pt;margin- bottom:0pt;" dir="ltr"&gt; &lt;span style="font-size:12pt;font-family:'Times New Roman',serif;color:#131314;background-color:#ffffff;font-weight:400;font-style:normal;font- variant:normal;text-decoration:none;vertical-align:baseline;white-space:pre;white- space:pre-wrap;"&gt;1. Agravo de Instrumento interposto por plano de saúde contra decisão interlocutória que rejeitou impugnação ao cumprimento provisório de sentença, relacionada ao custeio integral da Terapia ABA em ambiente natural para menor com Transtorno do Espectro Autista (TEA), excluindo-se apenas o Auxiliar Educativo (AE).&lt;/span&gt;&lt;/p&gt;&lt;p style="line-height:1.38;text-align: justify;margin-top:6pt;margin-bottom:0pt;" dir="ltr"&gt; </w:t>
            </w:r>
            <w:r>
              <w:rPr>
                <w:spacing w:val="-3"/>
                <w:sz w:val="20"/>
              </w:rPr>
              <w:t>&lt;span </w:t>
            </w:r>
            <w:r>
              <w:rPr>
                <w:sz w:val="20"/>
              </w:rPr>
              <w:t>style="font-size: 12pt; font-family: &amp;quot;Times New Roman&amp;quot;, serif; color: #131314; background-color: #ffffff; font-style: normal; font-variant: normal; text-decoration: none; vertical-align: baseline; white-space: pre-wrap;"&gt;</w:t>
              <w:tab/>
              <w:t>&lt;strong&gt;II. Questão em discussão&lt;/strong&gt; &lt;/span&gt;&lt;/p&gt;&lt;p style="line-height:1.38;text-align: justify;margin- top:6pt;margin-bottom:0pt;" dir="ltr"&gt;&lt;span style="font-size:12pt;font-family:'Times New Roman',serif;color:#131314;background-color:#ffffff;font-weight:400;font-style:normal;font- variant:normal;text-decoration:none;vertical-align:baseline;white-space:pre;white- space:pre-wrap;"&gt;2. A questão em discussão consiste em avaliar se&lt;/span&gt; &lt;span style="color: #131314; font-family: &amp;quot;Times New Roman&amp;quot;, serif; font-size: 16px;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662" w:val="left" w:leader="none"/>
                <w:tab w:pos="3884" w:val="left" w:leader="none"/>
                <w:tab w:pos="4629" w:val="left" w:leader="none"/>
                <w:tab w:pos="5406" w:val="left" w:leader="none"/>
                <w:tab w:pos="5547" w:val="left" w:leader="none"/>
              </w:tabs>
              <w:spacing w:line="208" w:lineRule="auto" w:before="26"/>
              <w:ind w:right="25"/>
              <w:rPr>
                <w:sz w:val="20"/>
              </w:rPr>
            </w:pPr>
            <w:r>
              <w:rPr>
                <w:sz w:val="20"/>
              </w:rPr>
              <w:t>white-space-collapse: preserve;"&gt;é exequível&lt;/span&gt; &lt;span style="color: #131314; font- family: &amp;quot;Times New Roman&amp;quot;, serif; font-size: 12pt; white-space-collapse: preserve;"&gt;a sentença que condenou ao custeio integral da Terapia ABA em ambiente natural da criança, excluindo apenas o Auxiliar Educativo (AE),&lt;/span&gt;&lt;/p&gt;&lt;p style="line- height:1.38;text-align: justify;margin-top:6pt;margin-bottom:0pt;" dir="ltr"&gt; &lt;span style="font-size:12pt;font-family:'Times New Roman',serif;color:#131314;background- color:#ffffff;font-weight:700;font-style:normal;font-variant:normal;text- decoration:none;vertical-align:baseline;white-space:pre;white-space:pre-wrap;"&gt;III. Razões de decidir&lt;/span&gt;&lt;/p&gt;&lt;p style="line-height:1.38;text-align: justify;margin-top:6pt;margin- bottom:0pt;" dir="ltr"&gt; &lt;span style="font-size:12pt;font-family:'Times New Roman',serif;color:#131314;background-color:#ffffff;font-weight:400;font-style:normal;font- variant:normal;text-decoration:none;vertical-align:baseline;white-space:pre;white- space:pre-wrap;"&gt;3. A sentença exequenda condenou a agravante ao custeio integral do tratamento descrito na inicial, confirmando a tutela antecipatória nos termos do laudo médico, excetuando apenas o fornecimento de Auxiliar Educativo (AE).&lt;/span&gt;&lt;/p&gt;&lt;p style="line-height:1.38;text-align: justify;margin-top:6pt;margin-bottom:0pt;" dir="ltr"&gt; </w:t>
            </w:r>
            <w:r>
              <w:rPr>
                <w:spacing w:val="-4"/>
                <w:sz w:val="20"/>
              </w:rPr>
              <w:t>&lt;span </w:t>
            </w:r>
            <w:r>
              <w:rPr>
                <w:sz w:val="20"/>
              </w:rPr>
              <w:t>style="font-size:12pt;font-family:'Times New Roman',serif;color:#131314;background- color:#ffffff;font-weight:400;font-style:normal;font-variant:normal;text- decoration:none;vertical-align:baseline;white-space:pre;white-space:pre-wrap;"&gt;4. O laudo médico prescreveu expressamente a realização da terapia no "ambiente clínico e natural da criança". A exclusão do AE não implica a restrição do ambiente de aplicação da </w:t>
            </w:r>
            <w:r>
              <w:rPr>
                <w:spacing w:val="-3"/>
                <w:sz w:val="20"/>
              </w:rPr>
              <w:t>Terapia </w:t>
            </w:r>
            <w:r>
              <w:rPr>
                <w:sz w:val="20"/>
              </w:rPr>
              <w:t>ABA.&lt;/span&gt;&lt;/p&gt;&lt;p style="line-height:1.38;text-align: justify;margin-top:6pt;margin- bottom:0pt;" dir="ltr"&gt; &lt;span style="font-size:12pt;font-family:'Times New Roman',serif;color:#131314;background-color:#ffffff;font-weight:400;font-style:normal;font- variant:normal;text-decoration:none;vertical-align:baseline;white-space:pre;white- space:pre-wrap;"&gt;5. A decisão agravada limitou-se a executar o título nos termos da sentença, mantendo a exigibilidade da obrigação, com a exclusão específica do AE.&lt;/span&gt;&lt;/p&gt;&lt;p style="line-height:1.38;text-align: justify;margin-top:6pt;margin- bottom:0pt;" dir="ltr"&gt; &lt;span style="font-size:12pt;font-family:'Times New Roman',serif;color:#131314;background-color:#ffffff;font-weight:400;font-style:normal;font- variant:normal;text-decoration:none;vertical-align:baseline;white-space:pre;white- space:pre-wrap;"&gt;6. A Agravante deve custear a Terapia ABA no ambiente natural, conforme prescrição médica, sendo a exclusão restrita ao AE.&lt;/span&gt;&lt;/p&gt;&lt;p style="line- height:1.38;text-align: justify;margin-top:6pt;margin-bottom:0pt;" dir="ltr"&gt; &lt;span style="font-size:12pt;font-family:'Times New Roman',serif;color:#131314;background- color:#ffffff;font-weight:700;font-style:normal;font-variant:normal;text- decoration:none;vertical-align:baseline;white-space:pre;white-space:pre-wrap;"&gt;IV. Dispositivo e tese&lt;/span&gt;&lt;/p&gt;&lt;p style="line-height:1.38;text-align: justify;margin- top:6pt;margin-bottom:0pt;" dir="ltr"&gt; &lt;span style="font-size:12pt;font-family:'Times New Roman',serif;color:#131314;background-color:#ffffff;font-weight:400;font-style:normal;font- variant:normal;text-decoration:none;vertical-align:baseline;white-space:pre;white- space:pre-wrap;"&gt;7. Recurso conhecido e desprovido.&lt;/span&gt;&lt;/p&gt;&lt;p style="line- height:1.38;text-align: justify;margin-top:6pt;margin-bottom:0pt;" dir="ltr"&gt; &lt;span style="font-size:12pt;font-family:'Times New Roman',serif;color:#131314;background- color:#ffffff;font-weight:400;font-style:normal;font-variant:normal;text- decoration:none;vertical-align:baseline;white-space:pre;white-space:pre-wrap;"&gt;Tese de julgamento: "A exclusão do Auxiliar Educativo (AE) da cobertura não restringe o ambiente de aplicação da Terapia ABA, devendo o plano de saúde custear o tratamento integral prescrito para Transtorno do Espectro Autista (TEA), incluindo a realização em ambiente natural."&lt;/span&gt;&lt;/p&gt;&lt;p style="line-height: 100%; orphans: 0; widows: 0; margin-bottom: 0.21cm;" align="justify"&gt; &lt;span id="docs-internal-guid-a019397a-7fff-ca00-d7af- 50baa4fce135"&gt;&amp;#160;&lt;/span&gt;&lt;/p&gt;&lt;p style="line-height:1.38;text-align: justify;margin- top:6pt;margin-bottom:0pt;" dir="ltr"&gt; &lt;span style="font-size:12pt;font-family:'Times New Roman',serif;color:#131314;background-color:#ffffff;font-weight:400;font-style:normal;font- variant:normal;text-decoration:none;vertical-align:baseline;white-space:pre;white- space:pre-wrap;"&gt;Dispositivos relevantes citados: CPC/2015, art. 525, § 1º, III.&lt;/span&gt;&lt;/p&gt;&lt;p style="line-height: 100%; orphans: 0; widows: 0; margin-bottom: 0.21cm;" align="justify"&gt;  &lt;span style="font-size: medium;"&gt;</w:t>
              <w:tab/>
              <w:tab/>
              <w:t>&lt;span style="font-family: &amp;quot;times new roman&amp;quot;, times;"&gt;</w:t>
              <w:tab/>
              <w:t>&lt;br /&gt;</w:t>
              <w:tab/>
              <w:t>&lt;/span&gt; &lt;/span&gt;&lt;/p&gt;&lt;p style="line- height: 150%; orphans: 0; widows: 0; margin-bottom: 0.21cm;" align="justify"&gt; &lt;span style="font-family: &amp;quot;times new roman&amp;quot;, times;"&gt;</w:t>
              <w:tab/>
              <w:t>&lt;span style="font-size: medium;"&gt;ACÓRDÃO: Vistos, relatados e discutidos estes autos, acorda a Quinta Câmara de Direito Privado Tribunal de Justiça do Estado do Ceará, por unanimidade em CONHECER do recurso, para NEGAR-LHE PROVIMENTO, nos termos do voto do relator, parte integrante deste.&lt;/span&gt; &lt;/span&gt;&lt;/p&gt;&lt;p style="line-height: 100%; orphans: 0; widows: 0; margin-bottom: 0.21cm;" align="justify"&gt; &lt;span style="font-family: &amp;quot;times new roman&amp;quot;, times;"&gt;</w:t>
              <w:tab/>
              <w:t>&lt;br /&gt; &lt;/span&gt;&lt;/p&gt;&lt;p style="line-height: 115%; orphans: 0; widows: 0; margin-bottom: 0.21cm;" align="justify"&gt; &lt;span style="font-size: medium;"&gt;</w:t>
            </w:r>
          </w:p>
          <w:p>
            <w:pPr>
              <w:pStyle w:val="TableParagraph"/>
              <w:tabs>
                <w:tab w:pos="6123" w:val="left" w:leader="none"/>
                <w:tab w:pos="6868" w:val="left" w:leader="none"/>
              </w:tabs>
              <w:spacing w:line="185" w:lineRule="exact" w:before="0"/>
              <w:rPr>
                <w:sz w:val="20"/>
              </w:rPr>
            </w:pPr>
            <w:r>
              <w:rPr>
                <w:sz w:val="20"/>
              </w:rPr>
              <w:t>&lt;span style="font-family: &amp;quot;times new roman&amp;quot;, times;"&gt;</w:t>
              <w:tab/>
              <w:t>&lt;br /&gt;</w:t>
              <w:tab/>
              <w:t>&lt;/span&gt;</w:t>
            </w:r>
          </w:p>
          <w:p>
            <w:pPr>
              <w:pStyle w:val="TableParagraph"/>
              <w:spacing w:line="215" w:lineRule="exact" w:before="0"/>
              <w:rPr>
                <w:sz w:val="20"/>
              </w:rPr>
            </w:pPr>
            <w:r>
              <w:rPr>
                <w:sz w:val="20"/>
              </w:rPr>
              <w:t>&lt;/span&gt;&lt;/p&gt;&lt;p style="line-height: 115%; orphans: 0; widows: 0; margin-bottom: 0.21cm;"</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507" w:val="left" w:leader="none"/>
                <w:tab w:pos="4709" w:val="left" w:leader="none"/>
              </w:tabs>
              <w:spacing w:line="208" w:lineRule="auto" w:before="26"/>
              <w:ind w:right="148"/>
              <w:rPr>
                <w:sz w:val="20"/>
              </w:rPr>
            </w:pPr>
            <w:r>
              <w:rPr>
                <w:sz w:val="20"/>
              </w:rPr>
              <w:t>align="justify"&gt;  &lt;span style="font-size: medium;"&gt;</w:t>
              <w:tab/>
              <w:t>&lt;span style="font-family: &amp;quot;times new roman&amp;quot;, times;"&gt;F&lt;/span&gt;</w:t>
              <w:tab/>
              <w:t>&lt;span style="font-family: &amp;quot;times new roman&amp;quot;, times;"&gt;ortaleza, data registrada no sistema.&lt;/span&gt; &lt;/span&gt;&lt;/p&gt;&lt;p style="line-height: 115%; orphans: 0; widows: 0; margin-bottom: 0.21cm;"</w:t>
            </w:r>
          </w:p>
          <w:p>
            <w:pPr>
              <w:pStyle w:val="TableParagraph"/>
              <w:tabs>
                <w:tab w:pos="1840" w:val="left" w:leader="none"/>
                <w:tab w:pos="6314" w:val="left" w:leader="none"/>
                <w:tab w:pos="7437" w:val="left" w:leader="none"/>
              </w:tabs>
              <w:spacing w:line="208" w:lineRule="auto" w:before="0"/>
              <w:ind w:right="164"/>
              <w:rPr>
                <w:sz w:val="20"/>
              </w:rPr>
            </w:pPr>
            <w:r>
              <w:rPr>
                <w:sz w:val="20"/>
              </w:rPr>
              <w:t>align="center"&gt;&amp;#160;&lt;/p&gt;&lt;p style="line-height: 100%; orphans: 0; widows: 0; margin- bottom: 0.21cm;" align="center"&gt;  &lt;span style="font-size: medium;"&gt;</w:t>
              <w:tab/>
              <w:t>&lt;strong&gt;</w:t>
              <w:tab/>
            </w:r>
            <w:r>
              <w:rPr>
                <w:spacing w:val="-4"/>
                <w:sz w:val="20"/>
              </w:rPr>
              <w:t>&lt;span </w:t>
            </w:r>
            <w:r>
              <w:rPr>
                <w:sz w:val="20"/>
              </w:rPr>
              <w:t>style="font-family: &amp;quot;times new roman&amp;quot;, times;"&gt;MARIA REGINA OLIVEIRA CÂMARA&lt;/span&gt;</w:t>
              <w:tab/>
              <w:t>&lt;/strong&gt; &lt;/span&gt;&lt;/p&gt;&lt;p style="line-height: 115%; orphans: 0; widows: 0; margin-bottom: 0.21cm;" align="center"&gt; &lt;span style="font-size: medium;"&gt;</w:t>
            </w:r>
          </w:p>
          <w:p>
            <w:pPr>
              <w:pStyle w:val="TableParagraph"/>
              <w:tabs>
                <w:tab w:pos="4518" w:val="left" w:leader="none"/>
                <w:tab w:pos="5374" w:val="left" w:leader="none"/>
                <w:tab w:pos="6119" w:val="left" w:leader="none"/>
                <w:tab w:pos="6314" w:val="left" w:leader="none"/>
              </w:tabs>
              <w:spacing w:line="208" w:lineRule="auto" w:before="0"/>
              <w:ind w:right="143"/>
              <w:rPr>
                <w:sz w:val="20"/>
              </w:rPr>
            </w:pPr>
            <w:r>
              <w:rPr>
                <w:sz w:val="20"/>
              </w:rPr>
              <w:t>&lt;span style="font-family: &amp;quot;times new roman&amp;quot;, times;"&gt;Presidente do Órgão Julgador&lt;/span&gt; &lt;/span&gt;&lt;/p&gt;&lt;p style="line-height: 100%; orphans: 0; widows: 0; </w:t>
            </w:r>
            <w:r>
              <w:rPr>
                <w:spacing w:val="-3"/>
                <w:sz w:val="20"/>
              </w:rPr>
              <w:t>margin- </w:t>
            </w:r>
            <w:r>
              <w:rPr>
                <w:sz w:val="20"/>
              </w:rPr>
              <w:t>bottom: 0.21cm;" align="center"&gt;  &lt;span style="font-size: medium;"&gt;</w:t>
              <w:tab/>
              <w:tab/>
              <w:t>&lt;span style="font- family: &amp;quot;times new roman&amp;quot;, times;"&gt;</w:t>
              <w:tab/>
              <w:t>&lt;br /&gt;</w:t>
              <w:tab/>
              <w:t>&lt;br /&gt;</w:t>
              <w:tab/>
              <w:t>&lt;/span&gt;</w:t>
            </w:r>
          </w:p>
          <w:p>
            <w:pPr>
              <w:pStyle w:val="TableParagraph"/>
              <w:tabs>
                <w:tab w:pos="1216" w:val="left" w:leader="none"/>
                <w:tab w:pos="2339" w:val="left" w:leader="none"/>
                <w:tab w:pos="2773" w:val="left" w:leader="none"/>
                <w:tab w:pos="3518" w:val="left" w:leader="none"/>
                <w:tab w:pos="4754" w:val="left" w:leader="none"/>
                <w:tab w:pos="5850"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&lt;br /&gt;</w:t>
              <w:tab/>
              <w:t>&lt;/span&gt; &lt;/span&gt;&lt;/p&gt;&lt;p style="line-height: 100%; orphans: 0; widows: 0; margin-bottom: 0.21cm;" align="center"&gt; &lt;span style="font-size: medium;"&gt;</w:t>
              <w:tab/>
              <w:t>&lt;strong&gt;</w:t>
              <w:tab/>
              <w:t>&lt;span style="font-family: &amp;quot;times new roman&amp;quot;, times;"&gt;FRANCISCO LUCÍDIO DE QUEIROZ JUNIOR&lt;/span&gt;</w:t>
              <w:tab/>
              <w:t>&lt;/strong&gt;</w:t>
            </w:r>
          </w:p>
          <w:p>
            <w:pPr>
              <w:pStyle w:val="TableParagraph"/>
              <w:tabs>
                <w:tab w:pos="4754" w:val="left" w:leader="none"/>
                <w:tab w:pos="747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w:t>
            </w:r>
          </w:p>
          <w:p>
            <w:pPr>
              <w:pStyle w:val="TableParagraph"/>
              <w:tabs>
                <w:tab w:pos="2438" w:val="left" w:leader="none"/>
                <w:tab w:pos="3561" w:val="left" w:leader="none"/>
                <w:tab w:pos="7032" w:val="left" w:leader="none"/>
                <w:tab w:pos="7396" w:val="left" w:leader="none"/>
              </w:tabs>
              <w:spacing w:line="208" w:lineRule="auto" w:before="0"/>
              <w:ind w:right="35"/>
              <w:rPr>
                <w:sz w:val="20"/>
              </w:rPr>
            </w:pPr>
            <w:r>
              <w:rPr>
                <w:sz w:val="20"/>
              </w:rPr>
              <w:t>&lt;/span&gt;&lt;/p&gt;&lt;p style="text-align: center;"&gt;&amp;#160;&lt;/p&gt;&lt;p style="text-align: center;"&gt; &lt;span style="font-size: small;"&gt;</w:t>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22"/>
              <w:rPr>
                <w:sz w:val="20"/>
              </w:rPr>
            </w:pPr>
            <w:r>
              <w:rPr>
                <w:sz w:val="20"/>
              </w:rPr>
              <w:t>&lt;/strong&gt; &lt;/span&gt;&lt;/p&gt;&lt;p style="text-align: center;"&gt;&amp;#160;&lt;/p&gt;&lt;p style="text-align: </w:t>
            </w:r>
            <w:r>
              <w:rPr>
                <w:spacing w:val="-3"/>
                <w:sz w:val="20"/>
              </w:rPr>
              <w:t>justify; </w:t>
            </w:r>
            <w:r>
              <w:rPr>
                <w:sz w:val="20"/>
              </w:rPr>
              <w:t>font-family: &amp;quot;Times New Roman&amp;quot;; font-size: medium; line-height: 1.8; text- indent: 56.6929pt; margin-top: 4pt; margin-bottom: 0pt;" dir="ltr"&gt;&lt;span style="font-size: 12pt; font-family: &amp;quot;Times New Roman&amp;quot;, serif; color: #131314; font-variant- numeric: normal; font-variant-east-asian: normal; font-variant-alternates: normal; font- variant-position: normal; font-variant-emoji: normal; vertical-align: baseline; white-space- collapse: preserve;"&gt;Trata-se de&lt;/span&gt; &lt;span style="font-size: 12pt; font-family: &amp;quot;Times New Roman&amp;quot;, serif; color: #131314; font-weight: 700; font-variant- numeric: normal; font-variant-east-asian: normal; font-variant-alternates: normal; font- variant-position: normal; font-variant-emoji: normal; vertical-align: baseline; white-space- collapse: preserve;"&gt;Agravo de Instrumento&lt;/span&gt; &lt;span style="font-size: 12pt; font- family: &amp;quot;Times New Roman&amp;quot;, serif; color: #131314; font-variant-numeric: normal; font-variant-east-asian: normal; font-variant-alternates: normal; font-variant-position: normal; font-variant-emoji: normal; vertical-align: baseline; white-space-collapse: preserve;"&gt;interposto por&lt;/span&gt; &lt;span style="font-size: 12pt; font-family: &amp;quot;Times New Roman&amp;quot;, serif; color: #131314; font-weight: 700; font-variant-numeric: normal; font-variant-east-asian: normal; font-variant-alternates: normal; font-variant-position: normal; font-variant-emoji: normal; vertical-align: baseline; white-space-collapse: preserve;"&gt;Caixa de Assistência dos Funcionários do Banco do Nordeste do Brasil – CAMED,&lt;/span&gt; &lt;span style="font-size: 12pt; font-family: &amp;quot;Times New Roman&amp;quot;, serif; color: #131314; font-variant-numeric: normal; font-variant-east-asian: normal; font- variant-alternates: normal; font-variant-position: normal; font-variant-emoji: normal; vertical- align: baseline; white-space-collapse: preserve;"&gt;contra a decisão interlocutória proferida pelo Juízo da 5ª Vara Cível da Comarca de Fortaleza/CE, nos autos do&lt;/span&gt; &lt;span style="font-size: 12pt; font-family: &amp;quot;Times New Roman&amp;quot;, serif; color: #131314; font-weight: 700; font-variant-numeric: normal; font-variant-east-asian: normal; font-variant- alternates: normal; font-variant-position: normal; font-variant-emoji: normal; vertical-align: baseline; white-space-collapse: preserve;"&gt;Cumprimento Provisório de Sentença&lt;/span&gt;</w:t>
            </w:r>
          </w:p>
          <w:p>
            <w:pPr>
              <w:pStyle w:val="TableParagraph"/>
              <w:spacing w:line="208" w:lineRule="auto" w:before="0"/>
              <w:ind w:right="38"/>
              <w:rPr>
                <w:sz w:val="20"/>
              </w:rPr>
            </w:pPr>
            <w:r>
              <w:rPr>
                <w:sz w:val="20"/>
              </w:rPr>
              <w:t>&lt;span style="font-size: 12pt; font-family: &amp;quot;Times New Roman&amp;quot;, serif; color: #131314; font-variant-numeric: normal; font-variant-east-asian: normal; font-variant- alternates: normal; font-variant-position: normal; font-variant-emoji: normal; vertical-align: baseline; white-space-collapse: preserve;"&gt;(nº 3003780-75.2025.8.06.0001), ajuizado por&lt;/span&gt; &lt;span style="font-size: 12pt; font-family: &amp;quot;Times New Roman&amp;quot;, </w:t>
            </w:r>
            <w:r>
              <w:rPr>
                <w:spacing w:val="-3"/>
                <w:sz w:val="20"/>
              </w:rPr>
              <w:t>serif; </w:t>
            </w:r>
            <w:r>
              <w:rPr>
                <w:sz w:val="20"/>
              </w:rPr>
              <w:t>color: #131314; font-weight: 700; font-variant-numeric: normal; font-variant-east-asian: normal; font-variant-alternates: normal; font-variant-position: normal; font-variant-emoji: normal; vertical-align: baseline; white-space-collapse: preserve;"&gt;Ravi Pinho de Arimatéa&lt;/span&gt;&lt;span style="font-size: 12pt; font-family: &amp;quot;Times New Roman&amp;quot;, serif; color: #131314; font-variant-numeric: normal; font-variant-east-asian: normal; font- variant-alternates: normal; font-variant-position: normal; font-variant-emoji: normal; vertical- align: baseline; white-space-collapse: preserve;"&gt;, representado por José Maurício de Arimatéa Júnior.&amp;#160;&lt;/span&gt;&lt;/p&gt;&lt;p style="text-align: justify; font-family: &amp;quot;Times New Roman&amp;quot;; font-size: medium; line-height: 1.8; text-indent: 56.6929pt; margin-top: 4pt; margin-bottom: 0pt;" dir="ltr"&gt; &lt;span style="font-size: 12pt; font-family: &amp;quot;Times New Roman&amp;quot;, serif; color: #131314; font-variant-numeric: normal; font-variant-east-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asian: normal; font-variant-alternates: normal; font-variant-position: normal; font-variant- emoji: normal; vertical-align: baseline; white-space-collapse: preserve;"&gt;No curso do cumprimento provisório da sentença, a CAMED apresentou impugnação, fundamentada </w:t>
            </w:r>
            <w:r>
              <w:rPr>
                <w:spacing w:val="-9"/>
                <w:sz w:val="20"/>
              </w:rPr>
              <w:t>na </w:t>
            </w:r>
            <w:r>
              <w:rPr>
                <w:sz w:val="20"/>
              </w:rPr>
              <w:t>inexigibilidade da obrigação (Art. 525, §1º, III, do CPC). Alegou que a obrigação de custear a Terapia ABA no ambiente natural da criança seria inexequível, pois implicitamente exige um profissional de suporte terapêutico (AT), que não está previsto contratual ou legalmente e cuja exclusão já havia sido reforçada em decisão de Agravo de Instrumento anterior (nº 0621970-28.2024.8.06.0000).&lt;/span&gt;&lt;/p&gt;&lt;p style="text-align: justify; font- family: &amp;quot;Times New Roman&amp;quot;; font-size: medium; line-height: 1.8; text-indent: 56.6929pt; margin-top: 4pt; margin-bottom: 0pt;" dir="ltr"&gt;&lt;span style="font-size: 12pt; font- family: &amp;quot;Times New Roman&amp;quot;, serif; color: #131314; font-variant-numeric: normal; font-variant-east-asian: normal; font-variant-alternates: normal; font-variant-position: normal; font-variant-emoji: normal; vertical-align: baseline; white-space-collapse: preserve;"&gt;O Juízo&lt;/span&gt; &lt;span style="font-size: 12pt; font-family: &amp;quot;Times New Roman&amp;quot;, serif; color: #131314; font-style: italic; font-variant-numeric: normal; font- variant-east-asian: normal; font-variant-alternates: normal; font-variant-position: normal; font-variant-emoji: normal; vertical-align: baseline; white-space-collapse: preserve;"&gt;a quo&lt;/span&gt; &lt;span style="font-size: 12pt; font-family: &amp;quot;Times New Roman&amp;quot;, serif; color: #131314; font-weight: 700; font-variant-numeric: normal; font-variant-east- asian: normal; font-variant-alternates: normal; font-variant-position: normal; font-variant- emoji: normal; vertical-align: baseline; white-space-collapse: preserve;"&gt;rejeitou a impugnação&lt;/span&gt;&lt;span style="font-size: 12pt; font-family: &amp;quot;Times New Roman&amp;quot;, serif; color: #131314; font-variant-numeric: normal; font-variant-east-asian: normal; font-variant-alternates: normal; font-variant-position: normal; font-variant-emoji: normal; vertical-align: baseline; white-space-collapse: preserve;"&gt;, entendendo que a prescrição médica nos autos principais indicou expressamente a realização do tratamento no "ambiente clínico e natural da criança", e que a exclusão se limitou ao Auxiliar Educativo (AE), não havendo óbice ao cumprimento da obrigação integral.&lt;/span&gt;&lt;/p&gt;&lt;p style="text-align: justify; font-family: &amp;quot;Times New Roman&amp;quot;; font-size: medium; line-height: 1.8; text-indent: 56.6929pt; margin-top: 4pt; margin-bottom: 0pt;" dir="ltr"&gt;</w:t>
            </w:r>
          </w:p>
          <w:p>
            <w:pPr>
              <w:pStyle w:val="TableParagraph"/>
              <w:spacing w:line="208" w:lineRule="auto" w:before="0"/>
              <w:ind w:right="107"/>
              <w:rPr>
                <w:sz w:val="20"/>
              </w:rPr>
            </w:pPr>
            <w:r>
              <w:rPr>
                <w:sz w:val="20"/>
              </w:rPr>
              <w:t>&lt;span style="font-size: 12pt; font-family: &amp;quot;Times New Roman&amp;quot;, serif; color: #131314; font-variant-numeric: normal; font-variant-east-asian: normal; font-variant- alternates: normal; font-variant-position: normal; font-variant-emoji: normal; vertical-align: baseline; white-space-collapse: preserve;"&gt;Irresignada com essa decisão, a agravante interpôs o presente recurso, reiterando a tese de inexigibilidade e pugnando pelo reconhecimento da ausência de obrigação contratual ou jurídica para o custeio da </w:t>
            </w:r>
            <w:r>
              <w:rPr>
                <w:spacing w:val="-3"/>
                <w:sz w:val="20"/>
              </w:rPr>
              <w:t>Terapia </w:t>
            </w:r>
            <w:r>
              <w:rPr>
                <w:sz w:val="20"/>
              </w:rPr>
              <w:t>ABA em ambiente natural sem profissional de suporte terapêutico.&lt;/span&gt;&lt;/p&gt;&lt;p style="text-align: justify; font-family: &amp;quot;Times New Roman&amp;quot;; font-size: medium; line-height: 1.8; text-indent: 56.6929pt; margin-top: 4pt; margin-bottom: 0pt;" dir="ltr"&gt;</w:t>
            </w:r>
          </w:p>
          <w:p>
            <w:pPr>
              <w:pStyle w:val="TableParagraph"/>
              <w:tabs>
                <w:tab w:pos="972" w:val="left" w:leader="none"/>
                <w:tab w:pos="2095" w:val="left" w:leader="none"/>
                <w:tab w:pos="5174" w:val="left" w:leader="none"/>
                <w:tab w:pos="5566" w:val="left" w:leader="none"/>
                <w:tab w:pos="6119" w:val="left" w:leader="none"/>
              </w:tabs>
              <w:spacing w:line="208" w:lineRule="auto" w:before="0"/>
              <w:ind w:right="25"/>
              <w:rPr>
                <w:sz w:val="20"/>
              </w:rPr>
            </w:pPr>
            <w:r>
              <w:rPr>
                <w:sz w:val="20"/>
              </w:rPr>
              <w:t>&lt;span style="font-size: 12pt; font-family: &amp;quot;Times New Roman&amp;quot;, serif; color: #131314; font-variant-numeric: normal; font-variant-east-asian: normal; font-variant- alternates: normal; font-variant-position: normal; font-variant-emoji: normal; vertical-align: baseline; white-space-collapse: preserve;"&gt;O agravado apresentou contrarrazões, pugnando pelo desprovimento do recurso e pela manutenção da decisão recorrida.&lt;/span&gt;&lt;/p&gt;&lt;p style="text-align: justify; font-family: &amp;quot;Times New Roman&amp;quot;; font-size: medium; line-height: 1.8; text-indent: 56.6929pt; margin-top: 4pt; margin-bottom: 0pt;" dir="ltr"&gt; &lt;span style="font-size: 12pt; font-family: &amp;quot;Times New Roman&amp;quot;, serif; color: #131314; font-variant-numeric: normal; font-variant-east-asian: normal; font-variant-alternates: normal; font-variant-position: normal; font-variant-emoji: normal; vertical-align: baseline; white-space-collapse: preserve;"&gt;A Relatoria anterior indeferiu o efeito suspensivo e remeteu os autos ao Ministério Público de segundo grau </w:t>
            </w:r>
            <w:r>
              <w:rPr>
                <w:spacing w:val="-5"/>
                <w:sz w:val="20"/>
              </w:rPr>
              <w:t>(ID </w:t>
            </w:r>
            <w:r>
              <w:rPr>
                <w:sz w:val="20"/>
              </w:rPr>
              <w:t>25538372).&lt;/span&gt;&lt;/p&gt;&lt;p style="text-align: justify; font-family: &amp;quot;Times New Roman&amp;quot;; font-size: medium; line-height: 1.8; text-indent: 56.6929pt; margin-top: 4pt; margin-bottom: 0pt;" dir="ltr"&gt; &lt;span style="font-size: 12pt; font-family: &amp;quot;Times New Roman&amp;quot;, serif; color: #131314; font-variant-numeric: normal; font-variant-east-asian: normal; font-variant-alternates: normal; font-variant-position: normal; font-variant-emoji: normal; vertical-align: baseline; white-space-collapse: preserve;"&gt;Instada a se manifestar, a Procuradoria Geral de Justiça emitiu parecer opinando pelo conhecimento e desprovimento do recurso (ID 29292626).&lt;/span&gt;&lt;/p&gt;&lt;p style="text-align: justify; font- family: &amp;quot;Times New Roman&amp;quot;; font-size: medium; line-height: 1.8; text-indent: 56.6929pt; margin-top: 4pt; margin-bottom: 0pt;" dir="ltr"&gt; &lt;span style="font-size: 12pt; font-family: &amp;quot;Times New Roman&amp;quot;, serif; color: #131314; font-variant-numeric: normal; font-variant-east-asian: normal; font-variant-alternates: normal; font-variant- position: normal; font-variant-emoji: normal; vertical-align: baseline; white-space-collapse: preserve;"&gt;Os autos foram redistribuídos a esta Relatoria para julgamento.&lt;/span&gt;&lt;/p&gt;&lt;p style="text-align: center;"&gt;&amp;#160;&lt;/p&gt;&lt;p style="text-align: center;"&gt; &lt;span style="font-size: small;"&gt;</w:t>
              <w:tab/>
              <w:t>&lt;strong&gt;</w:t>
              <w:tab/>
              <w:t>&lt;span style="font-size: medium;"&gt;</w:t>
              <w:tab/>
              <w:tab/>
              <w:t>&lt;span style="font-family: &amp;quot;times new roman&amp;quot;, times;"&gt;VOTO&lt;/span&gt;</w:t>
              <w:tab/>
              <w:t>&lt;/span&gt;</w:t>
              <w:tab/>
              <w:t>&lt;/strong&gt;</w:t>
            </w:r>
          </w:p>
          <w:p>
            <w:pPr>
              <w:pStyle w:val="TableParagraph"/>
              <w:tabs>
                <w:tab w:pos="2905" w:val="left" w:leader="none"/>
                <w:tab w:pos="5916" w:val="left" w:leader="none"/>
                <w:tab w:pos="7039" w:val="left" w:leader="none"/>
              </w:tabs>
              <w:spacing w:line="208" w:lineRule="auto" w:before="0"/>
              <w:ind w:right="274"/>
              <w:rPr>
                <w:sz w:val="20"/>
              </w:rPr>
            </w:pPr>
            <w:r>
              <w:rPr>
                <w:sz w:val="20"/>
              </w:rPr>
              <w:t>&lt;/span&gt;&lt;/p&gt;&lt;p align="center"&gt;  &lt;span style="font-size: small;"&gt;</w:t>
              <w:tab/>
              <w:t>&lt;strong&gt;</w:t>
              <w:tab/>
              <w:t>&lt;span style="font-size: medium;"&gt;</w:t>
              <w:tab/>
              <w:t>&lt;span style="font-family: &amp;quot;times new</w:t>
            </w:r>
            <w:r>
              <w:rPr>
                <w:spacing w:val="5"/>
                <w:sz w:val="20"/>
              </w:rPr>
              <w:t> </w:t>
            </w:r>
            <w:r>
              <w:rPr>
                <w:spacing w:val="-2"/>
                <w:sz w:val="20"/>
              </w:rPr>
              <w:t>roman&amp;quot;,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16" w:val="left" w:leader="none"/>
                <w:tab w:pos="2283" w:val="left" w:leader="none"/>
                <w:tab w:pos="3340" w:val="left" w:leader="none"/>
                <w:tab w:pos="4188" w:val="left" w:leader="none"/>
                <w:tab w:pos="4285" w:val="left" w:leader="none"/>
              </w:tabs>
              <w:spacing w:line="208" w:lineRule="auto" w:before="26"/>
              <w:ind w:right="42"/>
              <w:rPr>
                <w:sz w:val="20"/>
              </w:rPr>
            </w:pPr>
            <w:r>
              <w:rPr>
                <w:sz w:val="20"/>
              </w:rPr>
              <w:t>times;"&gt;</w:t>
              <w:tab/>
              <w:t>&lt;br /&gt;</w:t>
              <w:tab/>
              <w:t>&lt;/span&gt;</w:t>
              <w:tab/>
              <w:t>&lt;/span&gt;</w:t>
              <w:tab/>
              <w:tab/>
              <w:t>&lt;/strong&gt; &lt;/span&gt;&lt;/p&gt;&lt;p style="text- indent: 8%; text-align: justify;"&gt; &lt;strong id="docs-internal-guid-fd533140-7fff-8677-e230- 030b702c54c6" style="font-weight:normal;"&gt;</w:t>
              <w:tab/>
              <w:t>&lt;br /&gt; &lt;/strong&gt;&lt;/p&gt;&lt;p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 Admissibilidade:&lt;/span&gt;&lt;/p&gt;&lt;p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space:pre-wrap;"&gt;O recurso preenche os requisitos intrínsecos e extrínsecos de admissibilidade, razão pela qual deve ser conhecido.&lt;/span&gt;&lt;/p&gt;&lt;p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 Mérito:&lt;/span&gt;&lt;/p&gt;&lt;p style="line-height:1.7999999999999998;text- 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space:pre-wrap;"&gt;O cerne da insurgência recursal reside na alegação de inexigibilidade </w:t>
            </w:r>
            <w:r>
              <w:rPr>
                <w:spacing w:val="-9"/>
                <w:sz w:val="20"/>
              </w:rPr>
              <w:t>da </w:t>
            </w:r>
            <w:r>
              <w:rPr>
                <w:sz w:val="20"/>
              </w:rPr>
              <w:t>obrigação, nos termos do art. 525, § 1º, III, do Código de Processo Civil. A agravante sustenta que a obrigação de fornecer a Terapia ABA no ambiente natural é inexequível, pois exige, implicitamente, o Assistente Terapêutico (AT), cuja cobertura não é obrigatória.&lt;/span&gt;&lt;/p&gt;&lt;p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space:pre-wrap;"&gt;A análise exige a estrita observância dos&lt;/span&gt; &lt;span style="font- size:12pt;font-family:'Times New Roman',serif;color:#131314;background-color:#ffffff;font- weight:700;font-style:normal;font-variant:normal;text-decoration:none;vertical- align:baseline;white-space:pre;white-space:pre-wrap;"&gt;limites objetivos do título executivo&lt;/span&gt;&lt;span style="font-size:12pt;font-family:'Times New Roman',serif;color:#131314;background-color:#ffffff;font-weight:400;font-style:normal;font- variant:normal;text-decoration:none;vertical-align:baseline;white-space:pre;white- space:pre-wrap;"&gt;. A sentença exequenda é clara ao:&lt;/span&gt;&lt;/p&gt;&lt;p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space:pre-wrap;"&gt;1. Condenar ao custeio integral do tratamento descrito na inicial.&lt;/span&gt;&lt;/p&gt;&lt;p style="line-height:1.7999999999999998;text-indent: 56.692913385826756pt;text-align: justify;margin-top:4pt;margin-bottom:0pt;" dir="ltr"&gt;</w:t>
            </w:r>
          </w:p>
          <w:p>
            <w:pPr>
              <w:pStyle w:val="TableParagraph"/>
              <w:spacing w:line="208" w:lineRule="auto" w:before="0"/>
              <w:ind w:right="110"/>
              <w:rPr>
                <w:sz w:val="20"/>
              </w:rPr>
            </w:pPr>
            <w:r>
              <w:rPr>
                <w:sz w:val="20"/>
              </w:rPr>
              <w:t>&lt;span style="font-size:12pt;font-family:'Times New Roman',serif;color:#131314;background-color:#ffffff;font-weight:400;font-style:normal;font- variant:normal;text-decoration:none;vertical-align:baseline;white-space:pre;white- space:pre-wrap;"&gt;2. Definir que o tratamento deve ocorrer nos termos do laudo médico, que inclui o ambiente "clínico e natural da criança".&lt;/span&gt;&lt;/p&gt;&lt;p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space:pre-wrap;"&gt;3. Excluir, expressamente, apenas o fornecimento de Auxiliar Educativo (AE).&lt;/span&gt;&lt;/p&gt;&lt;p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space:pre-wrap;"&gt;A interpretação da decisão agravada (Juízo&lt;/span&gt; &lt;span style="font- size:12pt;font-family:'Times New Roman',serif;color:#131314;background-color:#ffffff;font- weight:400;font-style:italic;font-variant:normal;text-decoration:none;vertical- align:baseline;white-space:pre;white-space:pre-wrap;"&gt;a quo&lt;/span&gt;&lt;span style="font- size:12pt;font-family:'Times New Roman',serif;color:#131314;background-color:#ffffff;font- weight:400;font-style:normal;font-variant:normal;text-decoration:none;vertical- align:baseline;white-space:pre;white-space:pre-wrap;"&gt;) está em consonância com o título executivo. Ao determinar o custeio integral da Terapia ABA em ambiente natural, o juízo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3"/>
              <w:rPr>
                <w:sz w:val="20"/>
              </w:rPr>
            </w:pPr>
            <w:r>
              <w:rPr>
                <w:sz w:val="20"/>
              </w:rPr>
              <w:t>não criou uma nova obrigação, mas apenas garantiu a execução daquela já confirmada na fase de conhecimento. A exclusão de um profissional específico (AE) não se traduz em proibição do local de tratamento, exceto se comprovado que o tratamento,&lt;/span&gt; &lt;span style="font-size:12pt;font-family:'Times New Roman',serif;color:#131314;background- color:#ffffff;font-weight:400;font-style:italic;font-variant:normal;text-decoration:none;vertical- align:baseline;white-space:pre;white-space:pre-wrap;"&gt;na forma prescrita&lt;/span&gt;&lt;span style="font-size:12pt;font-family:'Times New Roman',serif;color:#131314;background- color:#ffffff;font-weight:400;font-style:normal;font-variant:normal;text- decoration:none;vertical-align:baseline;white-space:pre;white-space:pre-wrap;"&gt;, é impossível de ser executado sem o profissional especificamente excluído ou sem o AT, cuja cobertura é controversa.&lt;/span&gt;&lt;/p&gt;&lt;p style="line-height:1.7999999999999998;text- 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space:pre-wrap;"&gt;Embora a agravante seja uma entidade de autogestão (CAMED) e, em tese, não se aplique o Código de Defesa do Consumidor (Súmula 608, STJ), os contratos de saúde são de natureza existencial, prevalecendo os valores de vida e saúde.&lt;/span&gt;&lt;/p&gt;&lt;p style="line-height:1.7999999999999998;text-indent: 56.692913385826756pt;text-align: justify;margin-top:4pt;margin-bottom:0pt;" dir="ltr"&gt;</w:t>
            </w:r>
          </w:p>
          <w:p>
            <w:pPr>
              <w:pStyle w:val="TableParagraph"/>
              <w:spacing w:line="208" w:lineRule="auto" w:before="0"/>
              <w:ind w:right="109"/>
              <w:rPr>
                <w:sz w:val="20"/>
              </w:rPr>
            </w:pPr>
            <w:r>
              <w:rPr>
                <w:sz w:val="20"/>
              </w:rPr>
              <w:t>&lt;span style="font-size:12pt;font-family:'Times New Roman',serif;color:#131314;background-color:#ffffff;font-weight:400;font-style:normal;font- variant:normal;text-decoration:none;vertical-align:baseline;white-space:pre;white- space:pre-wrap;"&gt;A jurisprudência tem solidificado o entendimento de que a operadora de saúde tem a obrigação de custear o tratamento de TEA (Transtorno do Espectro Autista), ainda que por métodos não expressamente listados no Rol da ANS (caráter não taxativo).&lt;/span&gt;&lt;/p&gt;&lt;p style="line-height:1.7999999999999998;text-indent: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space:pre-wrap;"&gt;No entanto, em relação ao Assistente Terapêutico (AT) ou Auxiliar Educativo (AE) em ambientes não clínicos (domiciliar ou escolar), há entendimento</w:t>
            </w:r>
          </w:p>
          <w:p>
            <w:pPr>
              <w:pStyle w:val="TableParagraph"/>
              <w:spacing w:line="208" w:lineRule="auto" w:before="0"/>
              <w:ind w:right="21"/>
              <w:rPr>
                <w:sz w:val="20"/>
              </w:rPr>
            </w:pPr>
            <w:r>
              <w:rPr>
                <w:sz w:val="20"/>
              </w:rPr>
              <w:t>consolidado no Superior Tribunal de Justiça, que não há obrigação contratual ou legal para o custeio desse tipo de suporte. O argumento é que o AT, muitas vezes, não é uma profissão regulamentada e não se enquadra na assistência fora do âmbito de estabelecimentos de saúde, exceto nos casos de&lt;/span&gt; &lt;span style="font-size:12pt;font- family:'Times New Roman',serif;color:#131314;background-color:#ffffff;font-weight:400;font- style:italic;font-variant:normal;text-decoration:none;vertical-align:baseline;white- space:pre;white-space:pre-wrap;"&gt;home care&lt;/span&gt; &lt;span style="font-size:12pt;font- family:'Times New Roman',serif;color:#131314;background-color:#ffffff;font-weight:400;font- style:normal;font-variant:normal;text-decoration:none;vertical-align:baseline;white- space:pre;white-space:pre-wrap;"&gt;por dificuldades de locomoção ou extensão de internação hospitalar, o que não foi demonstrado nos autos.&lt;/span&gt;&lt;/p&gt;&lt;p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space:pre-wrap;"&gt;Ocorre que a sentença de mérito já acatou essa linha argumentativa, excluindo o Auxiliar Educativo (AE). A decisão em agravo de instrumento anterior, mencionada pela agravante, embora tenha reforçado a exclusão do AT/AE por ausência de previsão contratual para modalidade domiciliar, foi superada pelo julgamento do mérito da ação.&lt;/span&gt;&lt;/p&gt;&lt;p style="line-height:1.7999999999999998;text-indent: 56.692913385826756pt;text-align: justify;margin-top:4pt;margin-bottom:0pt;" dir="ltr"&gt;</w:t>
            </w:r>
          </w:p>
          <w:p>
            <w:pPr>
              <w:pStyle w:val="TableParagraph"/>
              <w:spacing w:line="208" w:lineRule="auto" w:before="0"/>
              <w:ind w:right="52"/>
              <w:rPr>
                <w:sz w:val="20"/>
              </w:rPr>
            </w:pPr>
            <w:r>
              <w:rPr>
                <w:sz w:val="20"/>
              </w:rPr>
              <w:t>&lt;span style="font-size:12pt;font-family:'Times New Roman',serif;color:#131314;background-color:#ffffff;font-weight:400;font-style:normal;font- variant:normal;text-decoration:none;vertical-align:baseline;white-space:pre;white- space:pre-wrap;"&gt;O ponto crucial, e que foi consignado na decisão agravada, é que a sentença não proibiu o ambiente natural, mas sim a figura do acompanhante escolar. Se a Terapia ABA, a ser conduzida por profissional da área de psicologia, pode ser realizada </w:t>
            </w:r>
            <w:r>
              <w:rPr>
                <w:spacing w:val="-9"/>
                <w:sz w:val="20"/>
              </w:rPr>
              <w:t>no </w:t>
            </w:r>
            <w:r>
              <w:rPr>
                <w:sz w:val="20"/>
              </w:rPr>
              <w:t>ambiente natural como parte do tratamento prescrito, sem que isso implique o custeio do AE/AT (que já está excluído), a obrigação permanece exigível.&lt;/span&gt;&lt;/p&gt;&lt;p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space:pre-wrap;"&gt;Em sede de Cumprimento Provisório de Sentença, não se admite a rediscussão do mérito da obrigação já definida, mas apenas a verificação de sua exigibilidade/liquidez. No caso, a obrigação é certa: custear o tratamento&lt;/span&gt; &lt;span style="font-size:12pt;font-family:'Times New Roman',serif;color:#131314;background-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5"/>
              <w:rPr>
                <w:sz w:val="20"/>
              </w:rPr>
            </w:pPr>
            <w:r>
              <w:rPr>
                <w:sz w:val="20"/>
              </w:rPr>
              <w:t>color:#ffffff;font-weight:400;font-style:italic;font-variant:normal;text-decoration:none;vertical- align:baseline;white-space:pre;white-space:pre-wrap;"&gt;descrito na inicial&lt;/span&gt;&lt;span style="font-size:12pt;font-family:'Times New Roman',serif;color:#131314;background- color:#ffffff;font-weight:400;font-style:normal;font-variant:normal;text- decoration:none;vertical-align:baseline;white-space:pre;white-space:pre-wrap;"&gt;, exceto o AE. A decisão agravada, portanto, limitou-se a executar o título nos seus exatos termos, não se evidenciando a inexigibilidade.&lt;/span&gt;&lt;/p&gt;&lt;p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space:pre-wrap;"&gt;Conforme o parecer ministerial, deve ser mantida a responsabilidade do plano pelo tratamento,&lt;/span&gt; &lt;span style="font-size:12pt;font-family:'Times New Roman',serif;color:#131314;background-color:#ffffff;font-weight:700;font-style:normal;font- variant:normal;text-decoration:none;vertical-align:baseline;white-space:pre;white- space:pre-wrap;"&gt;com a exceção do custeio de assistente terapêutico em regime domiciliar&lt;/span&gt;&lt;span style="font-size:12pt;font-family:'Times New Roman',serif;color:#131314;background-color:#ffffff;font-weight:400;font-style:normal;font- variant:normal;text-decoration:none;vertical-align:baseline;white-space:pre;white- space:pre-wrap;"&gt;. Como a decisão agravada já excluiu o AE e a manutenção da terapia no ambiente natural não está condicionada ao custeio do AT/AE, o Agravo deve ser desprovido.&lt;/span&gt;&lt;/p&gt;&lt;p style="line-height:1.7999999999999998;text-indent: 56.692913385826756pt;text-align: justify;margin-top:4pt;margin-bottom:0pt;" dir="ltr"&gt;</w:t>
            </w:r>
          </w:p>
          <w:p>
            <w:pPr>
              <w:pStyle w:val="TableParagraph"/>
              <w:spacing w:line="208" w:lineRule="auto" w:before="0"/>
              <w:ind w:right="109"/>
              <w:rPr>
                <w:sz w:val="20"/>
              </w:rPr>
            </w:pPr>
            <w:r>
              <w:rPr>
                <w:sz w:val="20"/>
              </w:rPr>
              <w:t>&lt;span style="font-size:12pt;font-family:'Times New Roman',serif;color:#131314;background-color:#ffffff;font-weight:700;font-style:normal;font- variant:normal;text-decoration:none;vertical-align:baseline;white-space:pre;white- space:pre-wrap;"&gt;Dispositivo&lt;/span&gt;&lt;/p&gt;&lt;p style="line-height:1.7999999999999998;text- 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space:pre-wrap;"&gt;Por todo o exposto, em consonância com a manifestação da Procuradoria de Justiça,&lt;/span&gt; &lt;span style="text-indent: 56.6929pt; font-size: 12pt; font- family: &amp;quot;Times New Roman&amp;quot;, serif; color: #131314; font-weight: 700; font- variant-numeric: normal; font-variant-east-asian: normal; font-variant-alternates: normal; font-variant-position: normal; font-variant-emoji: normal; vertical-align: baseline; white- space-collapse: preserve;"&gt;CONHEÇO&lt;/span&gt; &lt;span style="text-indent: 56.6929pt; font- size: 12pt; font-family: &amp;quot;Times New Roman&amp;quot;, serif; color: #131314; font-variant- numeric: normal; font-variant-east-asian: normal; font-variant-alternates: normal; font- variant-position: normal; font-variant-emoji: normal; vertical-align: baseline; white-space- collapse: preserve;"&gt;do Agravo de Instrumento e, no mérito,&lt;/span&gt; &lt;span style="text- indent: 56.6929pt; font-size: 12pt; font-family: &amp;quot;Times New Roman&amp;quot;, serif; </w:t>
            </w:r>
            <w:r>
              <w:rPr>
                <w:spacing w:val="-3"/>
                <w:sz w:val="20"/>
              </w:rPr>
              <w:t>color: </w:t>
            </w:r>
            <w:r>
              <w:rPr>
                <w:sz w:val="20"/>
              </w:rPr>
              <w:t>#131314; font-weight: 700; font-variant-numeric: normal; font-variant-east-asian: normal; font-variant-alternates: normal; font-variant-position: normal; font-variant-emoji: normal; vertical-align: baseline; white-space-collapse: preserve;"&gt;NEGO-LHE PROVIMENTO&lt;/span&gt;&lt;span style="text-indent: 56.6929pt; font-size: 12pt; font-family: &amp;quot;Times New Roman&amp;quot;, serif; color: #131314; font-variant-numeric: normal; font- variant-east-asian: normal; font-variant-alternates: normal; font-variant-position: normal; font-variant-emoji: normal; vertical-align: baseline; white-space-collapse: preserve;"&gt;, mantendo inalterada a decisão do Juízo da 5ª Vara Cível da Comarca de Fortaleza/CE, que rejeitou a impugnação ao cumprimento de sentença (ID. 157107787), por não se vislumbrar a inexigibilidade da obrigação de custeio integral da Terapia ABA em ambiente natural, visto que a exclusão da cobertura se restringiu ao Auxiliar Educativo (AE).&lt;/span&gt;&lt;/p&gt;&lt;p style="line-height:1.7999999999999998;text-indent: 56.692913385826756pt;text-align: justify;margin-top:4pt;margin-bottom:0pt;"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space:pre-wrap;"&gt;Determino o prosseguimento do Cumprimento Provisório de Sentença.&lt;/span&gt;&lt;/p&gt;&lt;p style="line-height:1.7999999999999998;text-indent: 56.692913385826756pt;text-align: justify;margin-top:4pt;margin-bottom:0pt;" dir="ltr"&gt;</w:t>
            </w:r>
          </w:p>
          <w:p>
            <w:pPr>
              <w:pStyle w:val="TableParagraph"/>
              <w:tabs>
                <w:tab w:pos="972" w:val="left" w:leader="none"/>
                <w:tab w:pos="4332" w:val="left" w:leader="none"/>
              </w:tabs>
              <w:spacing w:line="208" w:lineRule="auto" w:before="0"/>
              <w:ind w:right="103"/>
              <w:rPr>
                <w:sz w:val="20"/>
              </w:rPr>
            </w:pPr>
            <w:r>
              <w:rPr>
                <w:sz w:val="20"/>
              </w:rPr>
              <w:t>&lt;span style="font-size:12pt;font-family:'Times New Roman',serif;color:#131314;background-color:#ffffff;font-weight:400;font-style:normal;font- variant:normal;text-decoration:none;vertical-align:baseline;white-space:pre;white- space:pre-wrap;"&gt;É como voto.&lt;/span&gt;&lt;/p&gt;&lt;p style="line- height:1.7999999999999998;text-indent: 56.692913385826756pt;text-align: justify;margin- top:4pt;margin-bottom:0pt;" dir="ltr"&gt; &lt;span style="font-family: &amp;quot;times new roman&amp;quot;, times; font-size: medium; text-indent: 8%;"&gt;Fortaleza/CE, data registrada </w:t>
            </w:r>
            <w:r>
              <w:rPr>
                <w:spacing w:val="-6"/>
                <w:sz w:val="20"/>
              </w:rPr>
              <w:t>no </w:t>
            </w:r>
            <w:r>
              <w:rPr>
                <w:sz w:val="20"/>
              </w:rPr>
              <w:t>sistema.&lt;/span&gt;&lt;/p&gt;&lt;p style="text-indent: 8%; text-align: justify;"&gt; &lt;span style="font-size: small;"&gt;</w:t>
              <w:tab/>
              <w:t>&lt;span style="font-size: medium;"&gt;</w:t>
              <w:tab/>
              <w:t>&lt;span style="font-family: &amp;quot;times </w:t>
            </w:r>
            <w:r>
              <w:rPr>
                <w:spacing w:val="-6"/>
                <w:sz w:val="20"/>
              </w:rPr>
              <w:t>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3010559-49.2025.8.06.0000</w:t>
            </w:r>
          </w:p>
        </w:tc>
      </w:tr>
      <w:tr>
        <w:trPr>
          <w:trHeight w:val="2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83" w:val="left" w:leader="none"/>
                <w:tab w:pos="2461" w:val="left" w:leader="none"/>
                <w:tab w:pos="3317" w:val="left" w:leader="none"/>
                <w:tab w:pos="4262" w:val="left" w:leader="none"/>
                <w:tab w:pos="5522" w:val="left" w:leader="none"/>
                <w:tab w:pos="7278" w:val="left" w:leader="none"/>
              </w:tabs>
              <w:spacing w:line="208" w:lineRule="auto" w:before="26"/>
              <w:ind w:right="76"/>
              <w:rPr>
                <w:sz w:val="20"/>
              </w:rPr>
            </w:pPr>
            <w:r>
              <w:rPr>
                <w:sz w:val="20"/>
              </w:rPr>
              <w:t>roman&amp;quot;, times;"&gt;</w:t>
              <w:tab/>
              <w:t>&lt;br /&gt;</w:t>
              <w:tab/>
              <w:t>&lt;/span&gt;</w:t>
              <w:tab/>
              <w:t>&lt;/span&gt; &lt;/span&gt;&lt;/p&gt;&lt;p style="text-indent: 8%; text-align: center;"&gt;  &lt;span style="font-size: medium;"&gt;</w:t>
              <w:tab/>
              <w:t>&lt;strong style="font-size: small;"&gt;</w:t>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Representação comercial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ALQUIMIE REPRESENTACAO COMERCIAL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ESTHER LILIAN BOTECCHIA RAGUSA KODAMA - (SP285628)</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 MARIANO REPRESENTACOES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760"/>
              <w:rPr>
                <w:sz w:val="20"/>
              </w:rPr>
            </w:pPr>
            <w:r>
              <w:rPr>
                <w:sz w:val="20"/>
              </w:rPr>
              <w:t>ROSSANA CLAUDIA ROSSAS DE ARAUJO - (CE26353-A) CARLOS EDUARDO GOMES GUERREIRO - (CE34568-A)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&lt;strong&gt;PROCESSO&lt;/strong&gt;:&amp;#160;0237117-30.2022.8.06.0001 -&amp;#160;APELAÇÃO</w:t>
            </w:r>
          </w:p>
          <w:p>
            <w:pPr>
              <w:pStyle w:val="TableParagraph"/>
              <w:tabs>
                <w:tab w:pos="6557" w:val="left" w:leader="none"/>
              </w:tabs>
              <w:spacing w:line="208" w:lineRule="auto" w:before="8"/>
              <w:ind w:right="857"/>
              <w:rPr>
                <w:sz w:val="20"/>
              </w:rPr>
            </w:pPr>
            <w:r>
              <w:rPr>
                <w:sz w:val="20"/>
              </w:rPr>
              <w:t>CÍVEL (198)&lt;/span&gt;  &lt;/span&gt;&lt;/p&gt;&lt;p&gt;  &lt;span style="font-size: small;"&gt;</w:t>
              <w:tab/>
              <w:t>&lt;span style="font-family: &amp;quot;times new roman&amp;quot;, times;"&gt;APELANTE:</w:t>
            </w:r>
            <w:r>
              <w:rPr>
                <w:spacing w:val="5"/>
                <w:sz w:val="20"/>
              </w:rPr>
              <w:t> </w:t>
            </w:r>
            <w:r>
              <w:rPr>
                <w:spacing w:val="-3"/>
                <w:sz w:val="20"/>
              </w:rPr>
              <w:t>ALQUIMIE</w:t>
            </w:r>
          </w:p>
          <w:p>
            <w:pPr>
              <w:pStyle w:val="TableParagraph"/>
              <w:tabs>
                <w:tab w:pos="972" w:val="left" w:leader="none"/>
                <w:tab w:pos="1216" w:val="left" w:leader="none"/>
                <w:tab w:pos="7300" w:val="left" w:leader="none"/>
              </w:tabs>
              <w:spacing w:line="208" w:lineRule="auto" w:before="0"/>
              <w:ind w:right="59"/>
              <w:rPr>
                <w:sz w:val="20"/>
              </w:rPr>
            </w:pPr>
            <w:r>
              <w:rPr>
                <w:sz w:val="20"/>
              </w:rPr>
              <w:t>REPRESENTACAO COMERCIAL LTDA.&lt;/span&gt; &lt;/span&gt;&lt;/p&gt;&lt;p&gt; &lt;span style="font-size: small;"&gt;</w:t>
              <w:tab/>
              <w:t>&lt;span style="font-family: &amp;quot;times new roman&amp;quot;, times;"&gt;APELADO: J MARIANO REPRESENTACOES LTDA&lt;/span&gt; &lt;/span&gt;&lt;/p&gt;&lt;p&gt; &lt;span style="font-size: medium;"&gt;</w:t>
              <w:tab/>
              <w:t>&lt;span style="font-family: &amp;quot;times new roman&amp;quot;, times;"&gt;</w:t>
              <w:tab/>
              <w:t>&lt;br /&gt;</w:t>
            </w:r>
          </w:p>
          <w:p>
            <w:pPr>
              <w:pStyle w:val="TableParagraph"/>
              <w:spacing w:line="208" w:lineRule="auto" w:before="0"/>
              <w:ind w:right="89"/>
              <w:rPr>
                <w:sz w:val="20"/>
              </w:rPr>
            </w:pPr>
            <w:r>
              <w:rPr>
                <w:sz w:val="20"/>
              </w:rPr>
              <w:t>&lt;/span&gt; &lt;/span&gt;&lt;/p&gt;&lt;p style="line-height:1.7999999999999998;text-align: justify;margin- top:12pt;margin-bottom:0pt;" dir="ltr"&gt; &lt;span style="font-size:12pt;font-family:'Times New Roman',serif;color:#000000;background-color:transparent;font-weight:700;font- style:normal;font-variant:normal;text-decoration:none;vertical-align:baseline;white- space:pre;white-space:pre-wrap;"&gt;APELAÇÃO CÍVEL EM AÇÃO DE INDENIZAÇÃO </w:t>
            </w:r>
            <w:r>
              <w:rPr>
                <w:spacing w:val="-6"/>
                <w:sz w:val="20"/>
              </w:rPr>
              <w:t>POR </w:t>
            </w:r>
            <w:r>
              <w:rPr>
                <w:sz w:val="20"/>
              </w:rPr>
              <w:t>RESCISÃO CONTRATUAL. CONTRATO DE SUB-REPRESENTAÇÃO COMERCIAL. AUSÊNCIA DE JUSTA CAUSA PARA A RESCISÃO. DESCUMPRIMENTO DO PROCEDIMENTO CONTRATUAL PREVISTO PARA O DESFAZIMENTO DO PACTO.</w:t>
            </w:r>
          </w:p>
          <w:p>
            <w:pPr>
              <w:pStyle w:val="TableParagraph"/>
              <w:spacing w:line="208" w:lineRule="auto" w:before="0"/>
              <w:ind w:right="67"/>
              <w:rPr>
                <w:sz w:val="20"/>
              </w:rPr>
            </w:pPr>
            <w:r>
              <w:rPr>
                <w:sz w:val="20"/>
              </w:rPr>
              <w:t>RECURSO CONHECIDO E NÃO PROVIDO.&lt;/span&gt;&lt;/p&gt;&lt;p style="line- height:1.7999999999999998;text-align: justify;margin-top:12pt;margin-bottom:0pt;" dir="ltr"&gt; &lt;span style="font-size:12pt;font-family:'Times New Roman',serif;color:#000000;background-color:transparent;font-weight:700;font- style:normal;font-variant:normal;text-decoration:none;vertical-align:baseline;white- space:pre;white-space:pre-wrap;"&gt;Caso em exame:&lt;/span&gt;&lt;/p&gt;&lt;p style="line- height:1.7999999999999998;text-align: justify;margin-top:12pt;margin-bottom:0pt;" dir="ltr"&gt; &lt;span style="font-size:12pt;font-family:'Times New Roman',serif;color:#000000;background-color:transparent;font-weight:400;font- style:normal;font-variant:normal;text-decoration:none;vertical-align:baseline;white- space:pre;white-space:pre-wrap;"&gt;1. Trata-se de recurso de Apelação Cível interposto em face de sentença proferida pelo Juízo da 36ª Vara Cível da Comarca de Fortaleza/CE, que julgou procedente o pedido formulado em ação de indenização por rescisão contratual, condenando a promovida ao pagamento de valores indenizatórios decorrentes da ruptura imotivada de contrato de sub-representação.&lt;/span&gt;&lt;/p&gt;&lt;p style="line- height:1.7999999999999998;text-align: justify;margin-top:12pt;margin-bottom:0pt;" dir="ltr"&gt;&lt;span style="font-size:12pt;font-family:'Times New Roman',serif;color:#000000;background-color:transparent;font-weight:700;font- style:normal;font-variant:normal;text-decoration:none;vertical-align:baseline;white- space:pre;white-space:pre-wrap;"&gt;Questão em discussão:&amp;#160; &amp;#160;&lt;/span&gt; &lt;span style="font-size:12pt;font-family:'Times New Roman',serif;color:#000000;background- color:transparent;font-weight:700;font-style:normal;font-variant:normal;text- decoration:none;vertical-align:baseline;white-space:pre;white-space:pre-wrap;"&gt; &lt;br</w:t>
            </w:r>
          </w:p>
          <w:p>
            <w:pPr>
              <w:pStyle w:val="TableParagraph"/>
              <w:spacing w:line="208" w:lineRule="auto" w:before="0"/>
              <w:ind w:right="865"/>
              <w:rPr>
                <w:sz w:val="20"/>
              </w:rPr>
            </w:pPr>
            <w:r>
              <w:rPr>
                <w:sz w:val="20"/>
              </w:rPr>
              <w:t>/&gt;&lt;/span&gt;&lt;span style="font-size:12pt;font-family:'Times New Roman',serif;color:#000000;background-color:transparent;font-weight:400;font- style:normal;font-variant:normal;text-decoration:none;vertical-align:baseline;white-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4"/>
              <w:rPr>
                <w:sz w:val="20"/>
              </w:rPr>
            </w:pPr>
            <w:r>
              <w:rPr>
                <w:sz w:val="20"/>
              </w:rPr>
              <w:t>space:pre;white-space:pre-wrap;"&gt;2. Cinge-se a controvérsia recursal em averiguar a correção da decisão que reconheceu a inexistência de justa causa na rescisão do </w:t>
            </w:r>
            <w:r>
              <w:rPr>
                <w:spacing w:val="-3"/>
                <w:sz w:val="20"/>
              </w:rPr>
              <w:t>contrato </w:t>
            </w:r>
            <w:r>
              <w:rPr>
                <w:sz w:val="20"/>
              </w:rPr>
              <w:t>de representação e fixou indenização com base nos arts. 27, alínea&lt;/span&gt; &lt;span style="font-size:12pt;font-family:'Times New Roman',serif;color:#000000;background- color:transparent;font-weight:400;font-style:italic;font-variant:normal;text- decoration:none;vertical-align:baseline;white-space:pre;white-space:pre- wrap;"&gt;j&lt;/span&gt;&lt;span style="font-size:12pt;font-family:'Times New Roman',serif;color:#000000;background-color:transparent;font-weight:400;font- style:normal;font-variant:normal;text-decoration:none;vertical-align:baseline;white- space:pre;white-space:pre-wrap;"&gt;, e 34, da Lei nº 4.886/65.&lt;/span&gt;&lt;/p&gt;&lt;p style="line- height:1.7999999999999998;text-align: justify;margin-top:12pt;margin-bottom:0pt;" dir="ltr"&gt; &lt;span style="font-size:12pt;font-family:'Times New Roman',serif;color:#000000;background-color:transparent;font-weight:400;font- style:normal;font-variant:normal;text-decoration:none;vertical-align:baseline;white- space:pre;white-space:pre-wrap;"&gt;3. A apelante sustenta, em síntese, o descumprimento contratual pela sub-representante em razão do não atingimento de metas, a ausência de influência da pandemia de Covid-19 nos resultados comerciais e a regular notificação da rescisão contratual.&lt;/span&gt;&lt;/p&gt;&lt;p style="line-height:1.7999999999999998;text-align: justify;margin-top:12pt;margin-bottom:0pt;" dir="ltr"&gt;&lt;span style="font-size:12pt;font- family:'Times New Roman',serif;color:#000000;background-color:transparent;font- weight:700;font-style:normal;font-variant:normal;text-decoration:none;vertical- align:baseline;white-space:pre;white-space:pre-wrap;"&gt;Razões de decidir:&lt;/span&gt;&lt;span style="font-size:12pt;font-family:'Times New Roman',serif;color:#000000;background- color:transparent;font-weight:700;font-style:normal;font-variant:normal;text- decoration:none;vertical-align:baseline;white-space:pre;white-space:pre-wrap;"&gt; &lt;br</w:t>
            </w:r>
          </w:p>
          <w:p>
            <w:pPr>
              <w:pStyle w:val="TableParagraph"/>
              <w:spacing w:line="208" w:lineRule="auto" w:before="0"/>
              <w:ind w:right="76"/>
              <w:rPr>
                <w:sz w:val="20"/>
              </w:rPr>
            </w:pPr>
            <w:r>
              <w:rPr>
                <w:sz w:val="20"/>
              </w:rPr>
              <w:t>/&gt;&lt;/span&gt;&lt;span style="font-size:12pt;font-family:'Times New Roman',serif;color:#000000;background-color:transparent;font-weight:400;font- style:normal;font-variant:normal;text-decoration:none;vertical-align:baseline;white- space:pre;white-space:pre-wrap;"&gt;4. Preliminar de ausência de dialeticidade rejeitada. O recurso, ainda que com trechos imprecisos, apresenta fundamentos mínimos de inconformismo aptos ao exame do mérito.&lt;/span&gt;&lt;span style="font-size:12pt;font- family:'Times New Roman',serif;color:#000000;background-color:transparent;font- weight:400;font-style:normal;font-variant:normal;text-decoration:none;vertical- align:baseline;white-space:pre;white-space:pre-wrap;"&gt; &lt;br /&gt;&lt;/span&gt;&lt;span style="font- size:12pt;font-family:'Times New Roman',serif;color:#000000;background- color:transparent;font-weight:400;font-style:normal;font-variant:normal;text- decoration:none;vertical-align:baseline;white-space:pre;white-space:pre-wrap;"&gt;5. A sentença não reconheceu a pandemia (Covid 19) como causa do inadimplemento, mas fundamentou a procedência do pedido na inobservância da Cláusula Sétima, alínea&lt;/span&gt; &lt;span style="font-size:12pt;font-family:'Times New Roman',serif;color:#000000;background-color:transparent;font-weight:400;font- style:italic;font-variant:normal;text-decoration:none;vertical-align:baseline;white- space:pre;white-space:pre-wrap;"&gt;b&lt;/span&gt;&lt;span style="font-size:12pt;font-family:'Times New Roman',serif;color:#000000;background-color:transparent;font-weight:400;font- style:normal;font-variant:normal;text-decoration:none;vertical-align:baseline;white- space:pre;white-space:pre-wrap;"&gt;, do contrato, que previa notificação prévia e prazo </w:t>
            </w:r>
            <w:r>
              <w:rPr>
                <w:spacing w:val="-5"/>
                <w:sz w:val="20"/>
              </w:rPr>
              <w:t>para </w:t>
            </w:r>
            <w:r>
              <w:rPr>
                <w:sz w:val="20"/>
              </w:rPr>
              <w:t>correção de irregularidades antes da rescisão. Constatou-se que a apelante procedeu à rescisão imediata, sem oportunizar o contraditório nem demonstrar o envio de notificações prévias, descumprindo o procedimento contratualmente previsto. &amp;#160;&lt;/span&gt; &lt;span style="font-size:12pt;font-family:'Times New Roman',serif;color:#000000;background- color:transparent;font-weight:400;font-style:normal;font-variant:normal;text- decoration:none;vertical-align:baseline;white-space:pre;white-space:pre-wrap;"&gt; &lt;br</w:t>
            </w:r>
          </w:p>
          <w:p>
            <w:pPr>
              <w:pStyle w:val="TableParagraph"/>
              <w:tabs>
                <w:tab w:pos="5163" w:val="left" w:leader="none"/>
              </w:tabs>
              <w:spacing w:line="208" w:lineRule="auto" w:before="0"/>
              <w:ind w:right="20"/>
              <w:rPr>
                <w:sz w:val="20"/>
              </w:rPr>
            </w:pPr>
            <w:r>
              <w:rPr>
                <w:sz w:val="20"/>
              </w:rPr>
              <w:t>/&gt;&lt;/span&gt;&lt;span style="font-size:12pt;font-family:'Times New Roman',serif;color:#000000;background-color:transparent;font-weight:400;font- style:normal;font-variant:normal;text-decoration:none;vertical-align:baseline;white- space:pre;white-space:pre-wrap;"&gt;6. A recorrente não comprovou o envio de comunicações formais ou de metas previamente estabelecidas. Diante do ônus que lhe incumbia (art. 373, II, do CPC), como também não demonstrou fato impeditivo, </w:t>
            </w:r>
            <w:r>
              <w:rPr>
                <w:spacing w:val="-2"/>
                <w:sz w:val="20"/>
              </w:rPr>
              <w:t>modificativo </w:t>
            </w:r>
            <w:r>
              <w:rPr>
                <w:sz w:val="20"/>
              </w:rPr>
              <w:t>ou extintivo do direito da autora. Mantém-se, portanto, a conclusão pela ausência de justa causa e pela obrigação de indenizar.&lt;/span&gt;&lt;/p&gt;&lt;p style="line- height:1.7999999999999998;text-align: justify;margin-top:12pt;margin-bottom:0pt;" dir="ltr"&gt; &lt;span style="font-size:12pt;font-family:'Times New Roman',serif;color:#000000;background-color:transparent;font-weight:700;font- style:normal;font-variant:normal;text-decoration:none;vertical-align:baseline;white- space:pre;white-space:pre-wrap;"&gt;Dispositivo:&lt;/span&gt; &lt;span style="font-size:12pt;font- family:'Times New Roman',serif;color:#000000;background-color:transparent;font- weight:700;font-style:normal;font-variant:normal;text-decoration:none;vertical- align:baseline;white-space:pre;white-space:pre-wrap;"&gt;</w:t>
              <w:tab/>
              <w:t>&lt;br /&gt; &lt;/span&gt; &lt;span style="font-size:12pt;font-family:'Times New Roman',serif;color:#000000;background- color:transparent;font-weight:400;font-style:normal;font-variant:normal;text-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7"/>
              <w:rPr>
                <w:sz w:val="20"/>
              </w:rPr>
            </w:pPr>
            <w:r>
              <w:rPr>
                <w:sz w:val="20"/>
              </w:rPr>
              <w:t>decoration:none;vertical-align:baseline;white-space:pre;white-space:pre-wrap;"&gt;7. Apelo conhecido e não provido. Mantida a sentença que julgou procedente o pedido indenizatório. Honorários majorados para 20% (vinte por cento) sobre o valor da condenação, nos termos do art. 85, § 11, do CPC.&lt;/span&gt; &lt;span style="background- color: transparent; font-family: &amp;quot;Times New Roman&amp;quot;, serif; font-size: 14pt; font- weight: 700; white-space-collapse: preserve; text-align: center;"&gt;&amp;#160;&lt;/span&gt;&lt;/p&gt;&lt;p style="line-height:2.4;text-align: center;margin-top:12pt;margin-bottom:12pt;" dir="ltr"&gt;</w:t>
            </w:r>
          </w:p>
          <w:p>
            <w:pPr>
              <w:pStyle w:val="TableParagraph"/>
              <w:spacing w:line="208" w:lineRule="auto" w:before="0"/>
              <w:ind w:right="60"/>
              <w:rPr>
                <w:sz w:val="20"/>
              </w:rPr>
            </w:pPr>
            <w:r>
              <w:rPr>
                <w:sz w:val="20"/>
              </w:rPr>
              <w:t>&lt;span style="font-size:13.999999999999998pt;font-family:'Times New Roman',serif;color:#000000;background-color:transparent;font-weight:700;font- style:normal;font-variant:normal;text-decoration:none;vertical-align:baseline;white- space:pre;white-space:pre-wrap;"&gt;ACÓRDÃO&lt;/span&gt;&lt;/p&gt;&lt;p style="line- height:1.7999999999999998;text-indent: 71pt;text-align: justify;margin-top:6pt;margin- bottom:12pt;" dir="ltr"&gt;&lt;span style="font-size:12pt;font-family:'Times New Roman',serif;color:#000000;background-color:transparent;font-weight:400;font- style:normal;font-variant:normal;text-decoration:none;vertical-align:baseline;white- space:pre;white-space:pre-wrap;"&gt;Vistos, relatados e discutidos esses autos, acorda a Quinta Câmara de Direito Privado do Egrégio Tribunal de Justiça do Ceará, por unanimidade, em&lt;/span&gt; &lt;span style="font-size:12pt;font-family:'Times New Roman',serif;color:#000000;background-color:transparent;font-weight:700;font- style:normal;font-variant:normal;text-decoration:none;vertical-align:baseline;white- space:pre;white-space:pre-wrap;"&gt;CONHECER&lt;/span&gt; &lt;span style="font-size:12pt;font- family:'Times New Roman',serif;color:#000000;background-color:transparent;font- weight:400;font-style:normal;font-variant:normal;text-decoration:none;vertical- align:baseline;white-space:pre;white-space:pre-wrap;"&gt;e&lt;/span&gt; &lt;span style="font- size:12pt;font-family:'Times New Roman',serif;color:#000000;background- color:transparent;font-weight:700;font-style:normal;font-variant:normal;text- decoration:none;vertical-align:baseline;white-space:pre;white-space:pre-wrap;"&gt;NEGAR PROVIMENTO&lt;/span&gt; &lt;span style="font-size:12pt;font-family:'Times New Roman',serif;color:#000000;background-color:transparent;font-weight:400;font- style:normal;font-variant:normal;text-decoration:none;vertical-align:baseline;white- space:pre;white-space:pre-wrap;"&gt;à presente Apelação Cível, em conformidade com o voto do Relator.&lt;/span&gt;&lt;/p&gt;&lt;p style="line-height:1.7999999999999998;text-indent: 71pt;text-align: justify;margin-top:6pt;margin-bottom:12pt;" dir="ltr"&gt; &lt;span style="font- size:12pt;font-family:'Times New Roman',serif;color:#000000;background- color:transparent;font-weight:400;font-style:normal;font-variant:normal;text- decoration:none;vertical-align:baseline;white-space:pre;white-space:pre-wrap;"&gt;Fortaleza, data registrada no sistema.&lt;/span&gt;&lt;/p&gt;&lt;p style="line-height:1.7999999999999998;text- align: center;margin-top:12pt;margin-bottom:12pt;" dir="ltr"&gt; &lt;span style="font- size:12pt;font-family:'Times New Roman',serif;color:#000000;background- color:transparent;font-weight:700;font-style:normal;font-variant:normal;text- decoration:none;vertical-align:baseline;white-space:pre;white-space:pre- wrap;"&gt;&amp;#160;&lt;/span&gt;&lt;/p&gt;&lt;p style="line-height:1.7999999999999998;text-align: center;margin-top:12pt;margin-bottom:12pt;" dir="ltr"&gt; &lt;span style="font-size:12pt;font- family:'Times New Roman',serif;color:#000000;background-color:transparent;font- weight:700;font-style:normal;font-variant:normal;text-decoration:none;vertical- align:baseline;white-space:pre;white-space:pre-wrap;"&gt;MARIA REGINA OLIVEIRA CÂMARA&lt;/span&gt;&lt;/p&gt;&lt;p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space:pre;white-space:pre-wrap;"&gt;Presidente do Órgão Julgador&lt;/span&gt;&lt;/p&gt;&lt;p style="line-height:1.7999999999999998;text-align: center;margin-top:12pt;margin- bottom:12pt;" dir="ltr"&gt; &lt;span style="font-size:12pt;font-family:'Times New Roman',serif;color:#000000;background-color:transparent;font-weight:700;font- style:normal;font-variant:normal;text-decoration:none;vertical-align:baseline;white- space:pre;white-space:pre-wrap;"&gt;&amp;#160;&lt;/span&gt;&lt;/p&gt;&lt;p style="line- height:1.7999999999999998;text-align: center;margin-top:12pt;margin-bottom:12pt;" dir="ltr"&gt; &lt;span style="font-size:12pt;font-family:'Times New Roman',serif;color:#000000;background-color:transparent;font-weight:700;font- style:normal;font-variant:normal;text-decoration:none;vertical-align:baseline;white- space:pre;white-space:pre-wrap;"&gt;FRANCISCO LUCÍDIO DE QUEIROZ JÚNIOR&lt;/span&gt;&lt;/p&gt;&lt;p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space:pre;white-space:pre-wrap;"&gt;&amp;#160;Desembargador Relator&lt;/span&gt;&lt;/p&gt;&lt;p style="line-height:1.38;margin-top:12pt;margin-bottom:12pt;" dir="ltr"&gt; &lt;span style="font- size:12pt;font-family:'Times New Roman',serif;color:#000000;background- color:transparent;font-weight:400;font-style:normal;font-variant:normal;text- decoration:none;vertical-align:baseline;white-space:pre;white-space:pre-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wrap;"&gt;&amp;#160;&lt;/span&gt;&lt;/p&gt;&lt;p style="line-height:1.7999999999999998;text-indent: 2pt;text- align: justify;margin-top:12pt;margin-bottom:0pt;" dir="ltr"&gt; &lt;span style="font- size:12pt;font-family:'Times New Roman',serif;color:#000000;background- color:transparent;font-weight:400;font-style:normal;font-variant:normal;text- decoration:none;vertical-align:baseline;white-space:pre;white-space:pre- wrap;"&gt;&amp;#160;&lt;/span&gt;&lt;/p&gt;&lt;p style="line-height:1.7999999999999998;text-indent: 2pt;text- align: center;margin-top:12pt;margin-bottom:0pt;" dir="ltr"&gt; &lt;span style="font- size:12pt;font-family:'Times New Roman',serif;color:#000000;background- color:transparent;font-weight:700;font-style:normal;font-variant:normal;text- decoration:none;vertical-align:baseline;white-space:pre;white-space:pre- wrap;"&gt;&amp;#160;&lt;/span&gt;&lt;/p&gt;&lt;p style="line-height:1.7999999999999998;text-indent: 2pt;text- align: center;margin-top:12pt;margin-bottom:0pt;" dir="ltr"&gt; &lt;span style="font- size:12pt;font-family:'Times New Roman',serif;color:#000000;background- color:transparent;font-weight:700;font-style:normal;font-variant:normal;text- decoration:none;vertical-align:baseline;white-space:pre;white-space:pre- wrap;"&gt;RELATÓRIO&lt;/span&gt;&lt;/p&gt;&lt;p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preserve;"&gt;Trata- se de&lt;/span&gt;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 &lt;strong&gt;Apelação Cível&lt;/strong&gt;&lt;/span&gt;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preserve;"&gt;interposta por&lt;/span&gt;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w:t>
            </w:r>
          </w:p>
          <w:p>
            <w:pPr>
              <w:pStyle w:val="TableParagraph"/>
              <w:spacing w:line="208" w:lineRule="auto" w:before="0"/>
              <w:ind w:right="55"/>
              <w:rPr>
                <w:sz w:val="20"/>
              </w:rPr>
            </w:pPr>
            <w:r>
              <w:rPr>
                <w:sz w:val="20"/>
              </w:rPr>
              <w:t>&lt;strong&gt;ALQUIMIE REPRESENTAÇÃO COMERCIAL LTDA&lt;/strong&gt;&lt;/span&gt;&lt;span style="font-size: 12pt; font-family: &amp;quot;Times New Roman&amp;quot;, serif; background-color: transparent; font-variant-numeric: normal; font-variant-east-asian: normal; font-variant- alternates: normal; font-variant-position: normal; font-variant-emoji: normal; vertical-align: baseline; white-space-collapse: preserve;"&gt;. em face da Sentença proferida pelo Juízo da 36ª Vara Cível da Comarca de Fortaleza/CE, que julgou procedente o pleito de&lt;/span&gt;</w:t>
            </w:r>
          </w:p>
          <w:p>
            <w:pPr>
              <w:pStyle w:val="TableParagraph"/>
              <w:spacing w:line="208" w:lineRule="auto" w:before="0"/>
              <w:ind w:right="25"/>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preserve;"&gt;&lt;strong&gt;J MARIANO REPRESENTAÇÕES LTDA,&lt;/strong&gt; constante&lt;/span&gt;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preserve;"&gt;nos autos de&lt;/span&gt; &lt;span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 &lt;strong&gt;ação de indenização por rescisão contratual.&lt;/strong&gt;&lt;/span&gt;&lt;/p&gt;&lt;p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preserve;"&gt;Considerando o contrato de sub-representação existente entre as partes, na qual a apelante figura na posição de sub-representada e a apelada de sub-representante, o juízo&lt;/span&gt; &lt;span style="font- size: 12pt; font-family: &amp;quot;Times New Roman&amp;quot;, serif; background-color: transparent; font-style: italic; font-variant-numeric: normal; font-variant-east-asian: normal; font-variant-alternates: normal; font-variant-position: normal; font-variant-emoji: normal; vertical-align: baseline; white-space-collapse: preserve;"&gt;a quo&lt;/span&gt; &lt;span style="font- size: 12pt; font-family: &amp;quot;Times New Roman&amp;quot;, serif; background-color: transparent; font-variant-numeric: normal; font-variant-east-asian: normal; font-variant- alternates: normal; font-variant-position: normal; font-variant-emoji: normal; vertical-align: baseline; white-space-collapse: preserve;"&gt;julgou procedente o pedido indenizatório apresentado por esta, considerando a ausência de configuração da justa causa para rescisão e a inobservância dos procedimentos previstos em contrato. Vejamos 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dispositivo da sentença (id. 22053596):&lt;/span&gt;&lt;/p&gt;&lt;p style="text-align: justify; font-family: &amp;quot;Times New Roman&amp;quot;; font-size: medium; line-height: 1.8; margin-left: 113pt; margin-top: 0pt; margin-bottom: 0pt;" dir="ltr"&gt;&amp;#160;&lt;/p&gt;&lt;p style="text-align: justify; font- family: &amp;quot;Times New Roman&amp;quot;; font-size: medium; line-height: 1.8; margin-left: 113pt; margin-top: 0pt; margin-bottom: 0pt;" dir="ltr"&gt; &lt;span style="font-size: 12pt; font- family: &amp;quot;Times New Roman&amp;quot;, serif; background-color: transparent; font-style: italic; font-variant-numeric: normal; font-variant-east-asian: normal; font-variant-alternates: normal; font-variant-position: normal; font-variant-emoji: normal; vertical-align: baseline; white-space-collapse: preserve;"&gt;(...) Pelo exposto, JULGO PROCEDENTE o pedido autoral, e CONDENO a promovida a indenizar a parte autora, no valor de R$ 78.481,50 (setenta e oito mil, quatrocentos e oitenta e um reais e cinquenta centavos), relativo a 1/12 avos do total da retribuição auferida durante o tempo em que exerceu a representação comercial; bem como na quantia de R$ 3.553,56 (três mil, quinhentos e cinquenta e três reais e cinquenta e seis centavos), referente a um terço (1/3) das comissões auferidas </w:t>
            </w:r>
            <w:r>
              <w:rPr>
                <w:spacing w:val="-5"/>
                <w:sz w:val="20"/>
              </w:rPr>
              <w:t>pela </w:t>
            </w:r>
            <w:r>
              <w:rPr>
                <w:sz w:val="20"/>
              </w:rPr>
              <w:t>autora nos três meses anteriores a rescisão do contrato, tudo corrigido monetariamente pelo INPC, a partir do ajuizamento da ação, e com juros de mora de 1% ao mês, a partir da citação, declaro extinto o processo, com resolução do mérito, na forma do artigo 487, I, do CPC. Condeno o promovido em custas processuais e honorários advocatícios, estes fixados em 15% (quinze por cento) sobre o valor da condenação, na forma do artigo 85, § 2º, do CPC. (...)&lt;/span&gt;&lt;/p&gt;&lt;p style="text-align: justify; font-family: &amp;quot;Times New Roman&amp;quot;; font-size: medium; line-height: 1.8; margin-top: 12pt; margin-bottom: 0pt;" dir="ltr"&gt; &lt;span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preserve;"&gt;&amp;#160;&lt;/span&gt;&lt;/p&gt;&lt;p style="text-align: justify; font-family: &amp;quot;Times New Roman&amp;quot;; font-size: medium; line-height: 1.8; text-indent: 56.6929pt; margin-top: 12pt; margin-bottom: 0pt;" dir="ltr"&gt;</w:t>
            </w:r>
          </w:p>
          <w:p>
            <w:pPr>
              <w:pStyle w:val="TableParagraph"/>
              <w:spacing w:line="208" w:lineRule="auto" w:before="0"/>
              <w:ind w:right="32"/>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preserve;"&gt;Em seguida, a promovida interpôs embargos de declaração (id. 22053392) que foram julgados não providos (id.</w:t>
            </w:r>
          </w:p>
          <w:p>
            <w:pPr>
              <w:pStyle w:val="TableParagraph"/>
              <w:spacing w:line="208" w:lineRule="auto" w:before="0"/>
              <w:ind w:right="42"/>
              <w:rPr>
                <w:sz w:val="20"/>
              </w:rPr>
            </w:pPr>
            <w:r>
              <w:rPr>
                <w:sz w:val="20"/>
              </w:rPr>
              <w:t>22053602).&lt;/span&gt;&lt;/p&gt;&lt;p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preserve;"&gt;Irresignada, apresentou suas&lt;/span&gt; &lt;span style="font-size: 12pt; font-family: &amp;quot;Times New Roman&amp;quot;, serif; background-color: transparent; font-weight: 700; font-variant-numeric: normal; font-variant-east-asian: normal; font-variant-alternates: normal; font-variant-position: normal; font-variant-emoji: normal; vertical-align: baseline; white-space-collapse: preserve;"&gt;razões de apelação&lt;/span&gt; &lt;span style="font-size: 12pt; font-family: &amp;quot;Times New Roman&amp;quot;, serif; background-color: transparent; font- variant-numeric: normal; font-variant-east-asian: normal; font-variant-alternates: normal; font-variant-position: normal; font-variant-emoji: normal; vertical-align: baseline; white- space-collapse: preserve;"&gt;(id. 22053437) sustentando, em síntese, (a) o descumprimento do contrato pelo não atingimento de metas, em razão da desídia do apelado; (b) ausência de interferência da pandemia de Covid-19 nos negócios da sub-representante; (a) regular notificação da sub-representante.&lt;/span&gt;&lt;/p&gt;&lt;p style="text-align: justify; font-family: &amp;quot;Times New Roman&amp;quot;; font-size: medium; line-height: 1.8; text-indent: 56.6929pt; margin-top: 12pt; margin-bottom: 0pt;" dir="ltr"&gt;&lt;span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preserve;"&gt;Em&lt;/span&gt; &lt;span style="font-size: 12pt; font-family: &amp;quot;Times New Roman&amp;quot;, serif; background-color: transparent; font-weight: 700; font-variant-numeric: normal; font-variant-east-asian: normal; font-variant-alternates: normal; font-variant- position: normal; font-variant-emoji: normal; vertical-align: baseline; white-space-collapse: preserve;"&gt;contrarrazões&lt;/span&gt; &lt;span style="font-size: 12pt; font-family: &amp;quot;Times New Roman&amp;quot;, serif; background-color: transparent; font-variant-numeric: normal; </w:t>
            </w:r>
            <w:r>
              <w:rPr>
                <w:spacing w:val="-4"/>
                <w:sz w:val="20"/>
              </w:rPr>
              <w:t>font- </w:t>
            </w:r>
            <w:r>
              <w:rPr>
                <w:sz w:val="20"/>
              </w:rPr>
              <w:t>variant-east-asian: normal; font-variant-alternates: normal; font-variant-position: normal; font-variant-emoji: normal; vertical-align: baseline; white-space-collapse: preserve;"&gt;(id.</w:t>
            </w:r>
          </w:p>
          <w:p>
            <w:pPr>
              <w:pStyle w:val="TableParagraph"/>
              <w:spacing w:line="208" w:lineRule="auto" w:before="0"/>
              <w:ind w:right="108"/>
              <w:rPr>
                <w:sz w:val="20"/>
              </w:rPr>
            </w:pPr>
            <w:r>
              <w:rPr>
                <w:sz w:val="20"/>
              </w:rPr>
              <w:t>22053605), a apelada afirma, em suma, (a) ausência de dialeticidade do recurso; (b) a ausência de metas estabelecidas em contrato; (c) falta de observância do procedimento contraditório.&lt;/span&gt;&lt;/p&gt;&lt;p style="text-align: justify; font-family: &amp;quot;Times New Roman&amp;quot;; font-size: medium; line-height: 1.8; text-indent: 56.6929pt; margin-top: </w:t>
            </w:r>
            <w:r>
              <w:rPr>
                <w:spacing w:val="-4"/>
                <w:sz w:val="20"/>
              </w:rPr>
              <w:t>12pt; </w:t>
            </w:r>
            <w:r>
              <w:rPr>
                <w:sz w:val="20"/>
              </w:rPr>
              <w:t>margin-bottom: 0pt;" dir="ltr"&gt;&lt;span style="font-size: 12pt; font-family: &amp;quot;Times New Roman&amp;quot;, serif; background-color: transparent; font-variant-numeric: normal; font- variant-east-asian: normal; font-variant-alternates: normal; font-variant-position: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7"/>
              <w:rPr>
                <w:sz w:val="20"/>
              </w:rPr>
            </w:pPr>
            <w:r>
              <w:rPr>
                <w:sz w:val="20"/>
              </w:rPr>
              <w:t>font-variant-emoji: normal; vertical-align: baseline; white-space-collapse: preserve;"&gt;Encaminhado o feito à Douta Procuradoria Geral de Justiça, entendeu o órgão ministerial não ser caso de intervenção do&lt;/span&gt; &lt;span style="font-size: 12pt; font-family: &amp;quot;Times New Roman&amp;quot;, serif; background-color: transparent; font-style: italic; font- variant-numeric: normal; font-variant-east-asian: normal; font-variant-alternates: normal; font-variant-position: normal; font-variant-emoji: normal; vertical-align: baseline; white- space-collapse: preserve;"&gt;Parquet&lt;/span&gt;&lt;span style="font-size: 12pt; font-family: &amp;quot;Times New Roman&amp;quot;, serif; background-color: transparent; font-variant-numeric: normal; font-variant-east-asian: normal; font-variant-alternates: normal; font-variant- position: normal; font-variant-emoji: normal; vertical-align: baseline; white-space-collapse: preserve;"&gt;.&lt;/span&gt;&lt;/p&gt;&lt;p style="text-align: justify; font-family: &amp;quot;Times New Roman&amp;quot;; font-size: medium; line-height: 1.8; text-indent: 56.6929pt; margin-top: 12pt; margin-bottom: 0pt;" dir="ltr"&gt; &lt;span style="font-size: 12pt; font-family: &amp;quot;Times New Roman&amp;quot;, serif; background-color: transparent; font-variant-numeric: normal; font- variant-east-asian: normal; font-variant-alternates: normal; font-variant-position: normal; font-variant-emoji: normal; vertical-align: baseline; white-space-collapse: preserve;"&gt;Os autos vieram conclusos.&lt;/span&gt; &lt;span style="font-size: small;"&gt;&amp;#160;&lt;/span&gt;&lt;/p&gt;&lt;p style="text-align: justify; font-family: &amp;quot;Times New Roman&amp;quot;; font-size: medium; line-height: 1.8; text-indent: 56.6929pt; margin-top: 12pt; margin-bottom: 0pt;" dir="ltr"&gt;</w:t>
            </w:r>
          </w:p>
          <w:p>
            <w:pPr>
              <w:pStyle w:val="TableParagraph"/>
              <w:spacing w:line="208" w:lineRule="auto" w:before="0"/>
              <w:ind w:right="52"/>
              <w:rPr>
                <w:sz w:val="20"/>
              </w:rPr>
            </w:pPr>
            <w:r>
              <w:rPr>
                <w:sz w:val="20"/>
              </w:rPr>
              <w:t>&lt;span style="font-size: 12pt; font-family: &amp;quot;Times New Roman&amp;quot;, serif; background-color: transparent; font-variant-numeric: normal; font-variant-east-asian: normal; font-variant-alternates: normal; font-variant-position: normal; font-variant-emoji: normal; vertical-align: baseline; white-space-collapse: preserve;"&gt;É o relatório.&lt;/span&gt;&lt;/p&gt;&lt;p style="line-height:1.7999999999999998;text-align: center;margin- top:12pt;margin-bottom:0pt;" dir="ltr"&gt; &lt;span style="font-size:12pt;font-family:'Times New Roman',serif;color:#000000;background-color:transparent;font-weight:700;font- style:normal;font-variant:normal;text-decoration:none;vertical-align:baseline;white- space:pre;white-space:pre-wrap;"&gt;VOTO&lt;/span&gt;&lt;/p&gt;&lt;p style="line- height:1.7999999999999998;text-align: justify;margin-top:12pt;margin-bottom:0pt;"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56.692913385826756pt;text-align: justify;margin- top:6pt;margin-bottom:0pt;" dir="ltr"&gt; &lt;span style="font-size:12pt;font-family:'Times New Roman',serif;color:#000000;background-color:transparent;font-weight:700;font- style:normal;font-variant:normal;text-decoration:none;vertical-align:baseline;white- space:pre;white-space:pre-wrap;"&gt;1. JUÍZO DE ADMISSIBILIDADE&lt;/span&gt;&lt;/p&gt;&lt;p style="line-height:1.7999999999999998;text-indent: 56.692913385826756pt;text-align: justify;margin-top:12pt;margin-bottom:0pt;" dir="ltr"&gt; &lt;span style="font-size:12pt;font- family:'Times New Roman',serif;color:#000000;background-color:transparent;font- weight:400;font-style:normal;font-variant:normal;text-decoration:none;vertical- align:baseline;white-space:pre;white-space:pre-wrap;"&gt;Preliminarmente, sustenta a apelada a ausência de dialeticidade do recurso. O princípio da dialeticidade está relacionado com o ônus da impugnação específica, exigindo-se que o recurso contenha </w:t>
            </w:r>
            <w:r>
              <w:rPr>
                <w:spacing w:val="-9"/>
                <w:sz w:val="20"/>
              </w:rPr>
              <w:t>os </w:t>
            </w:r>
            <w:r>
              <w:rPr>
                <w:sz w:val="20"/>
              </w:rPr>
              <w:t>fundamentos de fato e de direito que consubstanciem as razões do inconformismo com a decisão impugnada. Em outras palavras, o recurso deve enfrentar os argumentos e conclusões da decisão que visa infirmar.&lt;/span&gt;&lt;/p&gt;&lt;p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space:pre;white-space:pre-wrap;"&gt;Em que pese alguns pontos vacilantes do recurso, como trecho referindo-se à outra espécie recursal e impugnação à tese autoral que não foi acolhida na sentença, no caso o fundamento da pandemia de Covid-19, a apelante aponta ainda que minimante as razões de seu inconformismo, contraditando a sentença. Desta feita, será enfrentado o mérito recursal para solução da controvérsia. Preliminar rejeitada.&lt;/span&gt;&lt;/p&gt;&lt;p style="line-height:1.7999999999999998;text-indent: 56.692913385826756pt;text-align: justify;margin-top:6pt;margin-bottom:0pt;" dir="ltr"&gt;&lt;span style="font-size:12pt;font-family:'Times New Roman',serif;color:#000000;background-color:transparent;font-weight:400;font- style:normal;font-variant:normal;text-decoration:none;vertical-align:baseline;white- space:pre;white-space:pre-wrap;"&gt;Presentes os pressupostos recursais de admissibilidade&lt;/span&gt; &lt;span style="font-size:12pt;font-family:'Times New Roman',serif;color:#000000;background-color:transparent;font-weight:700;font- style:normal;font-variant:normal;text-decoration:none;vertical-align:baseline;white- space:pre;white-space:pre-wrap;"&gt;intrínsecos&lt;/span&gt; &lt;span style="font-size:12pt;font- family:'Times New Roman',serif;color:#000000;background-color:transparent;font- weight:400;font-style:normal;font-variant:normal;text-decoration:none;vertical- align:baseline;white-space:pre;white-space:pre-wrap;"&gt;(legitimidade, interesse, cabimento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37"/>
              <w:rPr>
                <w:sz w:val="20"/>
              </w:rPr>
            </w:pPr>
            <w:r>
              <w:rPr>
                <w:sz w:val="20"/>
              </w:rPr>
              <w:t>e inexistência de fato impeditivo ou extintivo) e&lt;/span&gt; &lt;span style="font-size:12pt;font- family:'Times New Roman',serif;color:#000000;background-color:transparent;font- weight:700;font-style:normal;font-variant:normal;text-decoration:none;vertical- align:baseline;white-space:pre;white-space:pre-wrap;"&gt;extrínsecos&lt;/span&gt; &lt;span style="font-size:12pt;font-family:'Times New Roman',serif;color:#000000;background- color:transparent;font-weight:400;font-style:normal;font-variant:normal;text- decoration:none;vertical-align:baseline;white-space:pre;white-space:pre- wrap;"&gt;(tempestividade, preparo e regularidade formal),&lt;/span&gt; &lt;span style="font- size:12pt;font-family:'Times New Roman',serif;color:#000000;background- color:transparent;font-weight:700;font-style:normal;font-variant:normal;text- decoration:none;vertical-align:baseline;white-space:pre;white-space:pre- wrap;"&gt;CONHEÇO&lt;/span&gt; &lt;span style="font-size:12pt;font-family:'Times New Roman',serif;color:#000000;background-color:transparent;font-weight:400;font- style:normal;font-variant:normal;text-decoration:none;vertical-align:baseline;white- space:pre;white-space:pre-wrap;"&gt;do recurso interposto e passo a apreciar o mérito deste.&amp;#160;&lt;/span&gt;&lt;/p&gt;&lt;p style="line-height:1.7999999999999998;text-indent: 56.692913385826756pt;text-align: justify;margin-top:12pt;margin-bottom:0pt;" dir="ltr"&gt;</w:t>
            </w:r>
          </w:p>
          <w:p>
            <w:pPr>
              <w:pStyle w:val="TableParagraph"/>
              <w:spacing w:line="208" w:lineRule="auto" w:before="0"/>
              <w:ind w:right="129"/>
              <w:rPr>
                <w:sz w:val="20"/>
              </w:rPr>
            </w:pPr>
            <w:r>
              <w:rPr>
                <w:sz w:val="20"/>
              </w:rPr>
              <w:t>&lt;span style="font-size:12pt;font-family:'Times New Roman',serif;color:#000000;background-color:transparent;font-weight:700;font- style:normal;font-variant:normal;text-decoration:none;vertical-align:baseline;white- space:pre;white-space:pre-wrap;"&gt;2. MÉRITO&lt;/span&gt;&lt;/p&gt;&lt;p style="line- height:1.7999999999999998;text-indent: 56.692913385826756pt;text-align: </w:t>
            </w:r>
            <w:r>
              <w:rPr>
                <w:spacing w:val="-2"/>
                <w:sz w:val="20"/>
              </w:rPr>
              <w:t>justify;margin- </w:t>
            </w:r>
            <w:r>
              <w:rPr>
                <w:sz w:val="20"/>
              </w:rPr>
              <w:t>top:12pt;margin-bottom:0pt;" dir="ltr"&gt; &lt;span style="font-size:12pt;font-family:'Times New Roman',serif;color:#000000;background-color:transparent;font-weight:400;font- style:normal;font-variant:normal;text-decoration:none;vertical-align:baseline;white- space:pre;white-space:pre-wrap;"&gt;Cinge-se a controvérsia recursal em averiguar a correção da decisão que julgou procedente o pleito autoral e fixou valor indenizatório em prol da promovente, ao concluir pela ausência de justa causa na rescisão do contrato de representação.&lt;/span&gt;&lt;/p&gt;&lt;p style="line-height:1.7999999999999998;text-indent: 56.692913385826756pt;text-align: justify;margin-top:12pt;margin-bottom:0pt;" dir="ltr"&gt;</w:t>
            </w:r>
          </w:p>
          <w:p>
            <w:pPr>
              <w:pStyle w:val="TableParagraph"/>
              <w:spacing w:line="208" w:lineRule="auto" w:before="0"/>
              <w:ind w:right="108"/>
              <w:rPr>
                <w:sz w:val="20"/>
              </w:rPr>
            </w:pPr>
            <w:r>
              <w:rPr>
                <w:sz w:val="20"/>
              </w:rPr>
              <w:t>&lt;span style="font-size:12pt;font-family:'Times New Roman',serif;color:#000000;background-color:transparent;font-weight:400;font- style:normal;font-variant:normal;text-decoration:none;vertical-align:baseline;white- space:pre;white-space:pre-wrap;"&gt;De início, embora a apelante sustente a ausência de correlação da pandemia de Covid-19 com o alegado descumprimento do contrato, vê-se que o juízo sentenciante afastou expressamente essa tese autoral, convergindo com a fundamentação da apelante nesse ponto, considerando não provado o impacto da pandemia nos negócios. É dizer, o impacto da pandemia na execução do contrato não foi o fundamento que levou à conclusão pela procedência do pedido.&lt;/span&gt;&lt;/p&gt;&lt;p style="line-height:1.7999999999999998;text-indent: 56.692913385826756pt;text-align: justify;margin-top:12pt;margin-bottom:0pt;" dir="ltr"&gt;&lt;span style="font-size:12pt;font- family:'Times New Roman',serif;color:#000000;background-color:transparent;font- weight:400;font-style:normal;font-variant:normal;text-decoration:none;vertical- align:baseline;white-space:pre;white-space:pre-wrap;"&gt;Vejamos o trecho da sentença que aborda tal tese (pág. 3 do id. 22053596):&lt;/span&gt; &lt;span style="font-size:12pt;font- family:'Times New Roman',serif;color:#000000;background-color:transparent;font- weight:400;font-style:italic;font-variant:normal;text-decoration:none;vertical- align:baseline;white-space:pre;white-space:pre-wrap;"&gt;“A autora invoca o efeito da pandemia como redutor de vendas, contudo, é fato público e notório que o período mais crítico da pandemia, com restrições severas de locomoção, foi o ano de 2020, não havendo nenhuma notícia nos autos de que no ano de 2020 a autora tenha deixado de atingir a meta de venda estipulada pela promovida, o que autoriza concluir que as restrições geradas pela pandemia da Covid-19 não podem ser invocadas pela autora para justificar o descumprimento contratual, do não alcance das metas de venda.”&lt;/span&gt;&lt;/p&gt;&lt;p style="line-height:1.7999999999999998;text-indent: 56.692913385826756pt;text-align: justify;margin-top:12pt;margin-bottom:0pt;" dir="ltr"&gt;&lt;span style="font-size:12pt;font-family:'Times New Roman',serif;color:#000000;background-color:transparent;font-weight:400;font- style:normal;font-variant:normal;text-decoration:none;vertical-align:baseline;white- space:pre;white-space:pre-wrap;"&gt;O ponto nodal para conclusão pela procedência do pedido autoral, foi a constatação pelo juízo&lt;/span&gt; &lt;span style="font-size:12pt;font- family:'Times New Roman',serif;color:#000000;background-color:transparent;font- weight:400;font-style:italic;font-variant:normal;text-decoration:none;vertical- align:baseline;white-space:pre;white-space:pre-wrap;"&gt;a quo&lt;/span&gt; &lt;span style="font- size:12pt;font-family:'Times New Roman',serif;color:#000000;background- color:transparent;font-weight:400;font-style:normal;font-variant:normal;text- decoration:none;vertical-align:baseline;white-space:pre;white-space:pre-wrap;"&gt;da inobservância da Cláusula Sétima em sua Alínea&lt;/span&gt; &lt;span style="font-size:12pt;font- family:'Times New Roman',serif;color:#000000;background-color:transparent;font- weight:400;font-style:italic;font-variant:normal;text-decoration:none;vertical-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align:baseline;white-space:pre;white-space:pre-wrap;"&gt;b&lt;/span&gt; &lt;span style="font- size:12pt;font-family:'Times New Roman',serif;color:#000000;background- color:transparent;font-weight:400;font-style:normal;font-variant:normal;text- decoration:none;vertical-align:baseline;white-space:pre;white-space:pre-wrap;"&gt;do </w:t>
            </w:r>
            <w:r>
              <w:rPr>
                <w:spacing w:val="-3"/>
                <w:sz w:val="20"/>
              </w:rPr>
              <w:t>contrato </w:t>
            </w:r>
            <w:r>
              <w:rPr>
                <w:sz w:val="20"/>
              </w:rPr>
              <w:t>firmado entre as partes, presente nos autos conforme se vê em id. 22053609. Tal cláusula dispõe de um procedimento para rescisão contratual composto por notificação prévia, prazo para sanar o inadimplemento e, após, verificação de correção do vício ou rescisão do contrato. Não obstante, se verificou que tal procedimento não fora levado à cabo pela apelante, com rescisão através de notificação única e sem prazo para contraditório ou correção conforme previsto em contrato, concluindo o juízo por afastar a justa causa da rescisão e fixar o valor indenizatório com fulcro nos artigos 27, alínea&lt;/span&gt; &lt;span style="font-size:12pt;font-family:'Times New Roman',serif;color:#000000;background- color:transparent;font-weight:400;font-style:italic;font-variant:normal;text- decoration:none;vertical-align:baseline;white-space:pre;white-space:pre- wrap;"&gt;j&lt;/span&gt;&lt;span style="font-size:12pt;font-family:'Times New Roman',serif;color:#000000;background-color:transparent;font-weight:400;font- style:normal;font-variant:normal;text-decoration:none;vertical-align:baseline;white- space:pre;white-space:pre-wrap;"&gt;, e 34, da Lei nº 4.886/65.&lt;/span&gt;&lt;/p&gt;&lt;p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space:pre;white-space:pre-wrap;"&gt;Compulsando os autos e a solução do julgador, conclui- se que os argumentos da recorrente não são aptos a ensejar a reforma da decisão.&lt;/span&gt;&lt;/p&gt;&lt;p style="line-height:1.7999999999999998;text-indent: 56.692913385826756pt;text-align: justify;margin-top:12pt;margin-bottom:0pt;" dir="ltr"&gt;</w:t>
            </w:r>
          </w:p>
          <w:p>
            <w:pPr>
              <w:pStyle w:val="TableParagraph"/>
              <w:spacing w:line="208" w:lineRule="auto" w:before="0"/>
              <w:ind w:right="108"/>
              <w:rPr>
                <w:sz w:val="20"/>
              </w:rPr>
            </w:pPr>
            <w:r>
              <w:rPr>
                <w:sz w:val="20"/>
              </w:rPr>
              <w:t>&lt;span style="font-size:12pt;font-family:'Times New Roman',serif;color:#000000;background-color:transparent;font-weight:400;font- style:normal;font-variant:normal;text-decoration:none;vertical-align:baseline;white- space:pre;white-space:pre-wrap;"&gt;A apelada, sub-representante, colacionou com a exordial o contrato firmado entre as partes (id. 22053609), a notificação de rescisão unilateral do contrato (id. 22052776) e as notas fiscais referentes as comissões recebidas, embasando suas alegações (art. 373, I, do CPC).&lt;/span&gt;&lt;/p&gt;&lt;p style="line- height:1.7999999999999998;text-indent: 56.692913385826756pt;text-align: justify;margin- top:12pt;margin-bottom:0pt;" dir="ltr"&gt;&lt;span style="font-size:12pt;font-family:'Times New Roman',serif;color:#000000;background-color:transparent;font-weight:400;font- style:normal;font-variant:normal;text-decoration:none;vertical-align:baseline;white- space:pre;white-space:pre-wrap;"&gt;No referido contrato, as cláusulas Sexta à Nona preveem as hipóteses e procedimentos para rescisão da avença. Destas disposições, a cláusula Sétima, alína&lt;/span&gt; &lt;span style="font-size:12pt;font-family:'Times New Roman',serif;color:#000000;background-color:transparent;font-weight:400;font- style:italic;font-variant:normal;text-decoration:none;vertical-align:baseline;white- space:pre;white-space:pre-wrap;"&gt;b&lt;/span&gt;&lt;span style="font-size:12pt;font-family:'Times New Roman',serif;color:#000000;background-color:transparent;font-weight:400;font- style:normal;font-variant:normal;text-decoration:none;vertical-align:baseline;white- space:pre;white-space:pre-wrap;"&gt;; Cláusula Oitava e Cláusula Nona, preveem expressamente o prazo de 30 (trinta) dias para, após notificação prévia, a parte que tenha descumprido o contrato venha a regularizar a sua falta, inclusive nos casos que a parte não venha a cumprir o previsto em contrato “no sentido de&lt;/span&gt; &lt;span style="font- size:12pt;font-family:'Times New Roman',serif;color:#000000;background- color:transparent;font-weight:400;font-style:italic;font-variant:normal;text- decoration:none;vertical-align:baseline;white-space:pre;white-space:pre- wrap;"&gt;desempenhar&lt;/span&gt;&lt;span style="font-size:12pt;font-family:'Times New Roman',serif;color:#000000;background-color:transparent;font-weight:400;font- style:normal;font-variant:normal;text-decoration:none;vertical-align:baseline;white- space:pre;white-space:pre-wrap;"&gt;”.&lt;/span&gt;&lt;/p&gt;&lt;p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space:pre;white-space:pre-wrap;"&gt;Ocorre que a única notificação presente nos autos é a que comunica a rescisão, tendo a promovente afirmado expressamente a inexistência de aviso antecedente, mesmo após 17 (dezessete) anos de relação empresarial entre as partes.&lt;/span&gt;&lt;/p&gt;&lt;p style="line-height:1.7999999999999998;text-indent: 56.692913385826756pt;text-align: justify;margin-top:12pt;margin-bottom:0pt;" dir="ltr"&gt;</w:t>
            </w:r>
          </w:p>
          <w:p>
            <w:pPr>
              <w:pStyle w:val="TableParagraph"/>
              <w:spacing w:line="208" w:lineRule="auto" w:before="0"/>
              <w:ind w:right="107"/>
              <w:rPr>
                <w:sz w:val="20"/>
              </w:rPr>
            </w:pPr>
            <w:r>
              <w:rPr>
                <w:sz w:val="20"/>
              </w:rPr>
              <w:t>&lt;span style="font-size:12pt;font-family:'Times New Roman',serif;color:#000000;background-color:transparent;font-weight:400;font- style:normal;font-variant:normal;text-decoration:none;vertical-align:baseline;white- space:pre;white-space:pre-wrap;"&gt;Em verdade, em sua contestação (id. 22053600) e nos documentos que lhe são anexos, a sub-representada, ora apelante, somente colacionou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carta contendo a rescisão imediata unilateral (id. 22053522), já trazida pela promovente, </w:t>
            </w:r>
            <w:r>
              <w:rPr>
                <w:spacing w:val="-18"/>
                <w:sz w:val="20"/>
              </w:rPr>
              <w:t>e </w:t>
            </w:r>
            <w:r>
              <w:rPr>
                <w:sz w:val="20"/>
              </w:rPr>
              <w:t>os correios eletrônicos que apenas demonstram o envio de uma única notificação (ids.</w:t>
            </w:r>
          </w:p>
          <w:p>
            <w:pPr>
              <w:pStyle w:val="TableParagraph"/>
              <w:spacing w:line="208" w:lineRule="auto" w:before="0"/>
              <w:ind w:right="30"/>
              <w:rPr>
                <w:sz w:val="20"/>
              </w:rPr>
            </w:pPr>
            <w:r>
              <w:rPr>
                <w:sz w:val="20"/>
              </w:rPr>
              <w:t>22053419 e 22053593).&lt;/span&gt;&lt;/p&gt;&lt;p style="line-height:1.7999999999999998;text- indent: 56.692913385826756pt;text-align: justify;margin-top:12pt;margin-bottom:0pt;" dir="ltr"&gt; &lt;span style="font-size:12pt;font-family:'Times New Roman',serif;color:#000000;background-color:transparent;font-weight:400;font- style:normal;font-variant:normal;text-decoration:none;vertical-align:baseline;white- space:pre;white-space:pre-wrap;"&gt;Embora em seu recurso afirme ser evidente que a apelada recebeu notificações formais antes da rescisão (pág. 6 das razões recursais – id. 22053437), em nenhum momento dos autos comprovou tal envio, não cumprindo seu </w:t>
            </w:r>
            <w:r>
              <w:rPr>
                <w:spacing w:val="-5"/>
                <w:sz w:val="20"/>
              </w:rPr>
              <w:t>ônus </w:t>
            </w:r>
            <w:r>
              <w:rPr>
                <w:sz w:val="20"/>
              </w:rPr>
              <w:t>processual de demonstrar fatos impeditivos, modificativos ou extintivos do direito da autora (Art. 373, II, do CPC).&lt;/span&gt;&lt;/p&gt;&lt;p style="line-height:1.7999999999999998;text-indent: 56.692913385826756pt;text-align: justify;margin-top:12pt;margin-bottom:0pt;" dir="ltr"&gt;</w:t>
            </w:r>
          </w:p>
          <w:p>
            <w:pPr>
              <w:pStyle w:val="TableParagraph"/>
              <w:spacing w:line="208" w:lineRule="auto" w:before="0"/>
              <w:ind w:right="86"/>
              <w:rPr>
                <w:sz w:val="20"/>
              </w:rPr>
            </w:pPr>
            <w:r>
              <w:rPr>
                <w:sz w:val="20"/>
              </w:rPr>
              <w:t>&lt;span style="font-size:12pt;font-family:'Times New Roman',serif;color:#000000;background-color:transparent;font-weight:400;font- style:normal;font-variant:normal;text-decoration:none;vertical-align:baseline;white- space:pre;white-space:pre-wrap;"&gt;Ademais, como reforço dos indícios de falta de comunicação e cooperação da sub-representada, embora a apelante tenha juntado no curso do processo as planilhas de metas apontando o alegado descumprimento, essas planilhas foram produzidas unilateralmente e não demonstram o envio e conhecimento da apelada acerca de seu conteúdo anteriormente à notificação unilateral da rescisão. </w:t>
            </w:r>
            <w:r>
              <w:rPr>
                <w:spacing w:val="-3"/>
                <w:sz w:val="20"/>
              </w:rPr>
              <w:t>Assim, </w:t>
            </w:r>
            <w:r>
              <w:rPr>
                <w:sz w:val="20"/>
              </w:rPr>
              <w:t>não afastou por completo o argumento da sub-representante de que essas metas não lhe foram cobradas e apresentadas anteriormente.&lt;/span&gt;&lt;/p&gt;&lt;p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space:pre;white-space:pre-wrap;"&gt;Desta feita, não há fundamentos idôneos para reforma da sentença, que considerou as especificidades do caso concreto, principalmente o procedimento previsto no contrato estipulado entre as partes e as provas produzidas, para afastar a justa causa na rescisão contratual e fixar a indenização pleiteada.&lt;/span&gt;&lt;/p&gt;&lt;p style="line-height:1.7999999999999998;text-indent: 56.692913385826756pt;text-align: justify;margin-top:12pt;margin-bottom:0pt;" dir="ltr"&gt; &lt;span style="background-color: transparent; font-family: &amp;quot;Times New Roman&amp;quot;, serif; font-size: 12pt; font-weight: 700; white-space-collapse: preserve; text-indent: 56.6929pt;"&gt;DISPOSITIVO&lt;/span&gt;&lt;/p&gt;&lt;p style="line-height:1.7999999999999998;text- indent: 56.692913385826756pt;text-align: justify;margin-top:12pt;margin-bottom:0pt;" dir="ltr"&gt;&lt;span style="font-size:12pt;font-family:'Times New Roman',serif;color:#000000;background-color:transparent;font-weight:400;font- style:normal;font-variant:normal;text-decoration:none;vertical-align:baseline;white- space:pre;white-space:pre-wrap;"&gt;Ante o exposto,&lt;/span&gt; &lt;span style="font- size:12pt;font-family:'Times New Roman',serif;color:#000000;background- color:transparent;font-weight:700;font-style:normal;font-variant:normal;text- decoration:none;vertical-align:baseline;white-space:pre;white-space:pre-wrap;"&gt;conheço do recurso interposto para, no entanto, negar-lhe provimento&lt;/span&gt;&lt;span style="font- size:12pt;font-family:'Times New Roman',serif;color:#000000;background- color:transparent;font-weight:400;font-style:normal;font-variant:normal;text- decoration:none;vertical-align:baseline;white-space:pre;white-space:pre-wrap;"&gt;, mantendo-se, na íntegra, a sentença proferida pelo magistrado de primeiro grau.&lt;/span&gt;&lt;/p&gt;&lt;p style="line-height:1.7999999999999998;text-indent: 56.692913385826756pt;text-align: justify;margin-top:12pt;margin-bottom:0pt;" dir="ltr"&gt;</w:t>
            </w:r>
          </w:p>
          <w:p>
            <w:pPr>
              <w:pStyle w:val="TableParagraph"/>
              <w:spacing w:line="208" w:lineRule="auto" w:before="0"/>
              <w:ind w:right="121"/>
              <w:rPr>
                <w:sz w:val="20"/>
              </w:rPr>
            </w:pPr>
            <w:r>
              <w:rPr>
                <w:sz w:val="20"/>
              </w:rPr>
              <w:t>&lt;span style="font-size:12pt;font-family:'Times New Roman',serif;color:#000000;background-color:transparent;font-weight:400;font- style:normal;font-variant:normal;text-decoration:none;vertical-align:baseline;white- space:pre;white-space:pre-wrap;"&gt;Em razão da dupla sucumbência, majoro os honorários advocatícios em favor dos patronos da parte apelada para 20% (vinte por cento) sobre o valor da condenação, nos termos do art. 85, §11, do CPC.&lt;/span&gt;&lt;/p&gt;&lt;p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space:pre;white-space:pre-wrap;"&gt;É como voto.&lt;/span&gt;&lt;/p&gt;&lt;p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space:pre;white-space:pre-wrap;"&gt;Fortaleza, data registrada no sistema.&lt;/span&gt;&lt;/p&gt;&lt;p style="line-height:1.38;text-indent: 2pt;text-align: justify;margin-top:12pt;margin- bottom:12pt;" dir="ltr"&gt; &lt;span style="font-size:12pt;font-family:'Times New Roman',serif;color:#000000;background-color:transparent;font-weight:400;font-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0237117-30.2022.8.06.0001</w:t>
            </w:r>
          </w:p>
        </w:tc>
      </w:tr>
      <w:tr>
        <w:trPr>
          <w:trHeight w:val="4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3"/>
              <w:rPr>
                <w:sz w:val="20"/>
              </w:rPr>
            </w:pPr>
            <w:r>
              <w:rPr>
                <w:sz w:val="20"/>
              </w:rPr>
              <w:t>style:normal;font-variant:normal;text-decoration:none;vertical-align:baseline;white- space:pre;white-space:pre-wrap;"&gt;&amp;#160;&lt;/span&gt;&lt;/p&gt;&lt;p style="line-height:1.38;text-align: center;margin-top:12pt;margin-bottom:12pt;" dir="ltr"&gt; &lt;span style="font-size:12pt;font- family:'Times New Roman',serif;color:#000000;background-color:transparent;font- weight:700;font-style:normal;font-variant:normal;text-decoration:none;vertical- align:baseline;white-space:pre;white-space:pre-wrap;"&gt;FRANCISCO LUCÍDIO DE QUEIROZ JÚNIOR&lt;/span&gt; &lt;span style="background-color: transparent; font-family: Arial, sans-serif; font-size: 8.5pt; white-space-collapse: preserve;"&gt;&amp;#160;&lt;/span&gt;&lt;/p&gt;&lt;p style="line-height:1.38;text-align: center;margin-top:12pt;margin-bottom:12pt;" dir="ltr"&gt;</w:t>
            </w:r>
          </w:p>
          <w:p>
            <w:pPr>
              <w:pStyle w:val="TableParagraph"/>
              <w:tabs>
                <w:tab w:pos="1773" w:val="left" w:leader="none"/>
                <w:tab w:pos="5720" w:val="left" w:leader="none"/>
              </w:tabs>
              <w:spacing w:line="208" w:lineRule="auto" w:before="0"/>
              <w:ind w:right="163"/>
              <w:rPr>
                <w:sz w:val="20"/>
              </w:rPr>
            </w:pPr>
            <w:r>
              <w:rPr>
                <w:sz w:val="20"/>
              </w:rPr>
              <w:t>&lt;span style="font-size:12pt;font-family:'Times New Roman',serif;color:#000000;background-color:transparent;font-weight:400;font- style:normal;font-variant:normal;text-decoration:none;vertical-align:baseline;white- space:pre;white-space:pre-wrap;"&gt;Desembargador Relator&lt;/span&gt; &lt;span style="background-color: transparent; font-family: &amp;quot;Times New Roman&amp;quot;, serif; font-size: 12pt; white-space-collapse: preserve; text-align: justify; text-indent: 2pt;"&gt;&amp;#160;&lt;/span&gt;&lt;/p&gt;&lt;p style="line-height: 100%; orphans: 0; widows: 0; margin- bottom: 0.21cm;" align="justify"&gt; &lt;span id="docs-internal-guid-de75c7ce-7fff-72e1-47cf- 4644ceb2a697"&gt;</w:t>
              <w:tab/>
              <w:t>&lt;br /&gt; &lt;/span&gt;&lt;/p&gt;&lt;br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Perdas e Danos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JOAO RENATO PEREIRA FREIRE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VEGA S/A TRANSPORTE URBANO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&lt;strong&gt;PROCESSO&lt;/strong&gt;:&amp;#160;0214733-88.2013.8.06.0001 -&amp;#160;APELAÇÃO</w:t>
            </w:r>
          </w:p>
          <w:p>
            <w:pPr>
              <w:pStyle w:val="TableParagraph"/>
              <w:tabs>
                <w:tab w:pos="6557" w:val="left" w:leader="none"/>
              </w:tabs>
              <w:spacing w:line="208" w:lineRule="auto" w:before="8"/>
              <w:ind w:right="305"/>
              <w:rPr>
                <w:sz w:val="20"/>
              </w:rPr>
            </w:pPr>
            <w:r>
              <w:rPr>
                <w:sz w:val="20"/>
              </w:rPr>
              <w:t>CÍVEL (198)&lt;/span&gt;  &lt;/span&gt;&lt;/p&gt;&lt;p&gt;  &lt;span style="font-size: small;"&gt;</w:t>
              <w:tab/>
              <w:t>&lt;span style="font-family: &amp;quot;times new roman&amp;quot;, times;"&gt;APELANTES/APELADOS: JOAO RENATO PEREIRA FREIRE e&amp;#160;&lt;/span&gt; &lt;/span&gt; &lt;span style="font-family: &amp;quot;times new roman&amp;quot;, times; font-size: small;"&gt;VEGA S/A TRANSPORTE</w:t>
            </w:r>
          </w:p>
          <w:p>
            <w:pPr>
              <w:pStyle w:val="TableParagraph"/>
              <w:spacing w:line="208" w:lineRule="auto" w:before="0"/>
              <w:ind w:right="24"/>
              <w:rPr>
                <w:sz w:val="20"/>
              </w:rPr>
            </w:pPr>
            <w:r>
              <w:rPr>
                <w:sz w:val="20"/>
              </w:rPr>
              <w:t>URBANO&lt;/span&gt;&lt;/p&gt;&lt;p&gt;&amp;#160;&lt;/p&gt;&lt;p style="line-height:1.7999999999999998;text-align: justify;margin-top:12pt;margin-bottom:0pt;" dir="ltr"&gt; &lt;span style="font-size:12pt;font- family:'Times New Roman',serif;color:#000000;background-color:transparent;font- weight:700;font-style:normal;font-variant:normal;text-decoration:none;vertical- align:baseline;white-space:pre;white-space:pre-wrap;"&gt;APELAÇÕES CÍVEIS. AÇÃO DE INDENIZAÇÃO POR DANOS MATERIAIS EMERGENTES E LUCROS CESSANTES C/C PEDIDO LIMINAR. ACIDENTE DE TRÂNSITO. COLISÃO ENTRE ÔNIBUS E VEÍCULO DE PASSEIO. CULPA EXCLUSIVA DO CONDUTOR DO AUTOMÓVEL. LAUDO PERICIAL CONCLUSIVO. AUSÊNCIA DE EXCLUSÃO DO NEXO CAUSAL OU CULPA CONCORRENTE. LUCROS CESSANTES NÃO COMPROVADOS. RECURSOS CONHECIDOS E NÃO PROVIDOS. SENTENÇA MANTIDA.&lt;/span&gt;&lt;/p&gt;&lt;p style="line-</w:t>
            </w:r>
          </w:p>
          <w:p>
            <w:pPr>
              <w:pStyle w:val="TableParagraph"/>
              <w:spacing w:line="208" w:lineRule="auto" w:before="0"/>
              <w:ind w:right="54"/>
              <w:rPr>
                <w:sz w:val="20"/>
              </w:rPr>
            </w:pPr>
            <w:r>
              <w:rPr>
                <w:sz w:val="20"/>
              </w:rPr>
              <w:t>height:1.7999999999999998;text-align: justify;margin-top:12pt;margin-bottom:0pt;" dir="ltr"&gt; &lt;span style="font-size:12pt;font-family:'Times New Roman',serif;color:#000000;background-color:transparent;font-weight:700;font- style:normal;font-variant:normal;text-decoration:none;vertical-align:baseline;white- space:pre;white-space:pre-wrap;"&gt;Caso em exame:&lt;/span&gt;&lt;/p&gt;&lt;p style="line- height:1.7999999999999998;text-align: justify;margin-top:12pt;margin-bottom:0pt;" dir="ltr"&gt;&lt;span style="font-size:12pt;font-family:'Times New Roman',serif;color:#000000;background-color:transparent;font-weight:400;font- style:normal;font-variant:normal;text-decoration:none;vertical-align:baseline;white- space:pre;white-space:pre-wrap;"&gt;1. Trata-se de Apelações Cíveis interpostas contra sentença proferida pelo Juízo da 37ª Vara Cível da Comarca de Fortaleza/CE, que julgou&lt;/span&gt; &lt;span style="font-size:12pt;font-family:'Times New Roman',serif;color:#000000;background-color:transparent;font-weight:700;font- style:normal;font-variant:normal;text-decoration:none;vertical-align:baseline;white- space:pre;white-space:pre-wrap;"&gt;parcialmente procedentes&lt;/span&gt; &lt;span style="font- size:12pt;font-family:'Times New Roman',serif;color:#000000;background- color:transparent;font-weight:400;font-style:normal;font-variant:normal;text- decoration:none;vertical-align:baseline;white-space:pre;white-space:pre-wrap;"&gt;os pedidos formulados em ação de indenização por danos materiais emergentes e lucros cessantes.&lt;/span&gt;&lt;/p&gt;&lt;p style="line-height:1.7999999999999998;text-align:</w:t>
            </w:r>
          </w:p>
          <w:p>
            <w:pPr>
              <w:pStyle w:val="TableParagraph"/>
              <w:spacing w:line="208" w:lineRule="auto" w:before="0"/>
              <w:ind w:right="487"/>
              <w:rPr>
                <w:sz w:val="20"/>
              </w:rPr>
            </w:pPr>
            <w:r>
              <w:rPr>
                <w:sz w:val="20"/>
              </w:rPr>
              <w:t>justify;margin-top:12pt;margin-bottom:0pt;" dir="ltr"&gt;&lt;span style="font-size:12pt;font- family:'Times New Roman',serif;color:#000000;background-color:transparent;font- weight:700;font-style:normal;font-variant:normal;text-decoration:none;vertical- align:baseline;white-space:pre;white-space:pre-wrap;"&gt;Questão em discussão:&amp;#160; &amp;#160;&lt;/span&gt; &lt;span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Roman',serif;color:#000000;background-color:transparent;font-weight:700;font- style:normal;font-variant:normal;text-decoration:none;vertical-align:baseline;white- space:pre;white-space:pre-wrap;"&gt; &lt;br /&gt;&lt;/span&gt;&lt;span style="font-size:12pt;font- family:'Times New Roman',serif;color:#000000;background-color:transparent;font- weight:400;font-style:normal;font-variant:normal;text-decoration:none;vertical- align:baseline;white-space:pre;white-space:pre-wrap;"&gt;2. Cinge-se a controvérsia recursal em averiguar o acerto da decisão que reconheceu o dever de indenizar o prejuízo </w:t>
            </w:r>
            <w:r>
              <w:rPr>
                <w:spacing w:val="-3"/>
                <w:sz w:val="20"/>
              </w:rPr>
              <w:t>material </w:t>
            </w:r>
            <w:r>
              <w:rPr>
                <w:sz w:val="20"/>
              </w:rPr>
              <w:t>referente ao conserto do ônibus e aos danos regressivamente pagos a terceiros, afastando, contudo, o pleito de lucros cessantes.&lt;/span&gt;&lt;/p&gt;&lt;p style="line- height:1.7999999999999998;text-align: justify;margin-top:12pt;margin-bottom:0pt;" dir="ltr"&gt;&lt;span style="font-size:12pt;font-family:'Times New Roman',serif;color:#000000;background-color:transparent;font-weight:700;font- style:normal;font-variant:normal;text-decoration:none;vertical-align:baseline;white- space:pre;white-space:pre-wrap;"&gt;Teses recursais:&amp;#160; &amp;#160;&lt;/span&gt; &lt;span style="font-size:12pt;font-family:'Times New Roman',serif;color:#000000;background- color:transparent;font-weight:700;font-style:normal;font-variant:normal;text- decoration:none;vertical-align:baseline;white-space:pre;white-space:pre-wrap;"&gt; &lt;br</w:t>
            </w:r>
          </w:p>
          <w:p>
            <w:pPr>
              <w:pStyle w:val="TableParagraph"/>
              <w:spacing w:line="208" w:lineRule="auto" w:before="0"/>
              <w:ind w:right="97"/>
              <w:rPr>
                <w:sz w:val="20"/>
              </w:rPr>
            </w:pPr>
            <w:r>
              <w:rPr>
                <w:sz w:val="20"/>
              </w:rPr>
              <w:t>/&gt;&lt;/span&gt;&lt;span style="font-size:12pt;font-family:'Times New Roman',serif;color:#000000;background-color:transparent;font-weight:400;font- style:normal;font-variant:normal;text-decoration:none;vertical-align:baseline;white- space:pre;white-space:pre-wrap;"&gt;3. O promovido sustenta a inexistência de nexo causal, alegando que o acidente decorreu de condições adversas da pista e velocidade excessiva do ônibus. A promovente, por sua vez, pleiteia o reconhecimento dos lucros cessantes </w:t>
            </w:r>
            <w:r>
              <w:rPr>
                <w:spacing w:val="-9"/>
                <w:sz w:val="20"/>
              </w:rPr>
              <w:t>em </w:t>
            </w:r>
            <w:r>
              <w:rPr>
                <w:sz w:val="20"/>
              </w:rPr>
              <w:t>razão da paralisação do veículo sinistrado.&lt;/span&gt;&lt;/p&gt;&lt;p style="line- height:1.7999999999999998;text-align: justify;margin-top:12pt;margin-bottom:0pt;" dir="ltr"&gt;&lt;span style="font-size:12pt;font-family:'Times New Roman',serif;color:#000000;background-color:transparent;font-weight:700;font- style:normal;font-variant:normal;text-decoration:none;vertical-align:baseline;white- space:pre;white-space:pre-wrap;"&gt;Razões de decidir:&lt;/span&gt;&lt;span style="font- size:12pt;font-family:'Times New Roman',serif;color:#000000;background- color:transparent;font-weight:700;font-style:normal;font-variant:normal;text- decoration:none;vertical-align:baseline;white-space:pre;white-space:pre-wrap;"&gt; &lt;br</w:t>
            </w:r>
          </w:p>
          <w:p>
            <w:pPr>
              <w:pStyle w:val="TableParagraph"/>
              <w:spacing w:line="208" w:lineRule="auto" w:before="0"/>
              <w:ind w:right="130"/>
              <w:rPr>
                <w:sz w:val="20"/>
              </w:rPr>
            </w:pPr>
            <w:r>
              <w:rPr>
                <w:sz w:val="20"/>
              </w:rPr>
              <w:t>/&gt;&lt;/span&gt;&lt;span style="font-size:12pt;font-family:'Times New Roman',serif;color:#000000;background-color:transparent;font-weight:400;font- style:normal;font-variant:normal;text-decoration:none;vertical-align:baseline;white- space:pre;white-space:pre-wrap;"&gt;4. A prova pericial é conclusiva no sentido de que o condutor do veículo do promovido interceptou a trajetória retilínea e preferencial do </w:t>
            </w:r>
            <w:r>
              <w:rPr>
                <w:spacing w:val="-3"/>
                <w:sz w:val="20"/>
              </w:rPr>
              <w:t>micro- </w:t>
            </w:r>
            <w:r>
              <w:rPr>
                <w:sz w:val="20"/>
              </w:rPr>
              <w:t>ônibus coletivo, ao adentrar em via sinalizada com parada obrigatória, causando o abalroamento e os danos subsequentes.&lt;/span&gt;&lt;span style="font-size:12pt;font- family:'Times New Roman',serif;color:#000000;background-color:transparent;font- weight:400;font-style:normal;font-variant:normal;text-decoration:none;vertical- align:baseline;white-space:pre;white-space:pre-wrap;"&gt; &lt;br /&gt;&lt;/span&gt;&lt;span style="font- size:12pt;font-family:'Times New Roman',serif;color:#000000;background- color:transparent;font-weight:400;font-style:normal;font-variant:normal;text- decoration:none;vertical-align:baseline;white-space:pre;white-space:pre-wrap;"&gt;5.</w:t>
            </w:r>
          </w:p>
          <w:p>
            <w:pPr>
              <w:pStyle w:val="TableParagraph"/>
              <w:tabs>
                <w:tab w:pos="5163" w:val="left" w:leader="none"/>
              </w:tabs>
              <w:spacing w:line="208" w:lineRule="auto" w:before="0"/>
              <w:ind w:right="108"/>
              <w:rPr>
                <w:sz w:val="20"/>
              </w:rPr>
            </w:pPr>
            <w:r>
              <w:rPr>
                <w:sz w:val="20"/>
              </w:rPr>
              <w:t>Inexistem elementos que demonstrem a exclusão do nexo causal ou culpa concorrente </w:t>
            </w:r>
            <w:r>
              <w:rPr>
                <w:spacing w:val="-9"/>
                <w:sz w:val="20"/>
              </w:rPr>
              <w:t>do </w:t>
            </w:r>
            <w:r>
              <w:rPr>
                <w:sz w:val="20"/>
              </w:rPr>
              <w:t>motorista do transporte coletivo, razão pela qual se mantém a responsabilidade exclusiva do promovido.&amp;#160;&lt;/span&gt; &lt;span style="font-size:12pt;font-family:'Times New Roman',serif;color:#000000;background-color:transparent;font-weight:400;font- style:normal;font-variant:normal;text-decoration:none;vertical-align:baseline;white- space:pre;white-space:pre-wrap;"&gt; &lt;br /&gt;&lt;/span&gt;&lt;span style="font-size:12pt;font- family:'Times New Roman',serif;color:#000000;background-color:transparent;font- weight:400;font-style:normal;font-variant:normal;text-decoration:none;vertical- align:baseline;white-space:pre;white-space:pre-wrap;"&gt;6. Quanto ao pedido de lucros cessantes, a promovente não comprovou prejuízo financeiro concreto decorrente da paralisação do veículo, nem a efetiva inoperância da linha de transporte afetada, sendo indevida a indenização sob tal título, sob pena de enriquecimento sem causa.&lt;/span&gt;&lt;/p&gt;&lt;p style="line-height:1.7999999999999998;text-align: justify;margin- top:12pt;margin-bottom:0pt;" dir="ltr"&gt; &lt;span style="font-size:12pt;font-family:'Times New Roman',serif;color:#000000;background-color:transparent;font-weight:700;font- style:normal;font-variant:normal;text-decoration:none;vertical-align:baseline;white- space:pre;white-space:pre-wrap;"&gt;Dispositivo:&lt;/span&gt; &lt;span style="font-size:12pt;font- family:'Times New Roman',serif;color:#000000;background-color:transparent;font- weight:700;font-style:normal;font-variant:normal;text-decoration:none;vertical- align:baseline;white-space:pre;white-space:pre-wrap;"&gt;</w:t>
              <w:tab/>
              <w:t>&lt;br /&gt; &lt;/span&gt; &lt;span style="font-size:12pt;font-family:'Times New Roman',serif;color:#000000;background- color:transparent;font-weight:400;font-style:normal;font-variant:normal;text- decoration:none;vertical-align:baseline;white-space:pre;white-space:pre-wrap;"&gt;7.</w:t>
            </w:r>
          </w:p>
          <w:p>
            <w:pPr>
              <w:pStyle w:val="TableParagraph"/>
              <w:spacing w:line="208" w:lineRule="auto" w:before="0"/>
              <w:ind w:right="1231"/>
              <w:rPr>
                <w:sz w:val="20"/>
              </w:rPr>
            </w:pPr>
            <w:r>
              <w:rPr>
                <w:sz w:val="20"/>
              </w:rPr>
              <w:t>Apelações conhecidas e não providas. Sentença de primeiro grau mantida integralmente.&lt;/span&gt;&lt;/p&gt;&lt;p style="line-height:1.38;text-align: justify;margin-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top:12pt;margin-bottom:12pt;" dir="ltr"&gt; &lt;span style="font-size:12pt;font-family:'Times New Roman',serif;color:#000000;background-color:transparent;font-weight:400;font- style:normal;font-variant:normal;text-decoration:none;vertical-align:baseline;white- space:pre;white-space:pre-wrap;"&gt;&amp;#160;&lt;/span&gt;&lt;/p&gt;&lt;p style="line-height:2.4;text-align: center;margin-top:12pt;margin-bottom:12pt;" dir="ltr"&gt; &lt;span style="font- size:13.999999999999998pt;font-family:'Times New Roman',serif;color:#000000;background-color:transparent;font-weight:700;font- style:normal;font-variant:normal;text-decoration:none;vertical-align:baseline;white- space:pre;white-space:pre-wrap;"&gt;ACÓRDÃO&lt;/span&gt;&lt;/p&gt;&lt;p style="line-height:1.38;text- align: center;margin-top:1pt;margin-bottom:12pt;" dir="ltr"&gt; &lt;span style="font- size:13.999999999999998pt;font-family:'Times New Roman',serif;color:#000000;background-color:transparent;font-weight:700;font- style:normal;font-variant:normal;text-decoration:none;vertical-align:baseline;white- space:pre;white-space:pre-wrap;"&gt;&amp;#160;&lt;/span&gt;&lt;/p&gt;&lt;p style="line- height:1.7999999999999998;text-indent: 71pt;text-align: justify;margin-top:6pt;margin- bottom:12pt;" dir="ltr"&gt;&lt;span style="font-size:12pt;font-family:'Times New Roman',serif;color:#000000;background-color:transparent;font-weight:400;font- style:normal;font-variant:normal;text-decoration:none;vertical-align:baseline;white- space:pre;white-space:pre-wrap;"&gt;Vistos, relatados e discutidos esses autos, acorda a Quinta Câmara de Direito Privado do Egrégio Tribunal de Justiça do Ceará, por unanimidade, em&lt;/span&gt; &lt;span style="font-size:12pt;font-family:'Times New Roman',serif;color:#000000;background-color:transparent;font-weight:700;font- style:normal;font-variant:normal;text-decoration:none;vertical-align:baseline;white- space:pre;white-space:pre-wrap;"&gt;CONHECER&lt;/span&gt; &lt;span style="font-size:12pt;font- family:'Times New Roman',serif;color:#000000;background-color:transparent;font- weight:400;font-style:normal;font-variant:normal;text-decoration:none;vertical- align:baseline;white-space:pre;white-space:pre-wrap;"&gt;e&lt;/span&gt; &lt;span style="font- size:12pt;font-family:'Times New Roman',serif;color:#000000;background- color:transparent;font-weight:700;font-style:normal;font-variant:normal;text- decoration:none;vertical-align:baseline;white-space:pre;white-space:pre-wrap;"&gt;NEGAR PROVIMENTO&lt;/span&gt; &lt;span style="font-size:12pt;font-family:'Times New Roman',serif;color:#000000;background-color:transparent;font-weight:400;font- style:normal;font-variant:normal;text-decoration:none;vertical-align:baseline;white- space:pre;white-space:pre-wrap;"&gt;às presentes Apelações Cíveis, em conformidade com o voto do Relator.&lt;/span&gt;&lt;/p&gt;&lt;p style="line-height:1.7999999999999998;text-indent: 71pt;text-align: justify;margin-top:6pt;margin-bottom:12pt;" dir="ltr"&gt; &lt;span style="font- size:12pt;font-family:'Times New Roman',serif;color:#000000;background- color:transparent;font-weight:400;font-style:normal;font-variant:normal;text- decoration:none;vertical-align:baseline;white-space:pre;white-space:pre-wrap;"&gt;Fortaleza, data registrada no sistema.&lt;/span&gt;&lt;/p&gt;&lt;p style="line-height:1.7999999999999998;text- align: center;margin-top:12pt;margin-bottom:12pt;" dir="ltr"&gt; &lt;span style="font- size:12pt;font-family:'Times New Roman',serif;color:#000000;background- color:transparent;font-weight:700;font-style:normal;font-variant:normal;text- decoration:none;vertical-align:baseline;white-space:pre;white-space:pre- wrap;"&gt;&amp;#160;&lt;/span&gt;&lt;/p&gt;&lt;p style="line-height:1.7999999999999998;text-align: center;margin-top:12pt;margin-bottom:12pt;" dir="ltr"&gt; &lt;span style="font-size:12pt;font- family:'Times New Roman',serif;color:#000000;background-color:transparent;font- weight:700;font-style:normal;font-variant:normal;text-decoration:none;vertical- align:baseline;white-space:pre;white-space:pre-wrap;"&gt;MARIA REGINA OLIVEIRA CÂMARA&lt;/span&gt;&lt;/p&gt;&lt;p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space:pre;white-space:pre-wrap;"&gt;Presidente do Órgão Julgador&lt;/span&gt;&lt;/p&gt;&lt;p</w:t>
            </w:r>
          </w:p>
          <w:p>
            <w:pPr>
              <w:pStyle w:val="TableParagraph"/>
              <w:spacing w:line="208" w:lineRule="auto" w:before="0"/>
              <w:ind w:right="65"/>
              <w:rPr>
                <w:sz w:val="20"/>
              </w:rPr>
            </w:pPr>
            <w:r>
              <w:rPr>
                <w:sz w:val="20"/>
              </w:rPr>
              <w:t>style="line-height:1.7999999999999998;text-align: center;margin-top:12pt;margin- bottom:12pt;" dir="ltr"&gt; &lt;span style="font-size:12pt;font-family:'Times New Roman',serif;color:#000000;background-color:transparent;font-weight:700;font- style:normal;font-variant:normal;text-decoration:none;vertical-align:baseline;white- space:pre;white-space:pre-wrap;"&gt;&amp;#160;&lt;/span&gt;&lt;/p&gt;&lt;p style="line- height:1.7999999999999998;text-align: center;margin-top:12pt;margin-bottom:12pt;" dir="ltr"&gt; &lt;span style="font-size:12pt;font-family:'Times New Roman',serif;color:#000000;background-color:transparent;font-weight:700;font- style:normal;font-variant:normal;text-decoration:none;vertical-align:baseline;white- space:pre;white-space:pre-wrap;"&gt;FRANCISCO LUCÍDIO DE QUEIROZ JÚNIOR&lt;/span&gt;&lt;/p&gt;&lt;p style="line-height:1.7999999999999998;text-align: center;margin- top:12pt;margin-bottom:12pt;" dir="ltr"&gt; &lt;span style="font-size:12pt;font-family:'Times New Roman',serif;color:#000000;background-color:transparent;font-weight:400;font- style:normal;font-variant:normal;text-decoration:none;vertical-align:baseline;white- space:pre;white-space:pre-wrap;"&gt;&amp;#160;Desembargador Relator&lt;/span&gt;&lt;/p&gt;&lt;p style="line-height:1.38;text-align: center;margin-top:12pt;margin-bottom:12pt;" dir="ltr"&gt;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3"/>
              <w:rPr>
                <w:sz w:val="20"/>
              </w:rPr>
            </w:pPr>
            <w:r>
              <w:rPr>
                <w:sz w:val="20"/>
              </w:rPr>
              <w:t>&lt;span style="font-size:12pt;font-family:'Times New Roman',serif;color:#000000;background-color:transparent;font-weight:700;font- style:normal;font-variant:normal;text-decoration:none;vertical-align:baseline;white- space:pre;white-space:pre-wrap;"&gt;&amp;#160;&lt;/span&gt;&lt;/p&gt;&lt;p style="line-height:1.38;text-align: center;margin-top:12pt;margin-bottom:12pt;" dir="ltr"&gt; &lt;span style="font-size:12pt;font- family:'Times New Roman',serif;color:#000000;background-color:transparent;font- weight:700;font-style:normal;font-variant:normal;text-decoration:none;vertical- align:baseline;white-space:pre;white-space:pre-wrap;"&gt;&amp;#160;&lt;/span&gt;&lt;/p&gt;&lt;p style="line- height:1.38;text-align: center;margin-top:12pt;margin-bottom:12pt;" dir="ltr"&gt; &lt;span style="font-size:12pt;font-family:'Times New Roman',serif;color:#000000;background- color:transparent;font-weight:700;font-style:normal;font-variant:normal;text- decoration:none;vertical-align:baseline;white-space:pre;white-space:pre- wrap;"&gt;RELATÓRIO&lt;/span&gt;&lt;/p&gt;&lt;p style="line-height:1.38;text-indent: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space:pre;white-space:pre-wrap;"&gt;Trata-se de&lt;/span&gt; &lt;span style="font-size:12pt;font- family:'Times New Roman',serif;color:#000000;background-color:transparent;font- weight:700;font-style:normal;font-variant:normal;text-decoration:none;vertical- align:baseline;white-space:pre;white-space:pre-wrap;"&gt;Apelações Cíveis&lt;/span&gt; &lt;span style="font-size:12pt;font-family:'Times New Roman',serif;color:#000000;background- color:transparent;font-weight:400;font-style:normal;font-variant:normal;text- decoration:none;vertical-align:baseline;white-space:pre;white-space:pre-wrap;"&gt;interposta por JOÃO RENATO PEREIRA FREIRE, promovido, e VEGA S/A TRANSPORTE</w:t>
            </w:r>
          </w:p>
          <w:p>
            <w:pPr>
              <w:pStyle w:val="TableParagraph"/>
              <w:spacing w:line="208" w:lineRule="auto" w:before="0"/>
              <w:ind w:right="41"/>
              <w:rPr>
                <w:sz w:val="20"/>
              </w:rPr>
            </w:pPr>
            <w:r>
              <w:rPr>
                <w:sz w:val="20"/>
              </w:rPr>
              <w:t>URBANO, promovente, em face da Sentença de id. 17431989 prolatada pelo Juízo da 37ª Vara Cível da Comarca de Fortaleza/CE que julgou parcialmente procedentes os pedidos em Ação de Indenização por Danos Materiais Emergentes, Lucros Cessantes c/c Pedido Liminar.&lt;/span&gt;&lt;/p&gt;&lt;p style="line-height:1.38;text-indent: 56.692913385826756pt;text- align: justify;margin-top:12pt;margin-bottom:12pt;" dir="ltr"&gt; &lt;span style="font- size:12pt;font-family:'Times New Roman',serif;color:#000000;background- color:transparent;font-weight:400;font-style:normal;font-variant:normal;text- decoration:none;vertical-align:baseline;white-space:pre;white-space:pre-wrap;"&gt;A pessoa jurídica responsável pela prestação do serviço de transporte coletivo ajuizou ação alegando que um veículo de sua propriedade foi atingido por automóvel pertencente ao promovido, resultando em danos materiais, nas modalidades de danos emergentes e lucros cessantes. Afirmou, ainda, que em decorrência da colisão o ônibus tombou e </w:t>
            </w:r>
            <w:r>
              <w:rPr>
                <w:spacing w:val="-3"/>
                <w:sz w:val="20"/>
              </w:rPr>
              <w:t>atingiu </w:t>
            </w:r>
            <w:r>
              <w:rPr>
                <w:sz w:val="20"/>
              </w:rPr>
              <w:t>imóveis vizinhos, cujos prejuízos foram por ela indenizados, motivo pelo qual pleiteia, de forma regressiva, o ressarcimento dos valores pagos.&lt;/span&gt;&lt;/p&gt;&lt;p style="line- height:1.38;text-indent: 56.692913385826756pt;text-align: justify;margin-top:12pt;margin- bottom:12pt;" dir="ltr"&gt;&lt;span style="font-size:12pt;font-family:'Times New Roman',serif;color:#000000;background-color:transparent;font-weight:400;font- style:normal;font-variant:normal;text-decoration:none;vertical-align:baseline;white- space:pre;white-space:pre-wrap;"&gt;O juízo&lt;/span&gt; &lt;span style="font-size:12pt;font- family:'Times New Roman',serif;color:#000000;background-color:transparent;font- weight:400;font-style:italic;font-variant:normal;text-decoration:none;vertical- align:baseline;white-space:pre;white-space:pre-wrap;"&gt;a quo&lt;/span&gt; &lt;span style="font- size:12pt;font-family:'Times New Roman',serif;color:#000000;background- color:transparent;font-weight:400;font-style:normal;font-variant:normal;text- decoration:none;vertical-align:baseline;white-space:pre;white-space:pre-wrap;"&gt;concluiu em dispositivo de sentença:&lt;/span&gt;&lt;/p&gt;&lt;p style="line-height:1.38;margin-left: 113pt;text- align: justify;margin-top:12pt;margin-bottom:12pt;" dir="ltr"&gt; &lt;span style="font- size:12pt;font-family:'Times New Roman',serif;color:#000000;background- color:transparent;font-weight:400;font-style:italic;font-variant:normal;text- decoration:none;vertical-align:baseline;white-space:pre;white-space:pre-wrap;"&gt;Ante o exposto e considerando que mais dos autos consta, JULGO por sentença, para que produza seus jurídicos e legais efeitos, PARCIALMENTE PROCEDENTES os pedidos formulados pela empresa autora, extinguindo o processo, com resolução de mérito, na forma do artigo 487, inciso I, do Código de Processo Civil, e assim o faço para:&lt;/span&gt;&lt;/p&gt;&lt;p style="line-height:1.38;margin-left: 113pt;text-align: justify;margin- top:12pt;margin-bottom:12pt;" dir="ltr"&gt; &lt;span style="font-size:12pt;font-family:'Times New Roman',serif;color:#000000;background-color:transparent;font-weight:400;font- style:italic;font-variant:normal;text-decoration:none;vertical-align:baseline;white- space:pre;white-space:pre-wrap;"&gt;a) CONDENAR o pagamento de indenização por danos materiais, correspondente ao conserto do ônibus, no valor de R$ 33.369,92 (trinta e três mil trezentos e sessenta e nove reais e noventa e dois centavos). Os valores deverão ser corrigidos monetariamente pelo IPCA, desde a data do sinistro e acrescidos de juros de mora de 1% a.m. a contar do efetivo desembolso (11/10/2013);&lt;/span&gt;&lt;/p&gt;&lt;p style="line- height:1.38;margin-left: 113pt;text-align: justify;margin-top:12pt;margin-bottom:12pt;" dir="ltr"&gt; &lt;span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4"/>
              <w:rPr>
                <w:sz w:val="20"/>
              </w:rPr>
            </w:pPr>
            <w:r>
              <w:rPr>
                <w:sz w:val="20"/>
              </w:rPr>
              <w:t>Roman',serif;color:#000000;background-color:transparent;font-weight:400;font- style:italic;font-variant:normal;text-decoration:none;vertical-align:baseline;white- space:pre;white-space:pre-wrap;"&gt;b) CONDENAR o promovido ao ressarcimento dos valores pagos pela empresa autora à título de reparo dos imóveis atingidos pela colisão, no montante de R$ 33.889,36 (trinta e três mil oitocentos e oitenta e nove reais e trinta e seis centavos). Os valores deverão ser corrigidos monetariamente pelo IPCA, desde a data do sinistro e acrescidos de juros de mora de 1% a.m. a contar do efetivo desembolso (fl. 72, 80 e 87).&lt;/span&gt;&lt;/p&gt;&lt;p style="line-height:1.38;margin-left: 113pt;text-align: justify;margin-top:12pt;margin-bottom:12pt;" dir="ltr"&gt; &lt;span style="font-size:12pt;font- family:'Times New Roman',serif;color:#000000;background-color:transparent;font- weight:400;font-style:italic;font-variant:normal;text-decoration:none;vertical- align:baseline;white-space:pre;white-space:pre-wrap;"&gt;Considerando a sucumbência recíproca, condeno a parte autora ao pagamento de 30% (trinta por cento) das custas e despesas processuais, bem como honorários advocatícios e o promovido ao pagamento de 70%. Fixo os honorários em 10% (dez por cento) sobre o valor da condenação, tudo com fulcro no art. 85, § 2.º, e art. 86, parágrafo único, do CPC.&lt;/span&gt;&lt;/p&gt;&lt;p style="line- height:1.38;text-align: justify;margin-top:12pt;margin-bottom:12pt;" dir="ltr"&gt; &lt;span style="font-size:12pt;font-family:'Times New Roman',serif;color:#000000;background- color:transparent;font-weight:400;font-style:italic;font-variant:normal;text- decoration:none;vertical-align:baseline;white-space:pre;white-space:pre- wrap;"&gt;&amp;#160;&lt;/span&gt;&lt;/p&gt;&lt;p style="line-height:1.38;text-indent: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space:pre;white-space:pre-wrap;"&gt;Irresignado, o&lt;/span&gt; &lt;span style="font-size:12pt;font- family:'Times New Roman',serif;color:#000000;background-color:transparent;font- weight:700;font-style:normal;font-variant:normal;text-decoration:none;vertical- align:baseline;white-space:pre;white-space:pre-wrap;"&gt;promovido&lt;/span&gt; &lt;span style="font-size:12pt;font-family:'Times New Roman',serif;color:#000000;background- color:transparent;font-weight:400;font-style:normal;font-variant:normal;text- decoration:none;vertical-align:baseline;white-space:pre;white-space:pre-wrap;"&gt;interpôs apelação com&lt;/span&gt; &lt;span style="font-size:12pt;font-family:'Times New Roman',serif;color:#000000;background-color:transparent;font-weight:700;font- style:normal;font-variant:normal;text-decoration:none;vertical-align:baseline;white- space:pre;white-space:pre-wrap;"&gt;razões&lt;/span&gt; &lt;span style="font-size:12pt;font- family:'Times New Roman',serif;color:#000000;background-color:transparent;font- weight:400;font-style:normal;font-variant:normal;text-decoration:none;vertical- align:baseline;white-space:pre;white-space:pre-wrap;"&gt;em id. 17432001, sustentando, em síntese, a exclusão do nexo causal em razão de alegadas condições adversas da pista de rolamento e velocidade excessiva do ônibus.&lt;/span&gt;&lt;/p&gt;&lt;p style="line-height:1.38;text- indent: 56.692913385826756pt;text-align: justify;margin-top:12pt;margin-bottom:12pt;" dir="ltr"&gt;&lt;span style="font-size:12pt;font-family:'Times New Roman',serif;color:#000000;background-color:transparent;font-weight:400;font- style:normal;font-variant:normal;text-decoration:none;vertical-align:baseline;white- space:pre;white-space:pre-wrap;"&gt;Em paralelo, o&lt;/span&gt; &lt;span style="font-size:12pt;font- family:'Times New Roman',serif;color:#000000;background-color:transparent;font- weight:700;font-style:normal;font-variant:normal;text-decoration:none;vertical- align:baseline;white-space:pre;white-space:pre-wrap;"&gt;promovente&lt;/span&gt; &lt;span style="font-size:12pt;font-family:'Times New Roman',serif;color:#000000;background- color:transparent;font-weight:400;font-style:normal;font-variant:normal;text- decoration:none;vertical-align:baseline;white-space:pre;white-space:pre-wrap;"&gt;também interpôs apelação com&lt;/span&gt; &lt;span style="font-size:12pt;font-family:'Times New Roman',serif;color:#000000;background-color:transparent;font-weight:700;font- style:normal;font-variant:normal;text-decoration:none;vertical-align:baseline;white- space:pre;white-space:pre-wrap;"&gt;razões&lt;/span&gt; &lt;span style="font-size:12pt;font- family:'Times New Roman',serif;color:#000000;background-color:transparent;font- weight:400;font-style:normal;font-variant:normal;text-decoration:none;vertical- align:baseline;white-space:pre;white-space:pre-wrap;"&gt;em id. 17432005, apontando, em resumo, a existência de lucros cessantes e pugnando pela reforma da sentença para que sejam julgados totalmente procedentes os pedidos.&lt;/span&gt;&lt;/p&gt;&lt;p style="line- height:1.38;text-indent: 56.692913385826756pt;text-align: justify;margin-top:12pt;margin- bottom:12pt;" dir="ltr"&gt;&lt;span style="font-size:12pt;font-family:'Times New Roman',serif;color:#000000;background-color:transparent;font-weight:700;font- style:normal;font-variant:normal;text-decoration:none;vertical-align:baseline;white- space:pre;white-space:pre-wrap;"&gt;Contrarrazões&lt;/span&gt; &lt;span style="font-size:12pt;font- family:'Times New Roman',serif;color:#000000;background-color:transparent;font- weight:400;font-style:normal;font-variant:normal;text-decoration:none;vertical- align:baseline;white-space:pre;white-space:pre-wrap;"&gt;da promovente e do promovido apresentadas em ids. 17432012 e 17432014, respectivamente.&lt;/span&gt;&lt;/p&gt;&lt;p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height:1.38;text-indent: 56.692913385826756pt;text-align: justify;margin-top:12pt;margin- bottom:12pt;" dir="ltr"&gt;&lt;span style="font-size:12pt;font-family:'Times New Roman',serif;color:#000000;background-color:transparent;font-weight:400;font- style:normal;font-variant:normal;text-decoration:none;vertical-align:baseline;white- space:pre;white-space:pre-wrap;"&gt;A&lt;/span&gt; &lt;span style="font-size:12pt;font-family:'Times New Roman',serif;color:#000000;background-color:transparent;font-weight:700;font- style:normal;font-variant:normal;text-decoration:none;vertical-align:baseline;white- space:pre;white-space:pre-wrap;"&gt;Douta Procuradoria Geral de Justiça&lt;/span&gt; &lt;span style="font-size:12pt;font-family:'Times New Roman',serif;color:#000000;background- color:transparent;font-weight:400;font-style:normal;font-variant:normal;text- decoration:none;vertical-align:baseline;white-space:pre;white-space:pre-wrap;"&gt;apresentou manifestação apontando não ser caso de incursão no mérito pelo&lt;/span&gt; &lt;span style="font-size:12pt;font-family:'Times New Roman',serif;color:#000000;background- color:transparent;font-weight:400;font-style:italic;font-variant:normal;text- decoration:none;vertical-align:baseline;white-space:pre;white-space:pre- wrap;"&gt;Parquet.&lt;/span&gt;&lt;/p&gt;&lt;p style="line-height:1.38;text-indent: 56.692913385826756pt;text-align: justify;margin-top:12pt;margin-bottom:12pt;" dir="ltr"&gt;</w:t>
            </w:r>
          </w:p>
          <w:p>
            <w:pPr>
              <w:pStyle w:val="TableParagraph"/>
              <w:spacing w:line="208" w:lineRule="auto" w:before="0"/>
              <w:ind w:right="121"/>
              <w:rPr>
                <w:sz w:val="20"/>
              </w:rPr>
            </w:pPr>
            <w:r>
              <w:rPr>
                <w:sz w:val="20"/>
              </w:rPr>
              <w:t>&lt;span style="font-size:12pt;font-family:'Times New Roman',serif;color:#000000;background-color:transparent;font-weight:400;font- style:normal;font-variant:normal;text-decoration:none;vertical-align:baseline;white- space:pre;white-space:pre-wrap;"&gt;Os autos vieram conclusos.&lt;/span&gt;&lt;/p&gt;&lt;p style="line- height:1.38;text-indent: 56.692913385826756pt;text-align: justify;margin-top:12pt;margin- bottom:12pt;" dir="ltr"&gt; &lt;span style="font-size:12pt;font-family:'Times New Roman',serif;color:#000000;background-color:transparent;font-weight:400;font- style:normal;font-variant:normal;text-decoration:none;vertical-align:baseline;white- space:pre;white-space:pre-wrap;"&gt;É o relatório.&lt;/span&gt;&lt;/p&gt;&lt;p style="line- height:1.7999999999999998;text-align: center;margin-top:12pt;margin-bottom:0pt;" dir="ltr"&gt; &lt;span style="font-size:12pt;font-family:'Times New Roman',serif;color:#000000;background-color:transparent;font-weight:700;font- style:normal;font-variant:normal;text-decoration:none;vertical-align:baseline;white- space:pre;white-space:pre-wrap;"&gt;VOTO&lt;/span&gt;&lt;/p&gt;&lt;p style="line- height:1.7999999999999998;text-align: justify;margin-top:12pt;margin-bottom:0pt;" dir="ltr"&gt; &lt;span style="font-size:12pt;font-family:'Times New Roman',serif;color:#000000;background-color:transparent;font-weight:400;font- style:normal;font-variant:normal;text-decoration:none;vertical-align:baseline;white- space:pre;white-space:pre-wrap;"&gt;&amp;#160;&lt;/span&gt;&lt;/p&gt;&lt;p style="line- height:1.7999999999999998;text-indent: 56.692913385826756pt;text-align: justify;margin- top:6pt;margin-bottom:0pt;" dir="ltr"&gt; &lt;span style="font-size:12pt;font-family:'Times New Roman',serif;color:#000000;background-color:transparent;font-weight:700;font- style:normal;font-variant:normal;text-decoration:none;vertical-align:baseline;white- space:pre;white-space:pre-wrap;"&gt;1. JUÍZO DE ADMISSIBILIDADE&lt;/span&gt;&lt;/p&gt;&lt;p style="line-height:1.7999999999999998;text-indent: 56.692913385826756pt;text-align: justify;margin-top:6pt;margin-bottom:0pt;" dir="ltr"&gt;&lt;span style="font-size:12pt;font- family:'Times New Roman',serif;color:#000000;background-color:transparent;font- weight:400;font-style:normal;font-variant:normal;text-decoration:none;vertical- align:baseline;white-space:pre;white-space:pre-wrap;"&gt;Presentes os pressupostos recursais de admissibilidade&lt;/span&gt; &lt;span style="font-size:12pt;font-family:'Times New Roman',serif;color:#000000;background-color:transparent;font-weight:700;font- style:normal;font-variant:normal;text-decoration:none;vertical-align:baseline;white- space:pre;white-space:pre-wrap;"&gt;intrínsecos&lt;/span&gt; &lt;span style="font-size:12pt;font- family:'Times New Roman',serif;color:#000000;background-color:transparent;font- weight:400;font-style:normal;font-variant:normal;text-decoration:none;vertical- align:baseline;white-space:pre;white-space:pre-wrap;"&gt;(legitimidade, interesse, cabimento e inexistência de fato impeditivo ou extintivo) e&lt;/span&gt; &lt;span style="font-size:12pt;font- family:'Times New Roman',serif;color:#000000;background-color:transparent;font- weight:700;font-style:normal;font-variant:normal;text-decoration:none;vertical- align:baseline;white-space:pre;white-space:pre-wrap;"&gt;extrínsecos&lt;/span&gt; &lt;span style="font-size:12pt;font-family:'Times New Roman',serif;color:#000000;background- color:transparent;font-weight:400;font-style:normal;font-variant:normal;text- decoration:none;vertical-align:baseline;white-space:pre;white-space:pre- wrap;"&gt;(tempestividade, preparo e regularidade formal),&lt;/span&gt; &lt;span style="font- size:12pt;font-family:'Times New Roman',serif;color:#000000;background- color:transparent;font-weight:700;font-style:normal;font-variant:normal;text- decoration:none;vertical-align:baseline;white-space:pre;white-space:pre- wrap;"&gt;CONHEÇO&lt;/span&gt; &lt;span style="font-size:12pt;font-family:'Times New Roman',serif;color:#000000;background-color:transparent;font-weight:400;font- style:normal;font-variant:normal;text-decoration:none;vertical-align:baseline;white- space:pre;white-space:pre-wrap;"&gt;do recurso interposto e passo a apreciar o mérito deste.&amp;#160;&lt;/span&gt;&lt;/p&gt;&lt;p style="line-height:1.7999999999999998;text-indent: 56.692913385826756pt;text-align: justify;margin-top:12pt;margin-bottom:0pt;" dir="ltr"&gt;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9"/>
              <w:rPr>
                <w:sz w:val="20"/>
              </w:rPr>
            </w:pPr>
            <w:r>
              <w:rPr>
                <w:sz w:val="20"/>
              </w:rPr>
              <w:t>&lt;span style="font-size:12pt;font-family:'Times New Roman',serif;color:#000000;background-color:transparent;font-weight:700;font- style:normal;font-variant:normal;text-decoration:none;vertical-align:baseline;white- space:pre;white-space:pre-wrap;"&gt;2. MÉRITO&lt;/span&gt;&lt;/p&gt;&lt;p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space:pre;white-space:pre-wrap;"&gt;Cinge-se a controvérsia recursal em averiguar a correção da decisão que julgou parcialmente procedente o pleito autoral e fixou valor</w:t>
            </w:r>
          </w:p>
          <w:p>
            <w:pPr>
              <w:pStyle w:val="TableParagraph"/>
              <w:spacing w:line="208" w:lineRule="auto" w:before="0"/>
              <w:ind w:right="30"/>
              <w:rPr>
                <w:sz w:val="20"/>
              </w:rPr>
            </w:pPr>
            <w:r>
              <w:rPr>
                <w:sz w:val="20"/>
              </w:rPr>
              <w:t>indenizatório a título de danos materiais emergentes e ressarcimento regressivo dos </w:t>
            </w:r>
            <w:r>
              <w:rPr>
                <w:spacing w:val="-4"/>
                <w:sz w:val="20"/>
              </w:rPr>
              <w:t>danos </w:t>
            </w:r>
            <w:r>
              <w:rPr>
                <w:sz w:val="20"/>
              </w:rPr>
              <w:t>causados a terceiros.&lt;/span&gt;&lt;/p&gt;&lt;p style="line-height:1.7999999999999998;text-indent: 56.692913385826756pt;text-align: justify;margin-top:12pt;margin-bottom:0pt;" dir="ltr"&gt;</w:t>
            </w:r>
          </w:p>
          <w:p>
            <w:pPr>
              <w:pStyle w:val="TableParagraph"/>
              <w:spacing w:line="208" w:lineRule="auto" w:before="0"/>
              <w:ind w:right="76"/>
              <w:rPr>
                <w:sz w:val="20"/>
              </w:rPr>
            </w:pPr>
            <w:r>
              <w:rPr>
                <w:sz w:val="20"/>
              </w:rPr>
              <w:t>&lt;span style="font-size:12pt;font-family:'Times New Roman',serif;color:#000000;background-color:transparent;font-weight:700;font- style:normal;font-variant:normal;text-decoration:none;vertical-align:baseline;white- space:pre;white-space:pre-wrap;"&gt;Quanto à apelação do promovido&lt;/span&gt; &lt;span style="font-size:12pt;font-family:'Times New Roman',serif;color:#000000;background- color:transparent;font-weight:400;font-style:normal;font-variant:normal;text- decoration:none;vertical-align:baseline;white-space:pre;white-space:pre-wrap;"&gt;, </w:t>
            </w:r>
            <w:r>
              <w:rPr>
                <w:spacing w:val="-3"/>
                <w:sz w:val="20"/>
              </w:rPr>
              <w:t>apontado </w:t>
            </w:r>
            <w:r>
              <w:rPr>
                <w:sz w:val="20"/>
              </w:rPr>
              <w:t>em sentença como responsável pelo acidente, não se vislumbra a existência de rompimento do nexo causal ou demonstração de culpa concorrente do promovente.&lt;/span&gt;&lt;/p&gt;&lt;p style="line-height:1.7999999999999998;text-indent: 56.692913385826756pt;text-align: justify;margin-top:12pt;margin-bottom:0pt;" dir="ltr"&gt;</w:t>
            </w:r>
          </w:p>
          <w:p>
            <w:pPr>
              <w:pStyle w:val="TableParagraph"/>
              <w:spacing w:line="208" w:lineRule="auto" w:before="0"/>
              <w:ind w:right="129"/>
              <w:rPr>
                <w:sz w:val="20"/>
              </w:rPr>
            </w:pPr>
            <w:r>
              <w:rPr>
                <w:sz w:val="20"/>
              </w:rPr>
              <w:t>&lt;span style="font-size:12pt;font-family:'Times New Roman',serif;color:#000000;background-color:transparent;font-weight:400;font- style:normal;font-variant:normal;text-decoration:none;vertical-align:baseline;white- space:pre;white-space:pre-wrap;"&gt;Restou incontroverso nos autos a ocorrência do acidente de trânsito entre os veículos da promovente e promovido, assim como a ocorrência de danos materiais ao ônibus e aos imóveis de terceiros.&lt;/span&gt;&lt;/p&gt;&lt;p style="line-height:1.7999999999999998;text-indent: 56.692913385826756pt;text-align: justify;margin-top:12pt;margin-bottom:0pt;" dir="ltr"&gt; &lt;span style="font-size:12pt;font- family:'Times New Roman',serif;color:#000000;background-color:transparent;font- weight:400;font-style:normal;font-variant:normal;text-decoration:none;vertical- align:baseline;white-space:pre;white-space:pre-wrap;"&gt;Ademais, conforme laudo pericial juntado aos autos e produzido pela PEFOCE (id. 17431939), se constatou que a pista onde estava presente originariamente o veículo do promovido, apesar de úmida, estava segura para o trânsito, enquanto a rua na qual vinha o ônibus, e era preferencial, estava úmida. Também se constatou que havia sinalização de parada obrigatória, inclusive constando foto da marcação horizontal.&lt;/span&gt;&lt;/p&gt;&lt;p style="line- height:1.7999999999999998;text-indent: 56.692913385826756pt;text-align: justify;margin- top:12pt;margin-bottom:0pt;" dir="ltr"&gt;&lt;span style="font-size:12pt;font-family:'Times New Roman',serif;color:#000000;background-color:transparent;font-weight:400;font- style:normal;font-variant:normal;text-decoration:none;vertical-align:baseline;white- space:pre;white-space:pre-wrap;"&gt;O laudo ainda concluiu acerca da&lt;/span&gt; &lt;span style="font-size:12pt;font-family:'Times New Roman',serif;color:#000000;background- color:transparent;font-weight:700;font-style:normal;font-variant:normal;text- decoration:none;vertical-align:baseline;white-space:pre;white-space:pre-wrap;"&gt;dinâmica dos fatos&lt;/span&gt;&lt;span style="font-size:12pt;font-family:'Times New Roman',serif;color:#000000;background-color:transparent;font-weight:400;font- style:normal;font-variant:normal;text-decoration:none;vertical-align:baseline;white- space:pre;white-space:pre-wrap;"&gt;:&lt;/span&gt; &lt;span style="font-size:12pt;font-family:'Times New Roman',serif;color:#000000;background-color:transparent;font-weight:400;font- style:italic;font-variant:normal;text-decoration:none;vertical-align:baseline;white- space:pre;white-space:pre-wrap;"&gt;“Através da Avenida Pasteur em sentido norte-sul trafegava o V2. Ao atingir o local consignado como sítio da colisão, impactou o seu setor frontal contra o setor lateral anterior esquerdo do V1 que adentrara nesta encruzilhada de vias demandando através da Rua Nossa Senhora das Graças em sentido oeste- leste.&lt;/span&gt; &lt;span style="font-size:12pt;font-family:'Times New Roman',serif;color:#000000;background-color:transparent;font-weight:400;font- style:italic;font-variant:normal;text-decoration:none;vertical-align:baseline;white- space:pre;white-space:pre-wrap;"&gt;Estabelecido o embate, o V1 girou sobre o seu eixo central em sentido horário, finalizando a sua trajetória após chocar o seu setor frontal</w:t>
            </w:r>
          </w:p>
          <w:p>
            <w:pPr>
              <w:pStyle w:val="TableParagraph"/>
              <w:spacing w:line="208" w:lineRule="auto" w:before="0"/>
              <w:ind w:right="35"/>
              <w:rPr>
                <w:sz w:val="20"/>
              </w:rPr>
            </w:pPr>
            <w:r>
              <w:rPr>
                <w:sz w:val="20"/>
              </w:rPr>
              <w:t>contra os imóveis residenciais (nº 1055, 1053 e 1051) situados na margem sul da via </w:t>
            </w:r>
            <w:r>
              <w:rPr>
                <w:spacing w:val="-5"/>
                <w:sz w:val="20"/>
              </w:rPr>
              <w:t>como </w:t>
            </w:r>
            <w:r>
              <w:rPr>
                <w:sz w:val="20"/>
              </w:rPr>
              <w:t>está demonstrado em fotografias anexas, enquanto o V2 veio a obter estado de repouso de seu movimento junto à esquina nordeste do cruzamento e neste local permaneceu até o comparecimento da Perícia Forense.”&lt;/span&gt;&lt;/p&gt;&lt;p style="line- height:1.7999999999999998;text-indent: 56.692913385826756pt;text-align: justify;margin- top:12pt;margin-bottom:0pt;" dir="ltr"&gt;&lt;span style="font-size:12pt;font-family:'Times New Roman',serif;color:#000000;background-color:transparent;font-weight:400;font-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5"/>
              <w:rPr>
                <w:sz w:val="20"/>
              </w:rPr>
            </w:pPr>
            <w:r>
              <w:rPr>
                <w:sz w:val="20"/>
              </w:rPr>
              <w:t>style:normal;font-variant:normal;text-decoration:none;vertical-align:baseline;white- space:pre;white-space:pre-wrap;"&gt;Por fim, concluiu (com destaque nosso):&lt;/span&gt; &lt;span style="font-size:12pt;font-family:'Times New Roman',serif;color:#000000;background- color:transparent;font-weight:400;font-style:italic;font-variant:normal;text- decoration:none;vertical-align:baseline;white-space:pre;white-space:pre-wrap;"&gt;“Ante ao que foi visto e exposto, conclui o perito que&lt;/span&gt; &lt;span style="font-size:12pt;font- family:'Times New Roman',serif;color:#000000;background-color:transparent;font- weight:700;font-style:italic;font-variant:normal;text-decoration:none;vertical- align:baseline;white-space:pre;white-space:pre-wrap;"&gt;a ocorrência de tráfego em estudo deveu-se à interceptação da trajetória retilínea e prioritária do Microônibus coletivo pelo condutor do Ecosport, ao adentrar este em via preferencial em momento inoportuno </w:t>
            </w:r>
            <w:r>
              <w:rPr>
                <w:spacing w:val="-4"/>
                <w:sz w:val="20"/>
              </w:rPr>
              <w:t>sendo </w:t>
            </w:r>
            <w:r>
              <w:rPr>
                <w:sz w:val="20"/>
              </w:rPr>
              <w:t>tudo o mais em decorrência deste fato&lt;/span&gt;&lt;span style="font-size:12pt;font- family:'Times New Roman',serif;color:#000000;background-color:transparent;font- weight:400;font-style:italic;font-variant:normal;text-decoration:none;vertical- align:baseline;white-space:pre;white-space:pre-wrap;"&gt;. Nada mais havendo a lavrar, dou por encerrado o presente laudo que segue devidamente assinado e rubricado.”&lt;/span&gt;&lt;/p&gt;&lt;p style="line-height:1.7999999999999998;text-indent: 56.692913385826756pt;text-align: justify;margin-top:12pt;margin-bottom:0pt;" dir="ltr"&gt;</w:t>
            </w:r>
          </w:p>
          <w:p>
            <w:pPr>
              <w:pStyle w:val="TableParagraph"/>
              <w:spacing w:line="208" w:lineRule="auto" w:before="0"/>
              <w:ind w:right="175"/>
              <w:rPr>
                <w:sz w:val="20"/>
              </w:rPr>
            </w:pPr>
            <w:r>
              <w:rPr>
                <w:sz w:val="20"/>
              </w:rPr>
              <w:t>&lt;span style="font-size:12pt;font-family:'Times New Roman',serif;color:#000000;background-color:transparent;font-weight:400;font- style:normal;font-variant:normal;text-decoration:none;vertical-align:baseline;white- space:pre;white-space:pre-wrap;"&gt;Na audiência de instrução (id. 17431980), o preposto, um fiscal da empresa de transporte coletivo que compareceu ao local do acidente, </w:t>
            </w:r>
            <w:r>
              <w:rPr>
                <w:spacing w:val="-3"/>
                <w:sz w:val="20"/>
              </w:rPr>
              <w:t>narrou </w:t>
            </w:r>
            <w:r>
              <w:rPr>
                <w:sz w:val="20"/>
              </w:rPr>
              <w:t>a situação que encontrou ao chegar ao local e as diligências realizadas de que tinha conhecimento. Apontou que houve relatos de que o veículo que se chocou ao micro- ônibus era dirigido por uma mulher, entretanto ela já não estava mais no local.&lt;/span&gt;&lt;/p&gt;&lt;p style="line-height:1.7999999999999998;text-indent: 56.692913385826756pt;text-align: justify;margin-top:12pt;margin-bottom:0pt;" dir="ltr"&gt;</w:t>
            </w:r>
          </w:p>
          <w:p>
            <w:pPr>
              <w:pStyle w:val="TableParagraph"/>
              <w:spacing w:line="208" w:lineRule="auto" w:before="0"/>
              <w:ind w:right="387"/>
              <w:rPr>
                <w:sz w:val="20"/>
              </w:rPr>
            </w:pPr>
            <w:r>
              <w:rPr>
                <w:sz w:val="20"/>
              </w:rPr>
              <w:t>&lt;span style="font-size:12pt;font-family:'Times New Roman',serif;color:#000000;background-color:transparent;font-weight:400;font- style:normal;font-variant:normal;text-decoration:none;vertical-align:baseline;white- space:pre;white-space:pre-wrap;"&gt;Compulsando as provas produzidas não há </w:t>
            </w:r>
            <w:r>
              <w:rPr>
                <w:spacing w:val="-3"/>
                <w:sz w:val="20"/>
              </w:rPr>
              <w:t>nenhum </w:t>
            </w:r>
            <w:r>
              <w:rPr>
                <w:sz w:val="20"/>
              </w:rPr>
              <w:t>elemento que demonstre a exclusão do nexo causal ou culpa do condutor do veículo coletivo. Ao contrário, as provas, principalmente a pericial, apontam a conclusão de exclusiva culpa do condutor do veículo promovido, que avançou a preferencial, não obedecendo a sinalização de parada obrigatória, vindo a causar o abalroamento.&lt;/span&gt;&lt;/p&gt;&lt;p style="line-height:1.7999999999999998;text-indent: 56.692913385826756pt;text-align: justify;margin-top:12pt;margin-bottom:0pt;" dir="ltr"&gt;</w:t>
            </w:r>
          </w:p>
          <w:p>
            <w:pPr>
              <w:pStyle w:val="TableParagraph"/>
              <w:spacing w:line="208" w:lineRule="auto" w:before="0"/>
              <w:ind w:right="53"/>
              <w:rPr>
                <w:sz w:val="20"/>
              </w:rPr>
            </w:pPr>
            <w:r>
              <w:rPr>
                <w:sz w:val="20"/>
              </w:rPr>
              <w:t>&lt;span style="font-size:12pt;font-family:'Times New Roman',serif;color:#000000;background-color:transparent;font-weight:400;font- style:normal;font-variant:normal;text-decoration:none;vertical-align:baseline;white- space:pre;white-space:pre-wrap;"&gt;Nesse contexto, ainda que se trate de um micro-ônibus, é de conhecimento geral que a depender do ponto colisão e nas circunstâncias que ocorreram o evento, com a inobservância do sinal de pare, é plenamente possível que um veículo menor cause um tombamento de um veículo maior, ainda mais de altura superior </w:t>
            </w:r>
            <w:r>
              <w:rPr>
                <w:spacing w:val="-18"/>
                <w:sz w:val="20"/>
              </w:rPr>
              <w:t>e </w:t>
            </w:r>
            <w:r>
              <w:rPr>
                <w:sz w:val="20"/>
              </w:rPr>
              <w:t>menor estabilidade.&lt;/span&gt;&lt;/p&gt;&lt;p style="line-height:1.7999999999999998;text-indent: 56.692913385826756pt;text-align: justify;margin-top:12pt;margin-bottom:0pt;" dir="ltr"&gt;</w:t>
            </w:r>
          </w:p>
          <w:p>
            <w:pPr>
              <w:pStyle w:val="TableParagraph"/>
              <w:spacing w:line="208" w:lineRule="auto" w:before="0"/>
              <w:ind w:right="76"/>
              <w:rPr>
                <w:sz w:val="20"/>
              </w:rPr>
            </w:pPr>
            <w:r>
              <w:rPr>
                <w:sz w:val="20"/>
              </w:rPr>
              <w:t>&lt;span style="font-size:12pt;font-family:'Times New Roman',serif;color:#000000;background-color:transparent;font-weight:400;font- style:normal;font-variant:normal;text-decoration:none;vertical-align:baseline;white- space:pre;white-space:pre-wrap;"&gt;Portanto, o promovido não se desincumbiu de seu </w:t>
            </w:r>
            <w:r>
              <w:rPr>
                <w:spacing w:val="-5"/>
                <w:sz w:val="20"/>
              </w:rPr>
              <w:t>ônus </w:t>
            </w:r>
            <w:r>
              <w:rPr>
                <w:sz w:val="20"/>
              </w:rPr>
              <w:t>de prova, não havendo elementos nos autos que demonstrem a exclusão do nexo causal ou sequer a existência de culpa concorrente (art. 373, II, do CPC).&lt;/span&gt;&lt;/p&gt;&lt;p style="line-height:1.7999999999999998;text-indent: 56.692913385826756pt;text-align: justify;margin-top:12pt;margin-bottom:0pt;" dir="ltr"&gt;&lt;span style="font-size:12pt;font- family:'Times New Roman',serif;color:#000000;background-color:transparent;font- weight:700;font-style:normal;font-variant:normal;text-decoration:none;vertical- align:baseline;white-space:pre;white-space:pre-wrap;"&gt;No que tange à apelação do promovente,&lt;/span&gt; &lt;span style="font-size:12pt;font-family:'Times New Roman',serif;color:#000000;background-color:transparent;font-weight:400;font- style:normal;font-variant:normal;text-decoration:none;vertical-align:baseline;white- space:pre;white-space:pre-wrap;"&gt;não lhe assiste melhor sorte. A alegação de danos materiais na modalidade lucros cessantes não restou demonstrada satisfatoriamente.&lt;/span&gt;&lt;/p&gt;&lt;p style="line-height:1.7999999999999998;text-indent: 56.692913385826756pt;text-align: justify;margin-top:12pt;margin-bottom:0pt;" dir="ltr"&gt;</w:t>
            </w:r>
          </w:p>
          <w:p>
            <w:pPr>
              <w:pStyle w:val="TableParagraph"/>
              <w:spacing w:line="208" w:lineRule="auto" w:before="0"/>
              <w:ind w:right="152"/>
              <w:rPr>
                <w:sz w:val="20"/>
              </w:rPr>
            </w:pPr>
            <w:r>
              <w:rPr>
                <w:sz w:val="20"/>
              </w:rPr>
              <w:t>&lt;span style="font-size:12pt;font-family:'Times New Roman',serif;color:#000000;background-color:transparent;font-weight:400;font- style:normal;font-variant:normal;text-decoration:none;vertical-align:baseline;white- space:pre;white-space:pre-wrap;"&gt;Os lucros cessantes correspondem ao que o sujeito deixou de lucrar em razão de um evento danoso que impediu ou alterou o curso dos fatos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hodiernos da vida. É dizer, se não houvesse o dano, o sujeito auferiria lucro futuramente, </w:t>
            </w:r>
            <w:r>
              <w:rPr>
                <w:spacing w:val="-18"/>
                <w:sz w:val="20"/>
              </w:rPr>
              <w:t>a </w:t>
            </w:r>
            <w:r>
              <w:rPr>
                <w:sz w:val="20"/>
              </w:rPr>
              <w:t>partir de uma perspectiva razoável.&lt;/span&gt;&lt;/p&gt;&lt;p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space:pre;white-space:pre-wrap;"&gt;Ocorre que se tratando de pessoa jurídica prestadora de serviço público de transporte coletivo, seu lucro, além do contrato de concessão ou delegação, advém das tarifas cobradas dos passageiros.&lt;/span&gt;&lt;/p&gt;&lt;p style="line- height:1.7999999999999998;text-indent: 56.692913385826756pt;text-align: justify;margin- top:12pt;margin-bottom:0pt;" dir="ltr"&gt;&lt;span style="font-size:12pt;font-family:'Times New Roman',serif;color:#000000;background-color:transparent;font-weight:400;font- style:normal;font-variant:normal;text-decoration:none;vertical-align:baseline;white- space:pre;white-space:pre-wrap;"&gt;Para tanto, como bem assinalado pelo juízo&lt;/span&gt;</w:t>
            </w:r>
          </w:p>
          <w:p>
            <w:pPr>
              <w:pStyle w:val="TableParagraph"/>
              <w:spacing w:line="208" w:lineRule="auto" w:before="0"/>
              <w:ind w:right="53"/>
              <w:rPr>
                <w:sz w:val="20"/>
              </w:rPr>
            </w:pPr>
            <w:r>
              <w:rPr>
                <w:sz w:val="20"/>
              </w:rPr>
              <w:t>&lt;span style="font-size:12pt;font-family:'Times New Roman',serif;color:#000000;background-color:transparent;font-weight:400;font- style:italic;font-variant:normal;text-decoration:none;vertical-align:baseline;white- space:pre;white-space:pre-wrap;"&gt;a quo&lt;/span&gt; &lt;span style="font-size:12pt;font- family:'Times New Roman',serif;color:#000000;background-color:transparent;font- weight:400;font-style:normal;font-variant:normal;text-decoration:none;vertical- align:baseline;white-space:pre;white-space:pre-wrap;"&gt;as prestadoras de serviço público trabalham com diversos coletivos, inclusive extras, para garantir a continuidade – obrigatória diga-se - do serviço público, tendo em vista que é natural e comum que os veículos exijam manutenção ordinária e extraordinária, esta causada por eventos não programados, mas corriqueiros em razão do risco da atividade, o que é previsto no custo e organização do serviço (arts. 374, I, e 375, do CPC).&lt;/span&gt;&lt;/p&gt;&lt;p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space:pre;white-space:pre-wrap;"&gt;Nesse sentido, a promovente não demonstrou, por exemplo, que a linha coberta pelo transporte coletivo ficou inoperante e, em razão disso, deixou de auferir tarifas ou outro valor que razoavelmente era esperado lucrar, mas o deixou de receber em razão do evento lesivo (art. 373, I, do CPC).&lt;/span&gt;&lt;/p&gt;&lt;p style="line-height:1.7999999999999998;text-indent: 56.692913385826756pt;text-align: justify;margin-top:12pt;margin-bottom:0pt;" dir="ltr"&gt; &lt;span style="font-size:12pt;font- family:'Times New Roman',serif;color:#000000;background-color:transparent;font- weight:400;font-style:normal;font-variant:normal;text-decoration:none;vertical- align:baseline;white-space:pre;white-space:pre-wrap;"&gt;Não se deve confundir a ocorrência do dano material emergente, direto e imediato ao evento danoso, devidamente provado nos autos, com os lucros cessantes, que devem também ter prova idônea o bastante, sob pena de enriquecimento sem causa (art. 884, do CC).&lt;/span&gt;&lt;/p&gt;&lt;p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space:pre;white-space:pre-wrap;"&gt;Portanto, não assiste razão à apelante, estando a sentença devidamente fundamentada nas provas dos autos.&lt;/span&gt;&lt;/p&gt;&lt;p style="line- height:1.7999999999999998;text-indent: 56.692913385826756pt;text-align: justify;margin- top:12pt;margin-bottom:0pt;" dir="ltr"&gt; &lt;span style="font-size:12pt;font-family:'Times New Roman',serif;color:#000000;background-color:transparent;font-weight:700;font- style:normal;font-variant:normal;text-decoration:none;vertical-align:baseline;white- space:pre;white-space:pre-wrap;"&gt;DISPOSITIVO&lt;/span&gt;&lt;/p&gt;&lt;p style="line- height:1.7999999999999998;text-indent: 56.692913385826756pt;text-align: justify;margin- top:12pt;margin-bottom:0pt;" dir="ltr"&gt;&lt;span style="font-size:12pt;font-family:'Times New Roman',serif;color:#000000;background-color:transparent;font-weight:400;font- style:normal;font-variant:normal;text-decoration:none;vertical-align:baseline;white- space:pre;white-space:pre-wrap;"&gt;Ante o exposto,&lt;/span&gt; &lt;span style="font- size:12pt;font-family:'Times New Roman',serif;color:#000000;background- color:transparent;font-weight:700;font-style:normal;font-variant:normal;text- decoration:none;vertical-align:baseline;white-space:pre;white-space:pre-wrap;"&gt;conheço dos recursos interpostos para, no entanto, negar-lhes provimento&lt;/span&gt;&lt;span</w:t>
            </w:r>
          </w:p>
          <w:p>
            <w:pPr>
              <w:pStyle w:val="TableParagraph"/>
              <w:spacing w:line="208" w:lineRule="auto" w:before="0"/>
              <w:ind w:right="428"/>
              <w:rPr>
                <w:sz w:val="20"/>
              </w:rPr>
            </w:pPr>
            <w:r>
              <w:rPr>
                <w:sz w:val="20"/>
              </w:rPr>
              <w:t>style="font-size:12pt;font-family:'Times New Roman',serif;color:#000000;background- color:transparent;font-weight:400;font-style:normal;font-variant:normal;text- decoration:none;vertical-align:baseline;white-space:pre;white-space:pre-wrap;"&gt;, mantendo-se, na íntegra, a sentença proferida pelo magistrado de primeiro grau.&lt;/span&gt;&lt;/p&gt;&lt;p style="line-height:1.7999999999999998;text-indent: 56.692913385826756pt;text-align: justify;margin-top:12pt;margin-bottom:0pt;" dir="ltr"&gt;</w:t>
            </w:r>
          </w:p>
          <w:p>
            <w:pPr>
              <w:pStyle w:val="TableParagraph"/>
              <w:spacing w:line="208" w:lineRule="auto" w:before="0"/>
              <w:ind w:right="1126"/>
              <w:rPr>
                <w:sz w:val="20"/>
              </w:rPr>
            </w:pPr>
            <w:r>
              <w:rPr>
                <w:sz w:val="20"/>
              </w:rPr>
              <w:t>&lt;span style="font-size:12pt;font-family:'Times New Roman',serif;color:#000000;background-color:transparent;font-weight:400;font-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0214733-88.2013.8.06.0001</w:t>
            </w:r>
          </w:p>
        </w:tc>
      </w:tr>
      <w:tr>
        <w:trPr>
          <w:trHeight w:val="6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1"/>
              <w:rPr>
                <w:sz w:val="20"/>
              </w:rPr>
            </w:pPr>
            <w:r>
              <w:rPr>
                <w:sz w:val="20"/>
              </w:rPr>
              <w:t>style:normal;font-variant:normal;text-decoration:none;vertical-align:baseline;white- space:pre;white-space:pre-wrap;"&gt;Em razão da dupla sucumbência, majoro os honorários advocatícios em favor dos patronos da promovente e do promovido para o percentual de 15% (vinte por cento), nos termos do art. 85, §11, do CPC.&lt;/span&gt;&lt;/p&gt;&lt;p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space:pre;white-space:pre-wrap;"&gt;É como voto.&lt;/span&gt;&lt;/p&gt;&lt;p style="line- height:1.7999999999999998;text-indent: 56.692913385826756pt;text-align: justify;margin- top:12pt;margin-bottom:0pt;" dir="ltr"&gt; &lt;span style="font-size:12pt;font-family:'Times New Roman',serif;color:#000000;background-color:transparent;font-weight:400;font- style:normal;font-variant:normal;text-decoration:none;vertical-align:baseline;white- space:pre;white-space:pre-wrap;"&gt;Fortaleza, data registrada no sistema.&lt;/span&gt; &lt;span style="background-color: transparent; font-family: &amp;quot;Times New Roman&amp;quot;, serif; font-size: 12pt; white-space-collapse: preserve; text-indent: 2pt;"&gt;&amp;#160;&lt;/span&gt;&lt;/p&gt;&lt;p style="line-height:1.38;text-align: center;margin-top:12pt;margin-bottom:12pt;" dir="ltr"&gt;</w:t>
            </w:r>
          </w:p>
          <w:p>
            <w:pPr>
              <w:pStyle w:val="TableParagraph"/>
              <w:spacing w:line="208" w:lineRule="auto" w:before="0"/>
              <w:ind w:right="156"/>
              <w:rPr>
                <w:sz w:val="20"/>
              </w:rPr>
            </w:pPr>
            <w:r>
              <w:rPr>
                <w:sz w:val="20"/>
              </w:rPr>
              <w:t>&lt;span style="font-size:12pt;font-family:'Times New Roman',serif;color:#000000;background-color:transparent;font-weight:700;font- style:normal;font-variant:normal;text-decoration:none;vertical-align:baseline;white- space:pre;white-space:pre-wrap;"&gt;FRANCISCO LUCÍDIO DE QUEIROZ JÚNIOR&lt;/span&gt;</w:t>
            </w:r>
          </w:p>
          <w:p>
            <w:pPr>
              <w:pStyle w:val="TableParagraph"/>
              <w:spacing w:line="208" w:lineRule="auto" w:before="0"/>
              <w:ind w:right="182"/>
              <w:rPr>
                <w:sz w:val="20"/>
              </w:rPr>
            </w:pPr>
            <w:r>
              <w:rPr>
                <w:sz w:val="20"/>
              </w:rPr>
              <w:t>&lt;span style="background-color: transparent; font-family: Arial, sans-serif; font-size: 8.5pt; white-space-collapse: preserve;"&gt;&amp;#160;&lt;/span&gt;&lt;/p&gt;&lt;p style="line-height:1.38;text-align: center;margin-top:12pt;margin-bottom:12pt;" dir="ltr"&gt; &lt;span style="font-size:12pt;font- family:'Times New Roman',serif;color:#000000;background-color:transparent;font- weight:400;font-style:normal;font-variant:normal;text-decoration:none;vertical- align:baseline;white-space:pre;white-space:pre-wrap;"&gt;Desembargador Relator&lt;/span&gt;&lt;/p&gt;&lt;p style="line-height:1.38;margin-top:12pt;margin-bottom:12pt;" dir="ltr"&gt; &lt;span style="font-size:12pt;font-family:'Times New Roman',serif;color:#000000;background-color:transparent;font-weight:400;font- style:normal;font-variant:normal;text-decoration:none;vertical-align:baseline;white- space:pre;white-space:pre-wrap;"&gt;&amp;#160;&lt;/span&gt;&lt;/p&gt;&lt;br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119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JOSAFA NOGUEIRA DE QUEIROZ</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PEDRO HENRIQUE DOS PASSOS SOUSA - (CE45231-A)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style="font-size: medium;"&gt;</w:t>
            </w:r>
          </w:p>
          <w:p>
            <w:pPr>
              <w:pStyle w:val="TableParagraph"/>
              <w:spacing w:line="190" w:lineRule="exact" w:before="0"/>
              <w:rPr>
                <w:sz w:val="20"/>
              </w:rPr>
            </w:pPr>
            <w:r>
              <w:rPr>
                <w:sz w:val="20"/>
              </w:rPr>
              <w:t>&lt;strong&gt;PROCESSO&lt;/strong&gt;:&amp;#160;0253773-91.2024.8.06.0001 -&amp;#160;APELAÇÃO</w:t>
            </w:r>
          </w:p>
          <w:p>
            <w:pPr>
              <w:pStyle w:val="TableParagraph"/>
              <w:tabs>
                <w:tab w:pos="6557" w:val="left" w:leader="none"/>
              </w:tabs>
              <w:spacing w:line="208" w:lineRule="auto" w:before="8"/>
              <w:ind w:right="1044"/>
              <w:rPr>
                <w:sz w:val="20"/>
              </w:rPr>
            </w:pPr>
            <w:r>
              <w:rPr>
                <w:sz w:val="20"/>
              </w:rPr>
              <w:t>CÍVEL (198)&lt;/span&gt;  &lt;/span&gt;&lt;/p&gt;&lt;p&gt;  &lt;span style="font-size: small;"&gt;</w:t>
              <w:tab/>
            </w:r>
            <w:r>
              <w:rPr>
                <w:spacing w:val="-4"/>
                <w:sz w:val="20"/>
              </w:rPr>
              <w:t>&lt;span </w:t>
            </w:r>
            <w:r>
              <w:rPr>
                <w:sz w:val="20"/>
              </w:rPr>
              <w:t>style="font-size: medium;"&gt;AGRAVANTE: BANCO DO BRASIL SA&lt;/span&gt;</w:t>
            </w:r>
          </w:p>
          <w:p>
            <w:pPr>
              <w:pStyle w:val="TableParagraph"/>
              <w:tabs>
                <w:tab w:pos="4623" w:val="left" w:leader="none"/>
              </w:tabs>
              <w:spacing w:line="208" w:lineRule="auto" w:before="0"/>
              <w:ind w:right="411"/>
              <w:rPr>
                <w:sz w:val="20"/>
              </w:rPr>
            </w:pPr>
            <w:r>
              <w:rPr>
                <w:sz w:val="20"/>
              </w:rPr>
              <w:t>&lt;/span&gt;&lt;/p&gt;&lt;p&gt;  &lt;span style="font-size: small;"&gt;</w:t>
              <w:tab/>
              <w:t>&lt;span style="font-size: medium;"&gt;AGRAVADO: JOSAFA NOGUEIRA DE QUEIROZ&lt;/span&gt;</w:t>
            </w:r>
            <w:r>
              <w:rPr>
                <w:spacing w:val="38"/>
                <w:sz w:val="20"/>
              </w:rPr>
              <w:t> </w:t>
            </w:r>
            <w:r>
              <w:rPr>
                <w:sz w:val="20"/>
              </w:rPr>
              <w:t>&lt;/span&gt;&lt;/p&gt;&lt;p&gt;</w:t>
            </w:r>
          </w:p>
          <w:p>
            <w:pPr>
              <w:pStyle w:val="TableParagraph"/>
              <w:tabs>
                <w:tab w:pos="1216" w:val="left" w:leader="none"/>
                <w:tab w:pos="3288" w:val="left" w:leader="none"/>
                <w:tab w:pos="3862" w:val="left" w:leader="none"/>
                <w:tab w:pos="4577" w:val="left" w:leader="none"/>
                <w:tab w:pos="5321" w:val="left" w:leader="none"/>
                <w:tab w:pos="6978" w:val="left" w:leader="none"/>
              </w:tabs>
              <w:spacing w:line="208" w:lineRule="auto" w:before="0"/>
              <w:ind w:right="191"/>
              <w:rPr>
                <w:sz w:val="20"/>
              </w:rPr>
            </w:pPr>
            <w:r>
              <w:rPr>
                <w:sz w:val="20"/>
              </w:rPr>
              <w:t>&lt;span style="font-size: medium;"&gt;</w:t>
              <w:tab/>
              <w:t>&lt;br /&gt; &lt;/span&gt;&lt;/p&gt;&lt;p&gt; &lt;span style="font-size: medium;"&gt;</w:t>
              <w:tab/>
              <w:t>&lt;span style="font-size: medium;"&gt;</w:t>
              <w:tab/>
              <w:t>&lt;br /&gt;</w:t>
              <w:tab/>
              <w:t>&lt;/span&gt; &lt;/span&gt;&lt;/p&gt;&lt;p style="line-height: 1.7999999999999998; margin-left: 36pt; text-align: justify; margin-top: 6pt; margin-bottom: 6pt;" dir="ltr"&gt; &lt;span style="color: #000000; background-color: </w:t>
            </w:r>
            <w:r>
              <w:rPr>
                <w:spacing w:val="-3"/>
                <w:sz w:val="20"/>
              </w:rPr>
              <w:t>#ffffff; </w:t>
            </w:r>
            <w:r>
              <w:rPr>
                <w:sz w:val="20"/>
              </w:rPr>
              <w:t>font-weight: 700; font-style: normal; font-variant: normal; text-decoration: none; vertical- align: baseline; white-space: pre-wrap;"&gt;</w:t>
              <w:tab/>
              <w:t>&lt;span style="font-size: small;"&gt;</w:t>
              <w:tab/>
              <w:t>&lt;span style="font-size: medium;"&gt;EMENTA: DIREITO BANCÁRIO. AGRAVO INTERNO EM APELAÇÃO CÍVEL JULGADA MONOCRATIVAMENTE. AÇÃO DE INDENIZAÇÃO. CONTA PASEP. LEGITIMIDADE PASSIVA DO BANCO DO BRASIL. PRESCRIÇÃO. TEMA 1150 DO STJ. PRAZO PRESCRICIONAL DECENAL QUE SE INICIA A PARTIR DO CONHECIMENTO DA OCORRÊNCIA DE IRREGULARIDADE NA CONTA VINCULADA DO PASEP. TERMO INICIAL: ACESSO ÀS MICROFILMAGENS DOS EXTRATOS. NECESSIDADE DE DILAÇÃO PROBATÓRIA. MATÉRIA DE FATO COMPLEXA. IMPRESCINDIBILIDADE DA PROVA PERICIAL. CONFIRMAÇÃO DA DECISÃO QUE ANULOU A SENTENÇA. RETORNO DOS AUTOS À ORIGEM.</w:t>
            </w:r>
          </w:p>
          <w:p>
            <w:pPr>
              <w:pStyle w:val="TableParagraph"/>
              <w:tabs>
                <w:tab w:pos="1794" w:val="left" w:leader="none"/>
                <w:tab w:pos="4618" w:val="left" w:leader="none"/>
                <w:tab w:pos="5608" w:val="left" w:leader="none"/>
                <w:tab w:pos="6169" w:val="left" w:leader="none"/>
                <w:tab w:pos="6942" w:val="left" w:leader="none"/>
              </w:tabs>
              <w:spacing w:line="208" w:lineRule="auto" w:before="0"/>
              <w:ind w:right="20"/>
              <w:rPr>
                <w:sz w:val="20"/>
              </w:rPr>
            </w:pPr>
            <w:r>
              <w:rPr>
                <w:sz w:val="20"/>
              </w:rPr>
              <w:t>RECURSO CONHECIDO E NÃO PROVIDO.&amp;#160;&lt;/span&gt;</w:t>
              <w:tab/>
              <w:t>&lt;/span&gt; &lt;/span&gt;&lt;/p&gt;&lt;p style="line-height: 1.7999999999999998; margin-left: 36pt; text-align: justify; margin-top: 6pt; margin-bottom: 6pt;" dir="ltr"&gt;  &lt;span style="font-size: small;"&gt;</w:t>
              <w:tab/>
              <w:t>&lt;span style="font- size: medium;"&gt;</w:t>
              <w:tab/>
              <w:t>&lt;span style="color: #000000; background-color: #ffffff; font-weight: 700; font-style: normal; font-variant: normal; text-decoration: none; vertical-align: baseline; </w:t>
            </w:r>
            <w:r>
              <w:rPr>
                <w:spacing w:val="-3"/>
                <w:sz w:val="20"/>
              </w:rPr>
              <w:t>white- </w:t>
            </w:r>
            <w:r>
              <w:rPr>
                <w:sz w:val="20"/>
              </w:rPr>
              <w:t>space: pre-wrap;"&gt;I. CASO EM EXAME&lt;/span&gt;</w:t>
              <w:tab/>
              <w:t>&lt;span style="color: #000000; background-color: #ffffff; font-weight: 400; font-style: normal; font-variant: normal; text- decoration: none; vertical-align: baseline; white-space: pre-wrap;"&gt;:&lt;/span&gt;</w:t>
              <w:tab/>
              <w:t>&lt;/span&gt;</w:t>
            </w:r>
          </w:p>
          <w:p>
            <w:pPr>
              <w:pStyle w:val="TableParagraph"/>
              <w:tabs>
                <w:tab w:pos="1550" w:val="left" w:leader="none"/>
                <w:tab w:pos="2385" w:val="left" w:leader="none"/>
                <w:tab w:pos="6164" w:val="left" w:leader="none"/>
              </w:tabs>
              <w:spacing w:line="208" w:lineRule="auto" w:before="0"/>
              <w:ind w:right="51"/>
              <w:rPr>
                <w:sz w:val="20"/>
              </w:rPr>
            </w:pPr>
            <w:r>
              <w:rPr>
                <w:sz w:val="20"/>
              </w:rPr>
              <w:t>&lt;/span&gt;&lt;/p&gt;&lt;p style="line-height: 1.7999999999999998; margin-left: 36pt; text-align: justify; margin-top: 6pt; margin-bottom: 6pt;" dir="ltr"&gt; &lt;span style="color: #000000; background-color: #ffffff; font-weight: 400; font-style: normal; font-variant: normal; text- decoration: none; vertical-align: baseline; white-space: pre-wrap;"&gt;</w:t>
              <w:tab/>
              <w:t>&lt;span style="font- size: small;"&gt;</w:t>
              <w:tab/>
              <w:t>&lt;span style="font-size: medium;"&gt;1. Trata-se de Agravo Interno visando </w:t>
            </w:r>
            <w:r>
              <w:rPr>
                <w:spacing w:val="-17"/>
                <w:sz w:val="20"/>
              </w:rPr>
              <w:t>a </w:t>
            </w:r>
            <w:r>
              <w:rPr>
                <w:sz w:val="20"/>
              </w:rPr>
              <w:t>reforma de decisão monocrática proferida por esta Relatoria que deu provimento ao recurso de Apelação para determinar o regular prosseguimento, no primeiro grau, Juízo </w:t>
            </w:r>
            <w:r>
              <w:rPr>
                <w:spacing w:val="-8"/>
                <w:sz w:val="20"/>
              </w:rPr>
              <w:t>da </w:t>
            </w:r>
            <w:r>
              <w:rPr>
                <w:sz w:val="20"/>
              </w:rPr>
              <w:t>4ª Vara Cível (SEJUD 1º Grau), na ação de obrigação de fazer c/c dano moral e material.&amp;#160;&lt;/span&gt;</w:t>
              <w:tab/>
              <w:t>&lt;/span&gt; &lt;/span&gt;&lt;/p&gt;&lt;p style="line-height: 1.7999999999999998; margin-left: 36pt; text-align: justify; margin-top: 6pt; margin-bottom: 6pt;" dir="ltr"&gt; &lt;span style="color: #000000; background-color: #ffffff; font-weight: 700;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794" w:val="left" w:leader="none"/>
                <w:tab w:pos="2163" w:val="left" w:leader="none"/>
                <w:tab w:pos="3362" w:val="left" w:leader="none"/>
                <w:tab w:pos="5418" w:val="left" w:leader="none"/>
                <w:tab w:pos="6169" w:val="left" w:leader="none"/>
              </w:tabs>
              <w:spacing w:line="208" w:lineRule="auto" w:before="26"/>
              <w:ind w:right="18"/>
              <w:rPr>
                <w:sz w:val="20"/>
              </w:rPr>
            </w:pPr>
            <w:r>
              <w:rPr>
                <w:sz w:val="20"/>
              </w:rPr>
              <w:t>medium;"&gt;II. QUESTÃO EM DISCUSSÃO:&amp;#160;&lt;/span&gt;</w:t>
              <w:tab/>
              <w:t>&lt;/span&gt; &lt;/span&gt;&lt;/p&gt;&lt;p style="line-height: 1.7999999999999998; margin-left: 36pt; text-align: justify; margin-top: 6pt; margin-bottom: 6pt;" dir="ltr"&gt;  &lt;span style="font-size: small;"&gt;</w:t>
              <w:tab/>
              <w:t>&lt;span style="font- size: medium;"&gt;</w:t>
              <w:tab/>
              <w:t>&lt;span style="color: #000000; background-color: #ffffff; font-weight: 400; font-style: normal; font-variant: normal; text-decoration: none; vertical-align: baseline; </w:t>
            </w:r>
            <w:r>
              <w:rPr>
                <w:spacing w:val="-3"/>
                <w:sz w:val="20"/>
              </w:rPr>
              <w:t>white- </w:t>
            </w:r>
            <w:r>
              <w:rPr>
                <w:sz w:val="20"/>
              </w:rPr>
              <w:t>space: pre-wrap;"&gt;2. A controvérsia recursal consiste em avaliar se correta a decisão monocrática que deu provimento ao recurso de apelação cível, reconhecendo a legitimidade do Banco do Brasil para figurar no polo passivo; afastando a incidência da prescrição; e determinando o retorno dos autos ao Juízo de origem, para o regular processamento e desenvolvimento da ação judicial conforme a legislação processual civil especialmente para análise e decisão quanto a realização de perícia requerida pela </w:t>
            </w:r>
            <w:r>
              <w:rPr>
                <w:spacing w:val="-3"/>
                <w:sz w:val="20"/>
              </w:rPr>
              <w:t>autora, </w:t>
            </w:r>
            <w:r>
              <w:rPr>
                <w:sz w:val="20"/>
              </w:rPr>
              <w:t>ora agravad&lt;/span&gt;</w:t>
              <w:tab/>
              <w:t>&lt;span style="color: #000000; background-color: #ffffff; font-weight: 400; font-style: italic; font-variant: normal; text-decoration: none; vertical-align: baseline; white-space: pre-wrap;"&gt;a.&lt;/span&gt;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4042" w:val="left" w:leader="none"/>
                <w:tab w:pos="5055" w:val="left" w:leader="none"/>
              </w:tabs>
              <w:spacing w:line="208" w:lineRule="auto" w:before="0"/>
              <w:ind w:right="18"/>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medium;"&gt;3. Necessário destacar que o presente recurso aborda exclusivamente a questão da necessidade de realização de perícia contábil para apurar possíveis desfalques realizados na conta bancária, inexistindo questionamentos acerca do ônus da prova sobre lançamentos a débito nas contas individualizadas do PASEP e se correspondem a pagamentos ao correntista.&amp;#160;&lt;/span&gt;</w:t>
              <w:tab/>
              <w:t>&lt;/span&gt; &lt;/span&gt;&lt;/p&gt;&lt;p style="line-height: 1.7999999999999998; margin-left: 36pt; text-align: justify; margin-top: 6pt; margin-bottom: 6pt;" dir="ltr"&gt; &lt;span style="color: #000000; background-color: #ffffff; font-weight: 700;</w:t>
            </w:r>
          </w:p>
          <w:p>
            <w:pPr>
              <w:pStyle w:val="TableParagraph"/>
              <w:tabs>
                <w:tab w:pos="1939" w:val="left" w:leader="none"/>
                <w:tab w:pos="4940"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ab/>
              <w:t>&lt;span style="font-size: medium;"&gt;&amp;#160;III. RAZÕES DE DECIDIR:&lt;/span&gt;</w:t>
              <w:tab/>
              <w:t>&lt;/span&gt; &lt;/span&gt;&lt;/p&gt;&lt;p</w:t>
            </w:r>
          </w:p>
          <w:p>
            <w:pPr>
              <w:pStyle w:val="TableParagraph"/>
              <w:tabs>
                <w:tab w:pos="2519" w:val="left" w:leader="none"/>
                <w:tab w:pos="3862" w:val="left" w:leader="none"/>
                <w:tab w:pos="6978" w:val="left" w:leader="none"/>
              </w:tabs>
              <w:spacing w:line="208" w:lineRule="auto" w:before="0"/>
              <w:ind w:right="63"/>
              <w:rPr>
                <w:sz w:val="20"/>
              </w:rPr>
            </w:pPr>
            <w:r>
              <w:rPr>
                <w:sz w:val="20"/>
              </w:rPr>
              <w:t>style="line-height: 1.7999999999999998; margin-left: 36pt; text-align: justify; margin-top: 6pt; margin-bottom: 6pt;" dir="ltr"&gt; &lt;span style="color: #000000; background-color: #ffffff; font-weight: 400; font-style: normal; font-variant: normal; text-decoration: none; vertical- align: baseline; white-space: pre-wrap;"&gt;</w:t>
              <w:tab/>
              <w:t>&lt;span style="font-size: small;"&gt;</w:t>
              <w:tab/>
              <w:t>&lt;span style="font-size: medium;"&gt;4. O STJ já apreciou a questão, possuindo precedente qualificado consubstanciado no Tema 1150, fixadas as seguintes teses: i) o Banco do Brasil possui legitimidade passiva ad causam para figurar no polo passivo de demanda na qual se discute eventual falha na prestação do serviço quanto a conta vinculada ao </w:t>
            </w:r>
            <w:r>
              <w:rPr>
                <w:spacing w:val="-3"/>
                <w:sz w:val="20"/>
              </w:rPr>
              <w:t>Pasep, </w:t>
            </w:r>
            <w:r>
              <w:rPr>
                <w:sz w:val="20"/>
              </w:rPr>
              <w:t>saques indevidos e desfalques, além da ausência de aplicação dos rendimentos estabelecidas pelo Conselho Diretor do referido programa; ii) a pretensão ao ressarcimento dos danos havidos em razão dos desfalques em conta individual vinculada ao Pasep se submete ao prazo prescricional decenal previsto pelo artigo 205 do Código Civil; e iii) o termo inicial para a contagem do prazo prescricional é o dia em que o titular, comprovadamente, toma ciência dos desfalques realizados na conta individual vinculada ao Pasep.&amp;#160;&lt;/span&gt;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2764"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medium;"&gt;5. A pretensão ao ressarcimento de danos decorrentes de desfalques em conta individual vinculada ao PASEP está sujeita ao prazo prescricional decenal, conforme previsto no artigo 205 do Código Civil. O termo inicial para a contagem do prazo prescricional se dá no momento em que o titular, comprovadamente, toma ciência dos desfalques realizados na conta individual, não podendo ser presumido pelo simples saque do benefício.&amp;#160;&lt;/span&gt;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3431"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medium;"&gt;6. Diante da pretensão do autor de ser reparado por danos materiais e morais que alega ter sofrido, em razão de descontos indevidos e ausência de atualização correta dos valores contidos em sua conta vinculada ao PASEP, a contagem do prazo prescricional se iniciou quando o autor teve acesso à microfilmagem dos extratos da sua conta vinculada ao PASEP.&lt;/span&gt;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medium;"&gt;7. Analisando os autos, observa-se que a demanda não se encontra em condições de julgamento antecipado, uma vez que a lide trata de questão de fato e não de direito, pois envolve a análise de matéria mais complexa, qual seja, a aplicação da correção monetária e do juros sobre longo período de tempo, pelo que incorreu em erro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107" w:val="left" w:leader="none"/>
              </w:tabs>
              <w:spacing w:line="208" w:lineRule="auto" w:before="26"/>
              <w:ind w:right="169"/>
              <w:rPr>
                <w:sz w:val="20"/>
              </w:rPr>
            </w:pPr>
            <w:r>
              <w:rPr>
                <w:sz w:val="20"/>
              </w:rPr>
              <w:t>procedimento o Juízo de primeiro grau. Dessa forma, sem a realização da perícia técnica não é possível deduzir, de imediato, se houve ou não desfalque nos valores cobrados a título de PASEP e, se ocorreu ou não a observância da correção monetária e dos juros.&amp;#160;&lt;/span&gt;</w:t>
              <w:tab/>
              <w:t>&lt;/span&gt; &lt;/span&gt;&lt;/p&gt;&lt;p style="line-height: 1.7999999999999998; margin-left: 36pt; text-align: justify; margin-top: 6pt; margin-bottom: 6pt;" dir="ltr"&gt; &lt;span style="color: #000000; background-color: #ffffff; font-weight: 400; font-style: normal; font- variant: normal; text-decoration: none; vertical-align: baseline; white-space: pre-wrap;"&gt;</w:t>
            </w:r>
          </w:p>
          <w:p>
            <w:pPr>
              <w:pStyle w:val="TableParagraph"/>
              <w:tabs>
                <w:tab w:pos="2473" w:val="left" w:leader="none"/>
                <w:tab w:pos="3155" w:val="left" w:leader="none"/>
                <w:tab w:pos="3573" w:val="left" w:leader="none"/>
                <w:tab w:pos="4442" w:val="left" w:leader="none"/>
                <w:tab w:pos="5588" w:val="left" w:leader="none"/>
              </w:tabs>
              <w:spacing w:line="208" w:lineRule="auto" w:before="0"/>
              <w:ind w:right="152"/>
              <w:rPr>
                <w:sz w:val="20"/>
              </w:rPr>
            </w:pPr>
            <w:r>
              <w:rPr>
                <w:sz w:val="20"/>
              </w:rPr>
              <w:t>&lt;span style="font-size: small;"&gt;</w:t>
              <w:tab/>
              <w:t>&lt;span style="font-size: medium;"&gt;8. Diante da imprescindibilidade da instrução probatória, impõe-se a confirmação da decisão que anulou a a sentença, como a devolução dos autos ao Juízo de origem para o devido processamento e posterior julgamento.&lt;/span&gt;</w:t>
              <w:tab/>
              <w:t>&lt;/span&gt; &lt;/span&gt;&lt;/p&gt;&lt;p style="line- height: 1.7999999999999998; margin-left: 36pt; text-align: justify; margin-top: 6pt; margin- bottom: 6pt;" dir="ltr"&gt; &lt;span style="color: #000000; background-color: #ffffff; font-weight: 700; font-style: normal; font-variant: normal; text-decoration: none; vertical-align: baseline; white-space: pre-wrap;"&gt;</w:t>
              <w:tab/>
              <w:t>&lt;span style="font-size: small;"&gt;</w:t>
              <w:tab/>
              <w:t>&lt;span style="font-size: medium;"&gt;IV. DISPOSITIVO:&lt;/span&gt;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medium;"&gt;9. Recurso conhecido e não provido. Decisão monocrática mantida.&lt;/span&gt;</w:t>
            </w:r>
          </w:p>
          <w:p>
            <w:pPr>
              <w:pStyle w:val="TableParagraph"/>
              <w:tabs>
                <w:tab w:pos="3329" w:val="left" w:leader="none"/>
                <w:tab w:pos="3417" w:val="left" w:leader="none"/>
                <w:tab w:pos="6444" w:val="left" w:leader="none"/>
              </w:tabs>
              <w:spacing w:line="208" w:lineRule="auto" w:before="0"/>
              <w:ind w:right="102"/>
              <w:rPr>
                <w:sz w:val="20"/>
              </w:rPr>
            </w:pPr>
            <w:r>
              <w:rPr>
                <w:sz w:val="20"/>
              </w:rPr>
              <w:t>&lt;/span&gt; &lt;/span&gt;&lt;/p&gt;&lt;p style="line-height: 1.7999999999999998; text-align: center; margin-top: 6pt; margin-bottom: 6pt;" dir="ltr"&gt; &lt;span style="color: #000000; background- color: #ffffff; font-weight: 700; font-variant: normal; text-decoration: none; vertical-align: baseline; white-space: pre-wrap;"&gt;</w:t>
              <w:tab/>
              <w:t>&lt;span style="font-size: small;"&gt;</w:t>
              <w:tab/>
              <w:t>&lt;span </w:t>
            </w:r>
            <w:r>
              <w:rPr>
                <w:spacing w:val="-2"/>
                <w:sz w:val="20"/>
              </w:rPr>
              <w:t>style="font- </w:t>
            </w:r>
            <w:r>
              <w:rPr>
                <w:sz w:val="20"/>
              </w:rPr>
              <w:t>size: medium;"&gt;ACÓRDÃO&lt;/span&gt;</w:t>
              <w:tab/>
              <w:tab/>
              <w:t>&lt;/span&gt; &lt;/span&gt;&lt;/p&gt;&lt;p style="line-height: 1.7999999999999998; margin-left: 36pt; text-indent: 49.03937007874016pt; text-align: justify; margin-top: 6pt; margin-bottom: 6pt;" dir="ltr"&gt; &lt;span style="font-size: small;"&gt;</w:t>
            </w:r>
          </w:p>
          <w:p>
            <w:pPr>
              <w:pStyle w:val="TableParagraph"/>
              <w:tabs>
                <w:tab w:pos="2329" w:val="left" w:leader="none"/>
                <w:tab w:pos="3153" w:val="left" w:leader="none"/>
                <w:tab w:pos="3288" w:val="left" w:leader="none"/>
              </w:tabs>
              <w:spacing w:line="208" w:lineRule="auto" w:before="0"/>
              <w:ind w:right="67"/>
              <w:rPr>
                <w:sz w:val="20"/>
              </w:rPr>
            </w:pPr>
            <w:r>
              <w:rPr>
                <w:sz w:val="20"/>
              </w:rPr>
              <w:t>&lt;span style="font-size: medium;"&gt;</w:t>
              <w:tab/>
              <w:tab/>
              <w:t>&lt;span style="color: #000000; background-color: </w:t>
            </w:r>
            <w:r>
              <w:rPr>
                <w:spacing w:val="-3"/>
                <w:sz w:val="20"/>
              </w:rPr>
              <w:t>#ffffff; </w:t>
            </w:r>
            <w:r>
              <w:rPr>
                <w:sz w:val="20"/>
              </w:rPr>
              <w:t>font-weight: 400; font-style: normal; font-variant: normal; text-decoration: none; vertical- align: baseline; white-space: pre-wrap;"&gt;Vistos, relatados e discutidos estes autos, acorda a Quinta Câmara de Direito Privado Tribunal de Justiça do Estado do Ceará, por unanimidade em&amp;#160;&lt;/span&gt;</w:t>
              <w:tab/>
              <w:t>&lt;span style="color: #000000; background-color: #ffffff; font-weight: 700; font-style: normal; font-variant: normal; text-decoration: none; vertical- align: baseline; white-space: pre-wrap;"&gt;CONHECER do recurso para NEGAR-LHE PROVIMENTO&lt;/span&gt;</w:t>
              <w:tab/>
              <w:t>&lt;span style="color: #000000; background-color: #ffffff; font- weight: 400; font-style: normal; font-variant: normal; text-decoration: none; vertical-align: baseline; white-space: pre-wrap;"&gt;, nos termos do voto do relator, parte integrante deste.&lt;/span&gt;&lt;/span&gt; &lt;/span&gt;&lt;/p&gt;&lt;p style="line-height: 1.7999999999999998; margin- left: 36pt; text-align: justify; margin-top: 6pt; margin-bottom: 6pt;" dir="ltr"&gt; &lt;span style="color: #000000; background-color: #ffffff; font-weight: 400; font-style: normal; font- variant: normal; text-decoration: none; vertical-align: baseline; white-space: pre-wrap;"&gt;</w:t>
            </w:r>
          </w:p>
          <w:p>
            <w:pPr>
              <w:pStyle w:val="TableParagraph"/>
              <w:tabs>
                <w:tab w:pos="2952" w:val="left" w:leader="none"/>
                <w:tab w:pos="3155" w:val="left" w:leader="none"/>
              </w:tabs>
              <w:spacing w:line="208" w:lineRule="auto" w:before="0"/>
              <w:ind w:right="152"/>
              <w:rPr>
                <w:sz w:val="20"/>
              </w:rPr>
            </w:pPr>
            <w:r>
              <w:rPr>
                <w:sz w:val="20"/>
              </w:rPr>
              <w:t>&lt;span style="font-size: small;"&gt;</w:t>
              <w:tab/>
              <w:tab/>
              <w:t>&lt;span style="font-size: medium;"&gt;Fortaleza, data registrada no sistema.&lt;/span&gt;</w:t>
              <w:tab/>
              <w:t>&lt;/span&gt; &lt;/span&gt;&lt;/p&gt;&lt;p style="line-height: 1.7999999999999998; margin-left: 36pt; text-align: justify; margin-top: 6pt; margin-bottom: 6pt;" dir="ltr"&gt; &lt;span style="color: #000000; background-color: #ffffff; font-weight: 400;</w:t>
            </w:r>
          </w:p>
          <w:p>
            <w:pPr>
              <w:pStyle w:val="TableParagraph"/>
              <w:tabs>
                <w:tab w:pos="1939" w:val="left" w:leader="none"/>
                <w:tab w:pos="5055"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w:t>
            </w:r>
          </w:p>
          <w:p>
            <w:pPr>
              <w:pStyle w:val="TableParagraph"/>
              <w:tabs>
                <w:tab w:pos="895" w:val="left" w:leader="none"/>
                <w:tab w:pos="1840" w:val="left" w:leader="none"/>
                <w:tab w:pos="4562" w:val="left" w:leader="none"/>
              </w:tabs>
              <w:spacing w:line="208" w:lineRule="auto" w:before="0"/>
              <w:ind w:right="64"/>
              <w:rPr>
                <w:sz w:val="20"/>
              </w:rPr>
            </w:pPr>
            <w:r>
              <w:rPr>
                <w:sz w:val="20"/>
              </w:rPr>
              <w:t>&lt;br /&gt;</w:t>
              <w:tab/>
              <w:t>&lt;/span&gt;</w:t>
              <w:tab/>
              <w:t>&lt;/span&gt; &lt;/span&gt;&lt;/p&gt;&lt;p style="line-height: 1.2; text-align: center; margin-top: 0pt; margin-bottom: 0pt;" dir="ltr"&gt; &lt;span style="color: #000000; background- color: #ffffff; font-weight: 700; font-style: normal; font-variant: normal; text-decoration: </w:t>
            </w:r>
            <w:r>
              <w:rPr>
                <w:spacing w:val="-4"/>
                <w:sz w:val="20"/>
              </w:rPr>
              <w:t>none; </w:t>
            </w:r>
            <w:r>
              <w:rPr>
                <w:sz w:val="20"/>
              </w:rPr>
              <w:t>vertical-align: baseline; white-space: pre-wrap;"&gt;</w:t>
              <w:tab/>
              <w:t>&lt;span style="font-size: small;"&gt;</w:t>
            </w:r>
          </w:p>
          <w:p>
            <w:pPr>
              <w:pStyle w:val="TableParagraph"/>
              <w:tabs>
                <w:tab w:pos="7356" w:val="left" w:leader="none"/>
              </w:tabs>
              <w:spacing w:line="190" w:lineRule="exact" w:before="0"/>
              <w:rPr>
                <w:sz w:val="20"/>
              </w:rPr>
            </w:pPr>
            <w:r>
              <w:rPr>
                <w:sz w:val="20"/>
              </w:rPr>
              <w:t>&lt;span style="font-size: medium;"&gt;MARIA REGINA OLIVEIRA CÂMARA&lt;/span&gt;</w:t>
              <w:tab/>
              <w:t>&lt;/span&gt;</w:t>
            </w:r>
          </w:p>
          <w:p>
            <w:pPr>
              <w:pStyle w:val="TableParagraph"/>
              <w:spacing w:line="208" w:lineRule="auto" w:before="6"/>
              <w:ind w:right="275"/>
              <w:rPr>
                <w:sz w:val="20"/>
              </w:rPr>
            </w:pPr>
            <w:r>
              <w:rPr>
                <w:sz w:val="20"/>
              </w:rPr>
              <w:t>&lt;/span&gt;&lt;/p&gt;&lt;p style="line-height: 1.2; text-align: center; margin-top: 0pt; margin-bottom: 0pt;" dir="ltr"&gt; &lt;span style="color: #000000; background-color: #ffffff; font-weight: 400;</w:t>
            </w:r>
          </w:p>
          <w:p>
            <w:pPr>
              <w:pStyle w:val="TableParagraph"/>
              <w:tabs>
                <w:tab w:pos="1116" w:val="left" w:leader="none"/>
                <w:tab w:pos="1939" w:val="left" w:leader="none"/>
                <w:tab w:pos="4232" w:val="left" w:leader="none"/>
                <w:tab w:pos="4608" w:val="left" w:leader="none"/>
                <w:tab w:pos="5055" w:val="left" w:leader="none"/>
                <w:tab w:pos="7703"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small;"&gt;</w:t>
              <w:tab/>
              <w:t>&lt;span style="font-size: medium;"&gt;Presidente do Órgão Julgador&lt;/span&gt;</w:t>
              <w:tab/>
              <w:t>&lt;/span&gt; &lt;/span&gt;&lt;/p&gt;&lt;p style="line- height: 100%; orphans: 0; widows: 0; margin-bottom: 0.21cm;" align="justify"&gt; &lt;strong id="docs-internal-guid-7c48b3f9-7fff-1fb1-0abb-d953e1a081f5" style="font-weight: normal;"&gt;</w:t>
              <w:tab/>
              <w:t>&lt;span style="font-size: small;"&gt;</w:t>
              <w:tab/>
              <w:t>&lt;span style="font-size: medium;"&gt;</w:t>
              <w:tab/>
              <w:t>&lt;br</w:t>
            </w:r>
          </w:p>
          <w:p>
            <w:pPr>
              <w:pStyle w:val="TableParagraph"/>
              <w:tabs>
                <w:tab w:pos="545" w:val="left" w:leader="none"/>
                <w:tab w:pos="1490" w:val="left" w:leader="none"/>
              </w:tabs>
              <w:spacing w:line="208" w:lineRule="auto" w:before="0"/>
              <w:ind w:right="169"/>
              <w:rPr>
                <w:sz w:val="20"/>
              </w:rPr>
            </w:pPr>
            <w:r>
              <w:rPr>
                <w:sz w:val="20"/>
              </w:rPr>
              <w:t>/&gt;</w:t>
              <w:tab/>
              <w:t>&lt;/span&gt;</w:t>
              <w:tab/>
              <w:t>&lt;/span&gt; &lt;/strong&gt;&lt;/p&gt;&lt;p style="line-height: 1.2; text-align: center; margin-top: 0pt; margin-bottom: 0pt;" dir="ltr"&gt;  &lt;span style="color: #000000;</w:t>
            </w:r>
            <w:r>
              <w:rPr>
                <w:spacing w:val="-18"/>
                <w:sz w:val="20"/>
              </w:rPr>
              <w:t> </w:t>
            </w:r>
            <w:r>
              <w:rPr>
                <w:sz w:val="20"/>
              </w:rPr>
              <w:t>background-</w:t>
            </w:r>
          </w:p>
          <w:p>
            <w:pPr>
              <w:pStyle w:val="TableParagraph"/>
              <w:tabs>
                <w:tab w:pos="4562" w:val="left" w:leader="none"/>
              </w:tabs>
              <w:spacing w:line="208" w:lineRule="auto" w:before="0"/>
              <w:ind w:right="64"/>
              <w:rPr>
                <w:sz w:val="20"/>
              </w:rPr>
            </w:pPr>
            <w:r>
              <w:rPr>
                <w:sz w:val="20"/>
              </w:rPr>
              <w:t>color: #ffffff; font-weight: 700; font-style: normal; font-variant: normal; text-decoration: </w:t>
            </w:r>
            <w:r>
              <w:rPr>
                <w:spacing w:val="-4"/>
                <w:sz w:val="20"/>
              </w:rPr>
              <w:t>none; </w:t>
            </w:r>
            <w:r>
              <w:rPr>
                <w:sz w:val="20"/>
              </w:rPr>
              <w:t>vertical-align: baseline; white-space: pre-wrap;"&gt;</w:t>
              <w:tab/>
              <w:t>&lt;span style="font-size: small;"&gt;</w:t>
            </w:r>
          </w:p>
          <w:p>
            <w:pPr>
              <w:pStyle w:val="TableParagraph"/>
              <w:spacing w:line="190" w:lineRule="exact" w:before="0"/>
              <w:rPr>
                <w:sz w:val="20"/>
              </w:rPr>
            </w:pPr>
            <w:r>
              <w:rPr>
                <w:sz w:val="20"/>
              </w:rPr>
              <w:t>&lt;span style="font-size: medium;"&gt;FRANCISCO LUCÍDIO DE QUEIROZ JUNIOR&lt;/span&gt;</w:t>
            </w:r>
          </w:p>
          <w:p>
            <w:pPr>
              <w:pStyle w:val="TableParagraph"/>
              <w:spacing w:line="208" w:lineRule="auto" w:before="8"/>
              <w:ind w:right="126"/>
              <w:jc w:val="both"/>
              <w:rPr>
                <w:sz w:val="20"/>
              </w:rPr>
            </w:pPr>
            <w:r>
              <w:rPr>
                <w:sz w:val="20"/>
              </w:rPr>
              <w:t>&lt;/span&gt; &lt;/span&gt;&lt;/p&gt;&lt;p style="line-height: 1.2; text-align: center; margin-top: 0pt; margin- bottom: 0pt;" dir="ltr"&gt; &lt;span style="color: #000000; background-color: #ffffff; font-weight: 400; font-style: normal; font-variant: normal; text-decoration: none; vertical-align: baseline; white-space: pre-wrap;"&gt; &lt;span style="font-size: small;"&gt; &lt;span style="font-size:</w:t>
            </w:r>
          </w:p>
        </w:tc>
      </w:tr>
    </w:tbl>
    <w:p>
      <w:pPr>
        <w:spacing w:after="0" w:line="208" w:lineRule="auto"/>
        <w:jc w:val="both"/>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074" w:val="left" w:leader="none"/>
              </w:tabs>
              <w:spacing w:line="208" w:lineRule="auto" w:before="26"/>
              <w:ind w:right="270"/>
              <w:rPr>
                <w:sz w:val="20"/>
              </w:rPr>
            </w:pPr>
            <w:r>
              <w:rPr>
                <w:sz w:val="20"/>
              </w:rPr>
              <w:t>medium;"&gt;Desembargador Relator&lt;/span&gt;</w:t>
              <w:tab/>
              <w:t>&lt;/span&gt; &lt;/span&gt;&lt;/p&gt;&lt;p style="line-height: 1.7999999999999998; text-align: center; margin-top: 6pt; margin-bottom: 6pt;" dir="ltr"&gt;</w:t>
            </w:r>
          </w:p>
          <w:p>
            <w:pPr>
              <w:pStyle w:val="TableParagraph"/>
              <w:tabs>
                <w:tab w:pos="3288" w:val="left" w:leader="none"/>
              </w:tabs>
              <w:spacing w:line="208" w:lineRule="auto" w:before="0"/>
              <w:ind w:right="384"/>
              <w:rPr>
                <w:sz w:val="20"/>
              </w:rPr>
            </w:pPr>
            <w:r>
              <w:rPr>
                <w:sz w:val="20"/>
              </w:rPr>
              <w:t>&lt;span style="font-size: medium;"&gt;</w:t>
              <w:tab/>
              <w:t>&lt;br /&gt; &lt;/span&gt;&lt;/p&gt;&lt;p style="line-height: 1.7999999999999998; text-align: center; margin-top: 6pt; margin-bottom: 6pt;"</w:t>
            </w:r>
            <w:r>
              <w:rPr>
                <w:spacing w:val="-18"/>
                <w:sz w:val="20"/>
              </w:rPr>
              <w:t> </w:t>
            </w:r>
            <w:r>
              <w:rPr>
                <w:sz w:val="20"/>
              </w:rPr>
              <w:t>dir="ltr"&gt;</w:t>
            </w:r>
          </w:p>
          <w:p>
            <w:pPr>
              <w:pStyle w:val="TableParagraph"/>
              <w:tabs>
                <w:tab w:pos="1294" w:val="left" w:leader="none"/>
                <w:tab w:pos="3095" w:val="left" w:leader="none"/>
                <w:tab w:pos="4380" w:val="left" w:leader="none"/>
                <w:tab w:pos="4410" w:val="left" w:leader="none"/>
              </w:tabs>
              <w:spacing w:line="208" w:lineRule="auto" w:before="0"/>
              <w:ind w:right="163"/>
              <w:rPr>
                <w:sz w:val="20"/>
              </w:rPr>
            </w:pPr>
            <w:r>
              <w:rPr>
                <w:sz w:val="20"/>
              </w:rPr>
              <w:t>&lt;span style="color: #000000; background-color: transparent; font-weight: 700; font-style: normal; font-variant: normal; text-decoration: none; vertical-align: baseline; white-space: pre-wrap;"&gt;</w:t>
              <w:tab/>
              <w:t>&lt;span style="font-size: small;"&gt;</w:t>
              <w:tab/>
              <w:tab/>
              <w:t>&lt;span style="font-size: medium;"&gt;RELATÓRIO&lt;/span&gt;</w:t>
              <w:tab/>
              <w:t>&lt;/span&gt; &lt;/span&gt;&lt;/p&gt;&lt;p style="line-height: 1.7999999999999998; text-indent: 57pt; text-align: justify; margin-top: 6pt; margin-bottom: 6pt;" dir="ltr"&gt;  &lt;span style="font-size: small;"&gt;</w:t>
              <w:tab/>
              <w:t>&lt;span style="font-size: medium;"&gt;</w:t>
            </w:r>
          </w:p>
          <w:p>
            <w:pPr>
              <w:pStyle w:val="TableParagraph"/>
              <w:tabs>
                <w:tab w:pos="1729" w:val="left" w:leader="none"/>
                <w:tab w:pos="2295" w:val="left" w:leader="none"/>
                <w:tab w:pos="2730" w:val="left" w:leader="none"/>
                <w:tab w:pos="5186" w:val="left" w:leader="none"/>
                <w:tab w:pos="5953" w:val="left" w:leader="none"/>
                <w:tab w:pos="6664" w:val="left" w:leader="none"/>
              </w:tabs>
              <w:spacing w:line="208" w:lineRule="auto" w:before="0"/>
              <w:ind w:right="38"/>
              <w:rPr>
                <w:sz w:val="20"/>
              </w:rPr>
            </w:pPr>
            <w:r>
              <w:rPr>
                <w:sz w:val="20"/>
              </w:rPr>
              <w:t>&lt;span style="color: #000000; background-color: transparent; font-weight: 700; font-style: italic; font-variant: normal; text-decoration: none; vertical-align: baseline; white-space: pre- wrap;"&gt;&amp;#160;&lt;/span&gt;</w:t>
              <w:tab/>
              <w:t>&lt;span style="color: #000000; background-color: transparent; </w:t>
            </w:r>
            <w:r>
              <w:rPr>
                <w:spacing w:val="-4"/>
                <w:sz w:val="20"/>
              </w:rPr>
              <w:t>font- </w:t>
            </w:r>
            <w:r>
              <w:rPr>
                <w:sz w:val="20"/>
              </w:rPr>
              <w:t>weight: 400; font-style: normal; font-variant: normal; text-decoration: none; vertical-align: baseline; white-space: pre-wrap;"&gt;Cuida-se de&lt;/span&gt;</w:t>
              <w:tab/>
              <w:t>&lt;span style="color: #000000; background-color: transparent; font-weight: 400; font-style: normal; font-variant: normal; text-decoration: none; vertical-align: baseline; white-space: pre-wrap;"&gt;</w:t>
              <w:tab/>
              <w:t>&lt;strong&gt;Agravo Interno&lt;/strong&gt;</w:t>
              <w:tab/>
              <w:t>&lt;/span&gt;</w:t>
              <w:tab/>
              <w:t>&lt;span style="color: #000000; background-color: transparent; font-weight: 400; font-style: normal; font-variant: normal; text-decoration: none; vertical- align: baseline; white-space: pre-wrap;"&gt;interposto pelo&lt;/span&gt;</w:t>
              <w:tab/>
              <w:t>&lt;span style="color: #000000; background-color: transparent; font-weight: 400; font-style: normal; font-variant: normal; text-decoration: none; vertical-align: baseline; white-space: pre-wrap;"&gt;</w:t>
            </w:r>
          </w:p>
          <w:p>
            <w:pPr>
              <w:pStyle w:val="TableParagraph"/>
              <w:tabs>
                <w:tab w:pos="3453" w:val="left" w:leader="none"/>
                <w:tab w:pos="4398" w:val="left" w:leader="none"/>
              </w:tabs>
              <w:spacing w:line="208" w:lineRule="auto" w:before="0"/>
              <w:ind w:right="375"/>
              <w:rPr>
                <w:sz w:val="20"/>
              </w:rPr>
            </w:pPr>
            <w:r>
              <w:rPr>
                <w:sz w:val="20"/>
              </w:rPr>
              <w:t>&lt;strong&gt;Banco promovido&lt;/strong&gt;</w:t>
              <w:tab/>
              <w:t>&lt;/span&gt;</w:t>
              <w:tab/>
              <w:t>&lt;span style="color: #000000; background-color: transparent; font-weight: 400; font-style: normal; font-variant: </w:t>
            </w:r>
            <w:r>
              <w:rPr>
                <w:spacing w:val="-3"/>
                <w:sz w:val="20"/>
              </w:rPr>
              <w:t>normal; </w:t>
            </w:r>
            <w:r>
              <w:rPr>
                <w:sz w:val="20"/>
              </w:rPr>
              <w:t>text-decoration: none; vertical-align: baseline; white-space: pre-wrap;"&gt;, ID 27981962,</w:t>
            </w:r>
          </w:p>
          <w:p>
            <w:pPr>
              <w:pStyle w:val="TableParagraph"/>
              <w:tabs>
                <w:tab w:pos="2473" w:val="left" w:leader="none"/>
                <w:tab w:pos="2564" w:val="left" w:leader="none"/>
                <w:tab w:pos="5588" w:val="left" w:leader="none"/>
              </w:tabs>
              <w:spacing w:line="208" w:lineRule="auto" w:before="0"/>
              <w:ind w:right="18"/>
              <w:rPr>
                <w:sz w:val="20"/>
              </w:rPr>
            </w:pPr>
            <w:r>
              <w:rPr>
                <w:sz w:val="20"/>
              </w:rPr>
              <w:t>requerendo a reconsideração da decisão proferida por este Relator e, caso não se </w:t>
            </w:r>
            <w:r>
              <w:rPr>
                <w:spacing w:val="-3"/>
                <w:sz w:val="20"/>
              </w:rPr>
              <w:t>entenda </w:t>
            </w:r>
            <w:r>
              <w:rPr>
                <w:sz w:val="20"/>
              </w:rPr>
              <w:t>desta forma, pede a remessa do recurso a Órgão Colegiado, a fim de proceder a reforma da decisão, ora agravada.&amp;#160;&lt;/span&gt;&lt;/span&gt;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medium;"&gt;Devidamente intimada, a autora apresentou contrarrazões ao Agravo Interno, ID 29398506.&amp;#160;&lt;/span&gt;</w:t>
              <w:tab/>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medium;"&gt;Para uma melhor compreensão, faço um histórico processual:&amp;#160;&lt;/span&gt;</w:t>
            </w:r>
          </w:p>
          <w:p>
            <w:pPr>
              <w:pStyle w:val="TableParagraph"/>
              <w:tabs>
                <w:tab w:pos="1374" w:val="left" w:leader="none"/>
                <w:tab w:pos="1683" w:val="left" w:leader="none"/>
                <w:tab w:pos="2484" w:val="left" w:leader="none"/>
                <w:tab w:pos="2549" w:val="left" w:leader="none"/>
                <w:tab w:pos="5098" w:val="left" w:leader="none"/>
                <w:tab w:pos="6169" w:val="left" w:leader="none"/>
                <w:tab w:pos="6553" w:val="left" w:leader="none"/>
                <w:tab w:pos="6611" w:val="left" w:leader="none"/>
                <w:tab w:pos="6977" w:val="left" w:leader="none"/>
              </w:tabs>
              <w:spacing w:line="208" w:lineRule="auto" w:before="0"/>
              <w:ind w:right="85"/>
              <w:rPr>
                <w:sz w:val="20"/>
              </w:rPr>
            </w:pPr>
            <w:r>
              <w:rPr>
                <w:sz w:val="20"/>
              </w:rPr>
              <w:t>&lt;/span&gt; &lt;/span&gt;&lt;/p&gt;&lt;p style="line-height: 1.7999999999999998; text-indent: 57pt; text- align: justify; margin-top: 6pt; margin-bottom: 6pt;" dir="ltr"&gt; &lt;span style="color: #000000; background-color: transparent; font-weight: 400; font-style: normal; font-variant: normal; text-decoration: none; vertical-align: baseline; white-space: pre-wrap;"&gt;</w:t>
              <w:tab/>
              <w:t>&lt;span style="font-size: small;"&gt;</w:t>
              <w:tab/>
              <w:tab/>
              <w:t>&lt;span style="font-size: medium;"&gt;Trata-se de Apelação Cível interposta por Josafá Nogueira de Queiroz, visando à reforma da sentença proferida pelo MM. Juiz da 4ª Vara Cível (SEJUD 1º Grau), que julgou improcedente a Ação de Indenização por Danos Materiais proposta em desfavor do Banco do Brasil S/A, qualificados e representados nos autos&amp;#160;&lt;/span&gt;</w:t>
              <w:tab/>
              <w:t>&lt;/span&gt; &lt;/span&gt;&lt;/p&gt;&lt;p style="line-height: 1.7999999999999998; text-indent: 57pt; text-align: justify; margin-top: 6pt; margin-bottom: 6pt;" dir="ltr"&gt;  &lt;span style="font-size: small;"&gt;</w:t>
              <w:tab/>
              <w:t>&lt;span style="font- size: medium;"&gt;</w:t>
              <w:tab/>
              <w:t>&lt;span style="color: #000000; background-color: transparent; font- weight: 400; font-style: normal; font-variant: normal; text-decoration: none; vertical-align: baseline; white-space: pre-wrap;"&gt;Em suas razões recursais, ID 18096746 aduz que&lt;/span&gt;</w:t>
              <w:tab/>
              <w:t>&lt;span style="color: #000000; background-color: transparent; font-weight: 400; font-style: italic; font-variant: normal; text-decoration: none; vertical-align: baseline; white-space: pre-wrap;"&gt;“..., no bojo do processo, o juiz não se manifestou quanto ao requerimento feito em sede de réplica, de que o Banco do Brasil fizesse a apresentação dos demonstrativos de pagamento ou extrato bancário que comprovem a alegação de </w:t>
            </w:r>
            <w:r>
              <w:rPr>
                <w:spacing w:val="-6"/>
                <w:sz w:val="20"/>
              </w:rPr>
              <w:t>que </w:t>
            </w:r>
            <w:r>
              <w:rPr>
                <w:sz w:val="20"/>
              </w:rPr>
              <w:t>depósitos foram feitos na conta bancária do autor, durante o período que vai do ano de 1988 a 2013, oriundos da conta vinculada ao PASEP do autor.”&lt;/span&gt;</w:t>
              <w:tab/>
              <w:tab/>
              <w:t>&lt;span style="color: #000000; background-color: transparent; font-weight: 400; font-style: normal; font-variant: normal; text-decoration: none; vertical-align: baseline; white-space: pre- wrap;"&gt;. Requer&lt;/span&gt;</w:t>
              <w:tab/>
              <w:t>&lt;span style="color: #000000; background-color: transparent; font-weight: 400; font-style: italic; font-variant: normal; text-decoration: none; vertical-align: baseline; white-space: pre-wrap;"&gt;“...anulação da sentença de piso e o imediato retorno dos autos à origem, a fim de que seja procedida a inversão do ônus da prova e determinada a apresentação pela parte recorrida de demonstrativos de pagamento ou extrato bancário que comprovem a alegação de que depósitos foram feitos na conta bancária do autor, durante o período que vai do ano de 1988 a 2013, oriundos da conta vinculada ao PASEP do autor, sob pena de cerceamento de defesa&lt;/span&gt;</w:t>
              <w:tab/>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39" w:val="left" w:leader="none"/>
                <w:tab w:pos="4054" w:val="left" w:leader="none"/>
              </w:tabs>
              <w:spacing w:line="208" w:lineRule="auto" w:before="26"/>
              <w:ind w:right="176"/>
              <w:rPr>
                <w:sz w:val="20"/>
              </w:rPr>
            </w:pPr>
            <w:r>
              <w:rPr>
                <w:sz w:val="20"/>
              </w:rPr>
              <w:t>style="color: #000000; background-color: transparent; font-weight: 400; font-style: </w:t>
            </w:r>
            <w:r>
              <w:rPr>
                <w:spacing w:val="-3"/>
                <w:sz w:val="20"/>
              </w:rPr>
              <w:t>normal; </w:t>
            </w:r>
            <w:r>
              <w:rPr>
                <w:sz w:val="20"/>
              </w:rPr>
              <w:t>font-variant: normal; text-decoration: none; vertical-align: baseline; white-space: pre- wrap;"&gt;.&lt;/span&gt;&lt;/span&gt; &lt;/span&gt;&lt;/p&gt;&lt;p style="line-height: 1.7999999999999998; text- indent: 57pt; text-align: justify; margin-top: 6pt; margin-bottom: 6pt;" dir="ltr"&gt; &lt;span style="color: #000000; background-color: transparent; font-weight: 400; font-style: </w:t>
            </w:r>
            <w:r>
              <w:rPr>
                <w:spacing w:val="-3"/>
                <w:sz w:val="20"/>
              </w:rPr>
              <w:t>normal; </w:t>
            </w:r>
            <w:r>
              <w:rPr>
                <w:sz w:val="20"/>
              </w:rPr>
              <w:t>font-variant: normal; text-decoration: none; vertical-align: baseline; white-space: pre- wrap;"&gt;</w:t>
              <w:tab/>
              <w:t>&lt;span style="font-size: small;"&gt;</w:t>
              <w:tab/>
              <w:t>&lt;span style="font-size: medium;"&gt;Contrarrazões apresentadas, ID 1809675, prestigiando o julgado.&lt;/span&gt;</w:t>
            </w:r>
          </w:p>
          <w:p>
            <w:pPr>
              <w:pStyle w:val="TableParagraph"/>
              <w:tabs>
                <w:tab w:pos="972" w:val="left" w:leader="none"/>
                <w:tab w:pos="4221" w:val="left" w:leader="none"/>
              </w:tabs>
              <w:spacing w:line="208" w:lineRule="auto" w:before="0"/>
              <w:ind w:right="53"/>
              <w:rPr>
                <w:sz w:val="20"/>
              </w:rPr>
            </w:pPr>
            <w:r>
              <w:rPr>
                <w:sz w:val="20"/>
              </w:rPr>
              <w:t>&lt;/span&gt; &lt;/span&gt;&lt;/p&gt;&lt;p style="line-height: 1.7999999999999998; text-indent: 57pt; text- align: justify; margin-top: 6pt; margin-bottom: 6pt;" dir="ltr"&gt; &lt;span style="font-size: small;"&gt;</w:t>
              <w:tab/>
              <w:t>&lt;span style="font-size: medium;"&gt;</w:t>
              <w:tab/>
              <w:t>&lt;span style="color: #000000; background- color: transparent; font-weight: 700; font-style: normal; font-variant: normal; text-decoration: none; vertical-align: baseline; white-space: pre-wrap;"&gt;Decisão monocrática&lt;/span&gt;</w:t>
            </w:r>
          </w:p>
          <w:p>
            <w:pPr>
              <w:pStyle w:val="TableParagraph"/>
              <w:tabs>
                <w:tab w:pos="4340" w:val="left" w:leader="none"/>
              </w:tabs>
              <w:spacing w:line="208" w:lineRule="auto" w:before="0"/>
              <w:ind w:right="53"/>
              <w:rPr>
                <w:sz w:val="20"/>
              </w:rPr>
            </w:pPr>
            <w:r>
              <w:rPr>
                <w:sz w:val="20"/>
              </w:rPr>
              <w:t>&lt;span style="color: #000000; background-color: transparent; font-weight: 400; font-style: normal; font-variant: normal; text-decoration: none; vertical-align: baseline; white-space: pre-wrap;"&gt;proferida por este Relator&lt;/span&gt;</w:t>
              <w:tab/>
              <w:t>&lt;span style="color: #000000; background- color: transparent; font-weight: 700; font-style: normal; font-variant: normal; text-decoration: none; vertical-align: baseline; white-space: pre-wrap;"&gt;dando provimento ao apelo&lt;/span&gt;</w:t>
            </w:r>
          </w:p>
          <w:p>
            <w:pPr>
              <w:pStyle w:val="TableParagraph"/>
              <w:spacing w:line="208" w:lineRule="auto" w:before="0"/>
              <w:ind w:right="20"/>
              <w:rPr>
                <w:sz w:val="20"/>
              </w:rPr>
            </w:pPr>
            <w:r>
              <w:rPr>
                <w:sz w:val="20"/>
              </w:rPr>
              <w:t>&lt;span style="color: #000000; background-color: transparent; font-weight: 400; font-style: normal; font-variant: normal; text-decoration: none; vertical-align: baseline; white-space: pre-wrap;"&gt;para reconhecer a legitimidade do Banco do Brasil para figurar no polo passivo; afastar a incidência da prescrição e anular a sentença e determinando o retorno dos autos à origem para devida instrução processual., ID . 26751003.&amp;#160;&lt;/span&gt;&lt;/span&gt;</w:t>
            </w:r>
          </w:p>
          <w:p>
            <w:pPr>
              <w:pStyle w:val="TableParagraph"/>
              <w:tabs>
                <w:tab w:pos="2549" w:val="left" w:leader="none"/>
                <w:tab w:pos="6553" w:val="left" w:leader="none"/>
              </w:tabs>
              <w:spacing w:line="208" w:lineRule="auto" w:before="0"/>
              <w:ind w:right="242"/>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medium;"&gt;É O</w:t>
            </w:r>
            <w:r>
              <w:rPr>
                <w:spacing w:val="-17"/>
                <w:sz w:val="20"/>
              </w:rPr>
              <w:t> </w:t>
            </w:r>
            <w:r>
              <w:rPr>
                <w:sz w:val="20"/>
              </w:rPr>
              <w:t>RELATÓRIO.&lt;/span&gt;</w:t>
            </w:r>
          </w:p>
          <w:p>
            <w:pPr>
              <w:pStyle w:val="TableParagraph"/>
              <w:tabs>
                <w:tab w:pos="5119" w:val="left" w:leader="none"/>
              </w:tabs>
              <w:spacing w:line="208" w:lineRule="auto" w:before="0"/>
              <w:ind w:right="53"/>
              <w:rPr>
                <w:sz w:val="20"/>
              </w:rPr>
            </w:pPr>
            <w:r>
              <w:rPr>
                <w:sz w:val="20"/>
              </w:rPr>
              <w:t>&lt;/span&gt; &lt;/span&gt;&lt;/p&gt;&lt;p style="line-height: 1.7999999999999998; text-align: center; margin-top: 6pt; margin-bottom: 6pt;" dir="ltr"&gt; &lt;span style="color: #000000; background- color: transparent; font-weight: 700; font-style: normal; font-variant: normal; text-decoration: none; vertical-align: baseline; white-space: pre-wrap;"&gt;</w:t>
              <w:tab/>
              <w:t>&lt;span style="font-size: small;"&gt;</w:t>
            </w:r>
          </w:p>
          <w:p>
            <w:pPr>
              <w:pStyle w:val="TableParagraph"/>
              <w:tabs>
                <w:tab w:pos="2473" w:val="left" w:leader="none"/>
                <w:tab w:pos="3329" w:val="left" w:leader="none"/>
                <w:tab w:pos="4195" w:val="left" w:leader="none"/>
                <w:tab w:pos="4562" w:val="left" w:leader="none"/>
                <w:tab w:pos="5588" w:val="left" w:leader="none"/>
                <w:tab w:pos="5720" w:val="left" w:leader="none"/>
                <w:tab w:pos="6444" w:val="left" w:leader="none"/>
              </w:tabs>
              <w:spacing w:line="208" w:lineRule="auto" w:before="0"/>
              <w:ind w:right="42"/>
              <w:rPr>
                <w:sz w:val="20"/>
              </w:rPr>
            </w:pPr>
            <w:r>
              <w:rPr>
                <w:sz w:val="20"/>
              </w:rPr>
              <w:t>&lt;span style="font-size: medium;"&gt;VOTO&lt;/span&gt;</w:t>
              <w:tab/>
              <w:t>&lt;/span&gt; &lt;/span&gt;&lt;/p&gt;&lt;p style="line- height: 1.7999999999999998; text-indent: 57pt; text-align: justify; margin-top: 6pt; margin- bottom: 6pt;" dir="ltr"&gt; &lt;span style="color: #000000; background-color: transparent; font- weight: 700; font-style: normal; font-variant: normal; text-decoration: none; vertical-align: baseline; white-space: pre-wrap;"&gt;</w:t>
              <w:tab/>
              <w:t>&lt;span style="font-size: small;"&gt;</w:t>
              <w:tab/>
              <w:t>&lt;span style="font- size: medium;"&gt;ADMISSIBILIDADE:&lt;/span&gt;</w:t>
              <w:tab/>
              <w:t>&lt;/span&gt; &lt;/span&gt;&lt;/p&gt;&lt;p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medium;"&gt;Conheço do recurso interposto, porquanto presentes os pressupostos intrínsecos e extrínsecos de admissibilidade recursal.&lt;/span&gt;</w:t>
              <w:tab/>
              <w:tab/>
              <w:t>&lt;/span&gt; &lt;/span&gt;&lt;/p&gt;&lt;p style="line-height: 1.7999999999999998; text-indent: 57pt; text-align: justify; margin-top: 6pt; margin-bottom: 6pt;" dir="ltr"&gt; &lt;span style="color: #000000; background-color: transparent; font-weight: 700; font-style: normal; font-variant: normal; text-decoration: </w:t>
            </w:r>
            <w:r>
              <w:rPr>
                <w:spacing w:val="-4"/>
                <w:sz w:val="20"/>
              </w:rPr>
              <w:t>none; </w:t>
            </w:r>
            <w:r>
              <w:rPr>
                <w:sz w:val="20"/>
              </w:rPr>
              <w:t>vertical-align: baseline; white-space: pre-wrap;"&gt;</w:t>
              <w:tab/>
              <w:t>&lt;span style="font-size: small;"&gt;</w:t>
            </w:r>
          </w:p>
          <w:p>
            <w:pPr>
              <w:pStyle w:val="TableParagraph"/>
              <w:tabs>
                <w:tab w:pos="5556" w:val="left" w:leader="none"/>
              </w:tabs>
              <w:spacing w:line="208" w:lineRule="auto" w:before="0"/>
              <w:ind w:right="285"/>
              <w:rPr>
                <w:sz w:val="20"/>
              </w:rPr>
            </w:pPr>
            <w:r>
              <w:rPr>
                <w:sz w:val="20"/>
              </w:rPr>
              <w:t>&lt;span style="font-size: medium;"&gt;PRELIMINARES:&lt;/span&gt;</w:t>
              <w:tab/>
              <w:t>&lt;/span&gt; &lt;/span&gt;&lt;/p&gt;&lt;p style="line-height: 1.7999999999999998; text-indent: 56.692913385826756pt; text-align: justify; margin-top: 6pt; margin-bottom: 6pt;" dir="ltr"&gt; &lt;span style="font-size: small;"&gt;</w:t>
            </w:r>
          </w:p>
          <w:p>
            <w:pPr>
              <w:pStyle w:val="TableParagraph"/>
              <w:tabs>
                <w:tab w:pos="1717" w:val="left" w:leader="none"/>
                <w:tab w:pos="1939" w:val="left" w:leader="none"/>
                <w:tab w:pos="2549" w:val="left" w:leader="none"/>
                <w:tab w:pos="3400" w:val="left" w:leader="none"/>
                <w:tab w:pos="5055" w:val="left" w:leader="none"/>
                <w:tab w:pos="5531" w:val="left" w:leader="none"/>
                <w:tab w:pos="6020" w:val="left" w:leader="none"/>
                <w:tab w:pos="7253" w:val="left" w:leader="none"/>
              </w:tabs>
              <w:spacing w:line="208" w:lineRule="auto" w:before="0"/>
              <w:ind w:right="20"/>
              <w:rPr>
                <w:sz w:val="20"/>
              </w:rPr>
            </w:pPr>
            <w:r>
              <w:rPr>
                <w:sz w:val="20"/>
              </w:rPr>
              <w:t>&lt;span style="font-size: medium;"&gt;</w:t>
              <w:tab/>
              <w:t>&lt;span style="color: #000000; background-color: transparent; font-weight: 700; font-style: normal; font-variant: normal; text-decoration: none; vertical-align: baseline; white-space: pre-wrap;"&gt;Ilegitimidade passiva&lt;/span&gt;</w:t>
              <w:tab/>
              <w:t>&lt;span style="color: #000000; background-color: transparent; font-weight: 400; font-style: normal; font-variant: normal; text-decoration: none; vertical-align: baseline; white-space: pre- wrap;"&gt;:&lt;/span&gt;</w:t>
              <w:tab/>
              <w:t>&lt;/span&gt; &lt;/span&gt;&lt;/p&gt;&lt;p style="line-height: 1.7999999999999998; text- 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medium;"&gt;Sabe-se que uma das condições da ação centra-se na legitimidade de parte, que se refere ao aspecto subjetivo da relação jurídica processual. Ao abordar o conceito de ilegitimidade, Humberto Theodoro Jr., assevera:&lt;/span&gt;</w:t>
              <w:tab/>
              <w:t>&lt;/span&gt; &lt;/span&gt;&lt;/p&gt;&lt;p 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&lt;em&gt;“Legitimidade para a causa (legitimatio ad causam) é a qualidade para agir juridicamente, como autor, ou</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 w:pos="2240" w:val="left" w:leader="none"/>
                <w:tab w:pos="2549" w:val="left" w:leader="none"/>
                <w:tab w:pos="3186" w:val="left" w:leader="none"/>
                <w:tab w:pos="5055" w:val="left" w:leader="none"/>
                <w:tab w:pos="5130" w:val="left" w:leader="none"/>
                <w:tab w:pos="5887" w:val="left" w:leader="none"/>
                <w:tab w:pos="6020" w:val="left" w:leader="none"/>
                <w:tab w:pos="6832" w:val="left" w:leader="none"/>
                <w:tab w:pos="7275" w:val="left" w:leader="none"/>
              </w:tabs>
              <w:spacing w:line="208" w:lineRule="auto" w:before="26"/>
              <w:ind w:right="20"/>
              <w:rPr>
                <w:sz w:val="20"/>
              </w:rPr>
            </w:pPr>
            <w:r>
              <w:rPr>
                <w:sz w:val="20"/>
              </w:rPr>
              <w:t>réu, por ser, a parte, o sujeito ativo ou passivo do direito material controvertido ou declaração que se pleiteia. Para que se verifique a legitimação ad causam é necessário que haja identidade entre o sujeito da relação processual e as pessoas a quem ou contra quem a lei concede ação.” (Pedro Batista Martins). (In. Código de Processo Civil Anotado, Forense, p. 3).&lt;/em&gt;</w:t>
              <w:tab/>
              <w:tab/>
              <w:t>&lt;/span&gt;</w:t>
              <w:tab/>
              <w: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medium;"&gt;Complementa, ainda, o doutrinador:&lt;/span&gt;</w:t>
              <w:tab/>
              <w:tab/>
              <w:t>&lt;/span&gt; &lt;/span&gt;&lt;/p&gt;&lt;p style="line-height: 1.7999999999999998; margin-left: 113.38582677165351pt; text-indent: 57pt; text-align: justify; margin-top: 6pt; margin-bottom: 6pt;" dir="ltr"&gt;&amp;#160;&lt;/p&gt;&lt;p 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ab/>
              <w:t>&lt;span style="font-size: medium;"&gt;</w:t>
              <w:tab/>
              <w:tab/>
              <w:t>&lt;em&gt;“Legitimados ao processo são os sujeitos da lide, isto é, os titulares dos interesses em conflito. A legitimação ativa caberá ao titular do interesse afirmado na pretensão, e a passiva ao titular do interesse que se opõe ou resiste à pretensão”.&lt;/em&gt;</w:t>
              <w:tab/>
              <w:t>&lt;/span&gt;</w:t>
              <w:tab/>
              <w:t>&lt;/span&gt;</w:t>
            </w:r>
          </w:p>
          <w:p>
            <w:pPr>
              <w:pStyle w:val="TableParagraph"/>
              <w:spacing w:line="208" w:lineRule="auto" w:before="0"/>
              <w:ind w:right="244"/>
              <w:rPr>
                <w:sz w:val="20"/>
              </w:rPr>
            </w:pPr>
            <w:r>
              <w:rPr>
                <w:sz w:val="20"/>
              </w:rPr>
              <w:t>&lt;/span&gt;&lt;/p&gt;&lt;p style="line-height: 1.7999999999999998; text-indent: 56.692913385826756pt; text-align: justify; margin-top: 6pt; margin-bottom: 6pt;" dir="ltr"&gt;&amp;#160;&lt;/p&gt;&lt;p style="line-height: 1.7999999999999998; text-indent: 56.692913385826756pt; text-align: justify; margin-top: 6pt; margin-bottom: 6pt;" dir="ltr"&gt;</w:t>
            </w:r>
          </w:p>
          <w:p>
            <w:pPr>
              <w:pStyle w:val="TableParagraph"/>
              <w:tabs>
                <w:tab w:pos="1294" w:val="left" w:leader="none"/>
                <w:tab w:pos="4410" w:val="left" w:leader="none"/>
                <w:tab w:pos="7333" w:val="left" w:leader="none"/>
              </w:tabs>
              <w:spacing w:line="208" w:lineRule="auto" w:before="0"/>
              <w:ind w:right="63"/>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medium;"&gt;Desse modo, o titular da pretensão posto em juízo possui legitimidade ativa, ao passo que </w:t>
            </w:r>
            <w:r>
              <w:rPr>
                <w:spacing w:val="-3"/>
                <w:sz w:val="20"/>
              </w:rPr>
              <w:t>aquele </w:t>
            </w:r>
            <w:r>
              <w:rPr>
                <w:sz w:val="20"/>
              </w:rPr>
              <w:t>que se encontra sujeito à pretensão deduzida tem legitimidade passiva.&lt;/span&gt;</w:t>
              <w:tab/>
              <w:t>&lt;/span&gt;</w:t>
            </w:r>
          </w:p>
          <w:p>
            <w:pPr>
              <w:pStyle w:val="TableParagraph"/>
              <w:spacing w:line="208" w:lineRule="auto" w:before="0"/>
              <w:ind w:right="244"/>
              <w:rPr>
                <w:sz w:val="20"/>
              </w:rPr>
            </w:pPr>
            <w:r>
              <w:rPr>
                <w:sz w:val="20"/>
              </w:rPr>
              <w:t>&lt;/span&gt;&lt;/p&gt;&lt;p style="line-height: 1.7999999999999998; text-indent: 56.692913385826756pt; text-align: justify; margin-top: 6pt; margin-bottom: 6pt;" dir="ltr"&gt;</w:t>
            </w:r>
          </w:p>
          <w:p>
            <w:pPr>
              <w:pStyle w:val="TableParagraph"/>
              <w:tabs>
                <w:tab w:pos="1294" w:val="left" w:leader="none"/>
                <w:tab w:pos="4410" w:val="left" w:leader="none"/>
                <w:tab w:pos="5298" w:val="left" w:leader="none"/>
                <w:tab w:pos="6553" w:val="left" w:leader="none"/>
              </w:tabs>
              <w:spacing w:line="208" w:lineRule="auto" w:before="0"/>
              <w:ind w:right="31"/>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medium;"&gt;Cumpre esclarecer que o Banco do Brasil S/A não é o órgão gestor do Programa de Formação do Patrimônio do Servidor Público PASEP, mas sim, como se </w:t>
            </w:r>
            <w:r>
              <w:rPr>
                <w:spacing w:val="-5"/>
                <w:sz w:val="20"/>
              </w:rPr>
              <w:t>verá </w:t>
            </w:r>
            <w:r>
              <w:rPr>
                <w:sz w:val="20"/>
              </w:rPr>
              <w:t>a seguir, administrador e responsável pelas contas bancárias onde estão presentes os montantes provenientes da contribuição em tela.&lt;/span&gt;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w:t>
            </w:r>
          </w:p>
          <w:p>
            <w:pPr>
              <w:pStyle w:val="TableParagraph"/>
              <w:tabs>
                <w:tab w:pos="1985" w:val="left" w:leader="none"/>
                <w:tab w:pos="2549" w:val="left" w:leader="none"/>
                <w:tab w:pos="4562" w:val="left" w:leader="none"/>
              </w:tabs>
              <w:spacing w:line="208" w:lineRule="auto" w:before="0"/>
              <w:ind w:right="42"/>
              <w:rPr>
                <w:sz w:val="20"/>
              </w:rPr>
            </w:pPr>
            <w:r>
              <w:rPr>
                <w:sz w:val="20"/>
              </w:rPr>
              <w:t>style="font-size: small;"&gt;</w:t>
              <w:tab/>
              <w:t>&lt;span style="font-size: medium;"&gt;O Decreto n.º 9.978/2019, em seu artigo 12, estabelece as seguintes atribuições da instituição financeira em relação ao PASEP:&lt;/span&gt;</w:t>
              <w:tab/>
              <w:t>&lt;/span&gt; &lt;/span&gt;&lt;/p&gt;&lt;p style="line-height: 1.7999999999999998; margin-left: 113.38582677165351pt; text-indent: 57pt;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2549" w:val="left" w:leader="none"/>
                <w:tab w:pos="3511" w:val="left" w:leader="none"/>
                <w:tab w:pos="4909" w:val="left" w:leader="none"/>
                <w:tab w:pos="5215" w:val="left" w:leader="none"/>
                <w:tab w:pos="5854" w:val="left" w:leader="none"/>
                <w:tab w:pos="6020" w:val="left" w:leader="none"/>
                <w:tab w:pos="6161" w:val="left" w:leader="none"/>
                <w:tab w:pos="7275" w:val="left" w:leader="none"/>
              </w:tabs>
              <w:spacing w:line="208" w:lineRule="auto" w:before="0"/>
              <w:ind w:right="113"/>
              <w:rPr>
                <w:sz w:val="20"/>
              </w:rPr>
            </w:pPr>
            <w:r>
              <w:rPr>
                <w:sz w:val="20"/>
              </w:rPr>
              <w:t>&lt;span style="font-size: medium;"&gt;</w:t>
              <w:tab/>
              <w:t>&lt;em&gt;Art. 12. Cabe ao Banco do Brasil S.A., em relação ao PASEP, as seguintes atribuições:&lt;/em&gt;</w:t>
              <w:tab/>
              <w:t>&lt;/span&gt;</w:t>
              <w:tab/>
              <w:t>&lt;/span&gt; </w:t>
            </w:r>
            <w:r>
              <w:rPr>
                <w:spacing w:val="-2"/>
                <w:sz w:val="20"/>
              </w:rPr>
              <w:t>&lt;/span&gt;&lt;/p&gt;&lt;p </w:t>
            </w:r>
            <w:r>
              <w:rPr>
                <w:sz w:val="20"/>
              </w:rPr>
              <w:t>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ab/>
              <w:t>&lt;em&gt;I - Manter, em nome dos servidores e empregados, as contas individuais a que se refere o art. 5º da Lei Complementar nº 8, de 3 de dezembro de 1970;&lt;/em&gt;</w:t>
              <w:tab/>
              <w:tab/>
              <w:t>&lt;/span&gt;</w:t>
              <w:tab/>
              <w:tab/>
              <w:t>&lt;/span&gt;</w:t>
            </w:r>
          </w:p>
          <w:p>
            <w:pPr>
              <w:pStyle w:val="TableParagraph"/>
              <w:tabs>
                <w:tab w:pos="1905" w:val="left" w:leader="none"/>
                <w:tab w:pos="2625" w:val="left" w:leader="none"/>
                <w:tab w:pos="3329" w:val="left" w:leader="none"/>
                <w:tab w:pos="3570" w:val="left" w:leader="none"/>
                <w:tab w:pos="6444" w:val="left" w:leader="none"/>
              </w:tabs>
              <w:spacing w:line="208" w:lineRule="auto" w:before="0"/>
              <w:ind w:right="102"/>
              <w:rPr>
                <w:sz w:val="20"/>
              </w:rPr>
            </w:pPr>
            <w:r>
              <w:rPr>
                <w:sz w:val="20"/>
              </w:rPr>
              <w:t>&lt;/span&gt;&lt;/p&gt;&lt;p style="line-height: 1.7999999999999998; margin-left: 113.38582677165351pt;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w:t>
            </w:r>
            <w:r>
              <w:rPr>
                <w:spacing w:val="-2"/>
                <w:sz w:val="20"/>
              </w:rPr>
              <w:t>style="font- </w:t>
            </w:r>
            <w:r>
              <w:rPr>
                <w:sz w:val="20"/>
              </w:rPr>
              <w:t>size: medium;"&gt;</w:t>
              <w:tab/>
              <w:t>&lt;em&gt;II - Creditar nas contas individuais, quando autorizado pelo Conselho Diretor do Fundo PISPASEP, as parcelas e os benefícios de que trata o inciso </w:t>
            </w:r>
            <w:r>
              <w:rPr>
                <w:spacing w:val="-6"/>
                <w:sz w:val="20"/>
              </w:rPr>
              <w:t>II </w:t>
            </w:r>
            <w:r>
              <w:rPr>
                <w:sz w:val="20"/>
              </w:rPr>
              <w:t>do caput do art. 4º;&lt;/em&gt;</w:t>
              <w:tab/>
              <w:t>&lt;/span&gt;</w:t>
              <w:tab/>
              <w:t>&lt;/span&gt; &lt;/span&gt;&lt;/p&gt;&lt;p style="line-height: 1.7999999999999998; margin-left: 113.38582677165351pt; text-indent: 57pt; text-align: justify; margin-top: 6pt; margin-bottom: 6pt;" dir="ltr"&gt; &lt;span style="color: #000000;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549" w:val="left" w:leader="none"/>
                <w:tab w:pos="6020" w:val="left" w:leader="none"/>
                <w:tab w:pos="6553" w:val="left" w:leader="none"/>
              </w:tabs>
              <w:spacing w:line="208" w:lineRule="auto" w:before="26"/>
              <w:ind w:right="131"/>
              <w:rPr>
                <w:sz w:val="20"/>
              </w:rPr>
            </w:pPr>
            <w:r>
              <w:rPr>
                <w:sz w:val="20"/>
              </w:rPr>
              <w:t>background-color: transparent; font-weight: 400; font-style: normal; font-variant: normal; text-decoration: none; vertical-align: baseline; white-space: pre-wrap;"&gt;</w:t>
              <w:tab/>
              <w:t>&lt;span style="font-size: small;"&gt;</w:t>
              <w:tab/>
              <w:t>&lt;span style="font-size: medium;"&gt;</w:t>
              <w:tab/>
              <w:t>&lt;em&gt;III - processar </w:t>
            </w:r>
            <w:r>
              <w:rPr>
                <w:spacing w:val="-9"/>
                <w:sz w:val="20"/>
              </w:rPr>
              <w:t>as </w:t>
            </w:r>
            <w:r>
              <w:rPr>
                <w:sz w:val="20"/>
              </w:rPr>
              <w:t>solicitações de saque e de retirada e efetuar os correspondentes pagamentos, nos períodos estabelecidos, quando autorizados pelo Conselho Diretor do Fundo PISPASEP, nos termos do disposto na Lei Complementar nº 26, de 1975, e neste Decreto;&lt;/em&gt;</w:t>
            </w:r>
          </w:p>
          <w:p>
            <w:pPr>
              <w:pStyle w:val="TableParagraph"/>
              <w:tabs>
                <w:tab w:pos="985" w:val="left" w:leader="none"/>
                <w:tab w:pos="1662" w:val="left" w:leader="none"/>
                <w:tab w:pos="1905" w:val="left" w:leader="none"/>
                <w:tab w:pos="2549" w:val="left" w:leader="none"/>
                <w:tab w:pos="2607" w:val="left" w:leader="none"/>
                <w:tab w:pos="3329" w:val="left" w:leader="none"/>
                <w:tab w:pos="4453" w:val="left" w:leader="none"/>
                <w:tab w:pos="5398" w:val="left" w:leader="none"/>
                <w:tab w:pos="6020" w:val="left" w:leader="none"/>
                <w:tab w:pos="6444" w:val="left" w:leader="none"/>
                <w:tab w:pos="6553" w:val="left" w:leader="none"/>
                <w:tab w:pos="7275" w:val="left" w:leader="none"/>
              </w:tabs>
              <w:spacing w:line="208" w:lineRule="auto" w:before="0"/>
              <w:ind w:right="102"/>
              <w:rPr>
                <w:sz w:val="20"/>
              </w:rPr>
            </w:pPr>
            <w:r>
              <w:rPr>
                <w:sz w:val="20"/>
              </w:rPr>
              <w:t>&lt;/span&gt;</w:t>
              <w:tab/>
              <w:t>&lt;/span&gt; &lt;/span&gt;&lt;/p&gt;&lt;p style="line-height: 1.7999999999999998; margin-left: 113.38582677165351pt;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w:t>
            </w:r>
            <w:r>
              <w:rPr>
                <w:spacing w:val="-2"/>
                <w:sz w:val="20"/>
              </w:rPr>
              <w:t>style="font- </w:t>
            </w:r>
            <w:r>
              <w:rPr>
                <w:sz w:val="20"/>
              </w:rPr>
              <w:t>size: medium;"&gt;</w:t>
              <w:tab/>
              <w:tab/>
              <w:t>&lt;em&gt;IV - Fornecer, nos períodos estabelecidos e sempre que solicitado, ao gestor do Fundo PISPASEP, as informações, os dados e a documentação relativos aos repasses de recursos, ao cadastro de servidores e empregados vinculados ao PASEP, às contas individuais de participantes e às solicitações de saque e de retirada e seus correspondentes pagamentos; e&lt;/em&gt;</w:t>
              <w:tab/>
              <w:t>&lt;/span&gt;</w:t>
              <w:tab/>
              <w:t>&lt;/span&gt; &lt;/span&gt;&lt;/p&gt;&lt;p 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&lt;em&gt;V - Cumprir e fazer cumprir as normas operacionais editadas pelo Conselho Diretor do Fundo PIS- PASEP.&lt;/em&gt;</w:t>
              <w:tab/>
              <w:t>&lt;/span&gt;</w:t>
              <w:tab/>
              <w:tab/>
              <w:t>&lt;/span&gt; &lt;/span&gt;&lt;/p&gt;&lt;p 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ab/>
              <w:t>&lt;span</w:t>
            </w:r>
          </w:p>
          <w:p>
            <w:pPr>
              <w:pStyle w:val="TableParagraph"/>
              <w:spacing w:line="208" w:lineRule="auto" w:before="0"/>
              <w:ind w:right="20"/>
              <w:jc w:val="both"/>
              <w:rPr>
                <w:sz w:val="20"/>
              </w:rPr>
            </w:pPr>
            <w:r>
              <w:rPr>
                <w:sz w:val="20"/>
              </w:rPr>
              <w:t>style="font-size: small;"&gt; &lt;span style="font-size: medium;"&gt; &lt;em&gt;Parágrafo único. O Banco do Brasil S.A. exercerá as atribuições previstas no caput de acordo com as normas, as diretrizes e os critérios estabelecidos pelo Conselho Diretor do Fundo PIS-PASEP e </w:t>
            </w:r>
            <w:r>
              <w:rPr>
                <w:spacing w:val="-6"/>
                <w:sz w:val="20"/>
              </w:rPr>
              <w:t>nos </w:t>
            </w:r>
            <w:r>
              <w:rPr>
                <w:sz w:val="20"/>
              </w:rPr>
              <w:t>termos do disposto na Lei Complementar nº 26, de 1975, e neste Decreto. e nos termos do disposto na Lei Complementar nº 26, de 1975, e neste Decreto&lt;/em&gt;.&lt;/span&gt; &lt;/span&gt;</w:t>
            </w:r>
          </w:p>
          <w:p>
            <w:pPr>
              <w:pStyle w:val="TableParagraph"/>
              <w:spacing w:line="208" w:lineRule="auto" w:before="0"/>
              <w:rPr>
                <w:sz w:val="20"/>
              </w:rPr>
            </w:pPr>
            <w:r>
              <w:rPr>
                <w:sz w:val="20"/>
              </w:rPr>
              <w:t>&lt;/span&gt;&lt;/p&gt;&lt;p style="line-height: 1.7999999999999998; text-indent: 56.692913385826756pt; text-align: justify; margin-top: 6pt; margin-bottom: 6pt;" dir="ltr"&gt;&amp;#160;&lt;/p&gt;&lt;p style="line-height: 1.7999999999999998; text-indent: 56.692913385826756pt; text-align: justify; margin-top: 6pt; margin-bottom: 6pt;"</w:t>
            </w:r>
            <w:r>
              <w:rPr>
                <w:spacing w:val="-18"/>
                <w:sz w:val="20"/>
              </w:rPr>
              <w:t> </w:t>
            </w:r>
            <w:r>
              <w:rPr>
                <w:sz w:val="20"/>
              </w:rPr>
              <w:t>dir="ltr"&gt;</w:t>
            </w:r>
          </w:p>
          <w:p>
            <w:pPr>
              <w:pStyle w:val="TableParagraph"/>
              <w:tabs>
                <w:tab w:pos="1294" w:val="left" w:leader="none"/>
                <w:tab w:pos="4410" w:val="left" w:leader="none"/>
                <w:tab w:pos="6932"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medium;"&gt;Verifica-se, no todo, que a demanda gira em torno da responsabilidade do promovido frente a eventuais saques indevidos e/ou ausência de correção monetária </w:t>
            </w:r>
            <w:r>
              <w:rPr>
                <w:spacing w:val="-7"/>
                <w:sz w:val="20"/>
              </w:rPr>
              <w:t>da </w:t>
            </w:r>
            <w:r>
              <w:rPr>
                <w:sz w:val="20"/>
              </w:rPr>
              <w:t>quantia proveniente do programa em foco e do prazo prescricional.&lt;/span&gt;</w:t>
              <w:tab/>
              <w:t>&lt;/span&gt;</w:t>
            </w:r>
          </w:p>
          <w:p>
            <w:pPr>
              <w:pStyle w:val="TableParagraph"/>
              <w:spacing w:line="208" w:lineRule="auto" w:before="0"/>
              <w:rPr>
                <w:sz w:val="20"/>
              </w:rPr>
            </w:pPr>
            <w:r>
              <w:rPr>
                <w:sz w:val="20"/>
              </w:rPr>
              <w:t>&lt;/span&gt;&lt;/p&gt;&lt;p style="line-height: 1.7999999999999998; text-indent: 56.692913385826756pt; text-align: justify; margin-top: 6pt; margin-bottom: 6pt;"</w:t>
            </w:r>
            <w:r>
              <w:rPr>
                <w:spacing w:val="-18"/>
                <w:sz w:val="20"/>
              </w:rPr>
              <w:t> </w:t>
            </w:r>
            <w:r>
              <w:rPr>
                <w:sz w:val="20"/>
              </w:rPr>
              <w:t>dir="ltr"&gt;</w:t>
            </w:r>
          </w:p>
          <w:p>
            <w:pPr>
              <w:pStyle w:val="TableParagraph"/>
              <w:tabs>
                <w:tab w:pos="1294" w:val="left" w:leader="none"/>
                <w:tab w:pos="2549" w:val="left" w:leader="none"/>
                <w:tab w:pos="4410" w:val="left" w:leader="none"/>
                <w:tab w:pos="4621" w:val="left" w:leader="none"/>
                <w:tab w:pos="6020" w:val="left" w:leader="none"/>
                <w:tab w:pos="6132" w:val="left" w:leader="none"/>
                <w:tab w:pos="6553" w:val="left" w:leader="none"/>
                <w:tab w:pos="7077" w:val="left" w:leader="none"/>
              </w:tabs>
              <w:spacing w:line="208" w:lineRule="auto" w:before="0"/>
              <w:ind w:right="63"/>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medium;"&gt;Com relação a essa temática, o Superior Tribunal de Justiça, firmou o Tema Repetitivo nº 1.150 (STJ. REsp n. 1.895.936/TO. Rel. Min. Herman Benjamin. Primeira Seção. DJe: 21/9/2023.), no qual restou decidido que:&lt;/span&gt;</w:t>
              <w:tab/>
              <w:tab/>
              <w:t>&lt;/span&gt; &lt;/span&gt;&lt;/p&gt;&lt;p style="line- height: 1.7999999999999998; margin-left: 113.38582677165351pt; text-indent: 57pt; text- 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w:t>
              <w:tab/>
              <w:t>&lt;em&gt;i) o Banco do Brasil possui legitimidade passiva ad causam para figurar no polo passivo de demanda na qual se discute eventual falha na prestação do serviço quanto à conta vinculada ao </w:t>
            </w:r>
            <w:r>
              <w:rPr>
                <w:spacing w:val="-3"/>
                <w:sz w:val="20"/>
              </w:rPr>
              <w:t>Pasep, </w:t>
            </w:r>
            <w:r>
              <w:rPr>
                <w:sz w:val="20"/>
              </w:rPr>
              <w:t>saques indevidos e desfalques, além da ausência de aplicação dos rendimentos estabelecidas pelo Conselho Diretor do referido programa;&lt;/em&gt;</w:t>
              <w:tab/>
              <w:tab/>
              <w:t>&lt;/span&gt;</w:t>
              <w:tab/>
              <w:t>&lt;/span&gt;</w:t>
            </w:r>
          </w:p>
          <w:p>
            <w:pPr>
              <w:pStyle w:val="TableParagraph"/>
              <w:tabs>
                <w:tab w:pos="1905" w:val="left" w:leader="none"/>
                <w:tab w:pos="3329" w:val="left" w:leader="none"/>
                <w:tab w:pos="5187" w:val="left" w:leader="none"/>
                <w:tab w:pos="6132" w:val="left" w:leader="none"/>
                <w:tab w:pos="6444" w:val="left" w:leader="none"/>
              </w:tabs>
              <w:spacing w:line="208" w:lineRule="auto" w:before="0"/>
              <w:ind w:right="97"/>
              <w:rPr>
                <w:sz w:val="20"/>
              </w:rPr>
            </w:pPr>
            <w:r>
              <w:rPr>
                <w:sz w:val="20"/>
              </w:rPr>
              <w:t>&lt;/span&gt;&lt;/p&gt;&lt;p style="line-height: 1.7999999999999998; margin-left: 113.38582677165351pt;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ab/>
              <w:t>&lt;span style="font- size: medium;"&gt;</w:t>
              <w:tab/>
              <w:t>&lt;em&gt;ii) a pretensão ao ressarcimento dos danos havidos em razão dos desfalques em conta individual vinculada ao Pasep se submete ao prazo </w:t>
            </w:r>
            <w:r>
              <w:rPr>
                <w:spacing w:val="-2"/>
                <w:sz w:val="20"/>
              </w:rPr>
              <w:t>prescricional </w:t>
            </w:r>
            <w:r>
              <w:rPr>
                <w:sz w:val="20"/>
              </w:rPr>
              <w:t>decenal previsto pelo art. 205 do Código Civil; e&lt;/em&gt;</w:t>
              <w:tab/>
              <w:t>&lt;/span&gt;</w:t>
              <w:tab/>
              <w:t>&lt;/span&gt;</w:t>
            </w:r>
          </w:p>
          <w:p>
            <w:pPr>
              <w:pStyle w:val="TableParagraph"/>
              <w:spacing w:line="208" w:lineRule="auto" w:before="0"/>
              <w:ind w:right="59"/>
              <w:rPr>
                <w:sz w:val="20"/>
              </w:rPr>
            </w:pPr>
            <w:r>
              <w:rPr>
                <w:sz w:val="20"/>
              </w:rPr>
              <w:t>&lt;/span&gt;&lt;/p&gt;&lt;p style="line-height: 1.7999999999999998; margin-left: 113.38582677165351pt; text-indent: 57pt; text-align: justify; margin-top: 6pt; margin- bottom: 6pt;" dir="ltr"&gt; &lt;span style="color: #000000; background-color: transparent;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05" w:val="left" w:leader="none"/>
                <w:tab w:pos="3329" w:val="left" w:leader="none"/>
                <w:tab w:pos="3631" w:val="left" w:leader="none"/>
                <w:tab w:pos="4562" w:val="left" w:leader="none"/>
                <w:tab w:pos="6444" w:val="left" w:leader="none"/>
              </w:tabs>
              <w:spacing w:line="208" w:lineRule="auto" w:before="26"/>
              <w:ind w:right="21"/>
              <w:rPr>
                <w:sz w:val="20"/>
              </w:rPr>
            </w:pPr>
            <w:r>
              <w:rPr>
                <w:sz w:val="20"/>
              </w:rPr>
              <w:t>weight: 400; font-style: normal; font-variant: normal; text-decoration: none; vertical-align: baseline; white-space: pre-wrap;"&gt;</w:t>
              <w:tab/>
              <w:t>&lt;span style="font-size: small;"&gt;</w:t>
              <w:tab/>
              <w:t>&lt;span style="font- size: medium;"&gt;</w:t>
              <w:tab/>
              <w:t>&lt;em&gt;iii) o termo inicial para a contagem do prazo prescricional é o </w:t>
            </w:r>
            <w:r>
              <w:rPr>
                <w:spacing w:val="-6"/>
                <w:sz w:val="20"/>
              </w:rPr>
              <w:t>dia </w:t>
            </w:r>
            <w:r>
              <w:rPr>
                <w:sz w:val="20"/>
              </w:rPr>
              <w:t>em que o titular, comprovadamente, toma ciência dos desfalques realizados na conta individual vinculada ao Pasep.&lt;/em&gt;</w:t>
              <w:tab/>
              <w:tab/>
              <w:t>&lt;/span&gt;</w:t>
              <w:tab/>
              <w:t>&lt;/span&gt; &lt;/span&gt;&lt;/p&gt;&lt;p style="line- height: 1.7999999999999998; text-indent: 56.692913385826756pt; text-align: justify; margin-top: 6pt; margin-bottom: 6pt;" dir="ltr"&gt;&amp;#160;&lt;/p&gt;&lt;p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small;"&gt;</w:t>
            </w:r>
          </w:p>
          <w:p>
            <w:pPr>
              <w:pStyle w:val="TableParagraph"/>
              <w:tabs>
                <w:tab w:pos="1439" w:val="left" w:leader="none"/>
                <w:tab w:pos="4688" w:val="left" w:leader="none"/>
                <w:tab w:pos="5234" w:val="left" w:leader="none"/>
              </w:tabs>
              <w:spacing w:line="208" w:lineRule="auto" w:before="0"/>
              <w:ind w:right="54"/>
              <w:rPr>
                <w:sz w:val="20"/>
              </w:rPr>
            </w:pPr>
            <w:r>
              <w:rPr>
                <w:sz w:val="20"/>
              </w:rPr>
              <w:t>&lt;span style="font-size: medium;"&gt;Neste sentido&lt;/span&gt;</w:t>
              <w:tab/>
              <w:t>&lt;/span&gt; &lt;/span&gt;&lt;/p&gt;&lt;p style="line-height: 1.7999999999999998; margin-left: 113.38582677165351pt; text-indent: 57pt; text-align: justify; margin-top: 6pt; margin-bottom: 6pt;" dir="ltr"&gt; &lt;span style="font- size: small;"&gt;</w:t>
              <w:tab/>
              <w:t>&lt;span style="font-size: medium;"&gt;</w:t>
              <w:tab/>
              <w:t>&lt;span style="color: #000000; background-color: transparent; font-weight: 400; font-style: normal; font-variant: normal; text-decoration: none; vertical-align: baseline; white-space: pre-wrap;"&gt;APELAÇÃO </w:t>
            </w:r>
            <w:r>
              <w:rPr>
                <w:spacing w:val="-3"/>
                <w:sz w:val="20"/>
              </w:rPr>
              <w:t>CÍVEL. </w:t>
            </w:r>
            <w:r>
              <w:rPr>
                <w:sz w:val="20"/>
              </w:rPr>
              <w:t>AÇÃO DE INDENIZAÇÃO. PASEP. BANCO DO BRASIL. LEGITIMIDADE PASSIVA. TESE FIXADA PELO STJ NO TEMA 1150. RECURSO PARCIALMENTE PROVIDO. 1.</w:t>
            </w:r>
            <w:r>
              <w:rPr>
                <w:spacing w:val="1"/>
                <w:sz w:val="20"/>
              </w:rPr>
              <w:t> </w:t>
            </w:r>
            <w:r>
              <w:rPr>
                <w:spacing w:val="-9"/>
                <w:sz w:val="20"/>
              </w:rPr>
              <w:t>De</w:t>
            </w:r>
          </w:p>
          <w:p>
            <w:pPr>
              <w:pStyle w:val="TableParagraph"/>
              <w:tabs>
                <w:tab w:pos="3285" w:val="left" w:leader="none"/>
              </w:tabs>
              <w:spacing w:line="208" w:lineRule="auto" w:before="0"/>
              <w:ind w:right="18"/>
              <w:rPr>
                <w:sz w:val="20"/>
              </w:rPr>
            </w:pPr>
            <w:r>
              <w:rPr>
                <w:sz w:val="20"/>
              </w:rPr>
              <w:t>início, destaco as recentes teses firmadas no julgamento do Tema 1150 do STJ, a respeito dos valores depositados nas conta vinculada ao PASEP: 1) O Banco do Brasil S/A detém </w:t>
            </w:r>
            <w:r>
              <w:rPr>
                <w:spacing w:val="-17"/>
                <w:sz w:val="20"/>
              </w:rPr>
              <w:t>a </w:t>
            </w:r>
            <w:r>
              <w:rPr>
                <w:sz w:val="20"/>
              </w:rPr>
              <w:t>responsabilidade em responder pelas irregularidades vinculadas às contas PASEP, eximindo-se a União Federal, visto que não está em pauta os valores aportados por esta última, mas a adequada gestão dos montantes sob custódia da referida instituição bancária; 2) A prescrição a ser observada é a decenal, conforme preceitua o artigo 205 do Código Civil de 2002; 3) O marco inicial da contagem prescricional é o instante em que o servidor obtém, de forma inequívoca, o conhecimento acerca dos danos, circunstância esta que se consuma apenas com a entrega, por parte do Banco do Brasil, dos extratos microfilmados referentes.&lt;/span&gt;</w:t>
              <w:tab/>
              <w:t>&lt;span style="color: #000000; background-color: transparent; font-weight: 700; font-style: normal; font-variant: normal; text-decoration: none; vertical-align: baseline; white-space: pre-wrap;"&gt;2. Assim, conforme precedente acima colacionado, restou reconhecida a legitimidade do Banco do Brasil para figurar no polo passivo de demanda na qual se discute eventual falha na prestação do serviço quanto a conta vinculada ao PASEP, saques indevidos e desfalques, além da ausência de aplicação dos rendimentos estabelecidas pelo Conselho Diretor do referido programa.&lt;/span&gt;</w:t>
            </w:r>
          </w:p>
          <w:p>
            <w:pPr>
              <w:pStyle w:val="TableParagraph"/>
              <w:spacing w:line="208" w:lineRule="auto" w:before="0"/>
              <w:ind w:right="68"/>
              <w:rPr>
                <w:sz w:val="20"/>
              </w:rPr>
            </w:pPr>
            <w:r>
              <w:rPr>
                <w:sz w:val="20"/>
              </w:rPr>
              <w:t>&lt;span style="color: #000000; background-color: transparent; font-weight: 400; font-style: normal; font-variant: normal; text-decoration: none; vertical-align: baseline; white-space: pre-wrap;"&gt;3. Dessa maneira, equivocada a decisão vergastada, na medida em que há legitimidade do Banco do Brasil para figurar o polo passivo da presente ação no que diz respeito à cobrança de reparação por eventual diferença de correção monetária e juros remuneratórios na conta individual da autora vinculada ao fundo PASEP. 4. Recurso parcialmente provido. (TJCE. AC nº 0050254- 95.2021.8.06.0131. Rel. Des. Carlos Alberto Mendes Forte. 2ª Câmara Direito Privado. DJe: 07/12/2023)&lt;/span&gt;&lt;/span&gt;</w:t>
            </w:r>
          </w:p>
          <w:p>
            <w:pPr>
              <w:pStyle w:val="TableParagraph"/>
              <w:spacing w:line="208" w:lineRule="auto" w:before="0"/>
              <w:ind w:right="244"/>
              <w:rPr>
                <w:sz w:val="20"/>
              </w:rPr>
            </w:pPr>
            <w:r>
              <w:rPr>
                <w:sz w:val="20"/>
              </w:rPr>
              <w:t>&lt;/span&gt;&lt;/p&gt;&lt;p style="line-height: 1.7999999999999998; text-indent: 56.692913385826756pt; text-align: justify; margin-top: 6pt; margin-bottom: 6pt;" dir="ltr"&gt;&amp;#160;&lt;/p&gt;&lt;p style="line-height: 1.7999999999999998; text-indent: 56.692913385826756pt; text-align: justify; margin-top: 6pt; margin-bottom: 6pt;" dir="ltr"&gt;</w:t>
            </w:r>
          </w:p>
          <w:p>
            <w:pPr>
              <w:pStyle w:val="TableParagraph"/>
              <w:tabs>
                <w:tab w:pos="1294" w:val="left" w:leader="none"/>
                <w:tab w:pos="2549" w:val="left" w:leader="none"/>
                <w:tab w:pos="4410" w:val="left" w:leader="none"/>
                <w:tab w:pos="5609" w:val="left" w:leader="none"/>
                <w:tab w:pos="6553" w:val="left" w:leader="none"/>
              </w:tabs>
              <w:spacing w:line="208" w:lineRule="auto" w:before="0"/>
              <w:ind w:right="130"/>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medium;"&gt;Por conseguinte, a pretensão de restituição de valores possivelmente retirados das contas individuais do mencionado programa deve ser direcionada àquela pessoa jurídica que recebeu as contribuições e administrou os recursos.&lt;/span&gt;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medium;"&gt;É de se ressaltar, por oportuno, que a questão central não é sobre o os depósitos efetuados na conta (contribuições), mas sim sobre a responsabilidade civil pelo erro na aplicação da atualização monetária e juros definidos pelo Conselho Diretor e nos saques indevidos </w:t>
            </w:r>
            <w:r>
              <w:rPr>
                <w:spacing w:val="-6"/>
                <w:sz w:val="20"/>
              </w:rPr>
              <w:t>dos </w:t>
            </w:r>
            <w:r>
              <w:rPr>
                <w:sz w:val="20"/>
              </w:rPr>
              <w:t>valores ali depositados e consequente aplicação no mercado financeiro, de sorte que a instituição financeira apelada é parte legítima para compor o polo passivo.&lt;/span&gt;</w:t>
            </w:r>
          </w:p>
          <w:p>
            <w:pPr>
              <w:pStyle w:val="TableParagraph"/>
              <w:spacing w:line="208" w:lineRule="auto" w:before="0"/>
              <w:rPr>
                <w:sz w:val="20"/>
              </w:rPr>
            </w:pPr>
            <w:r>
              <w:rPr>
                <w:sz w:val="20"/>
              </w:rPr>
              <w:t>&lt;/span&gt; &lt;/span&gt;&lt;/p&gt;&lt;p style="line-height: 1.7999999999999998; text-indent: 56.692913385826756pt; text-align: justify; margin-top: 6pt; margin-bottom: 6pt;"</w:t>
            </w:r>
            <w:r>
              <w:rPr>
                <w:spacing w:val="-18"/>
                <w:sz w:val="20"/>
              </w:rPr>
              <w:t> </w:t>
            </w:r>
            <w:r>
              <w:rPr>
                <w:sz w:val="20"/>
              </w:rPr>
              <w:t>dir="ltr"&gt;</w:t>
            </w:r>
          </w:p>
          <w:p>
            <w:pPr>
              <w:pStyle w:val="TableParagraph"/>
              <w:tabs>
                <w:tab w:pos="1294" w:val="left" w:leader="none"/>
                <w:tab w:pos="2940" w:val="left" w:leader="none"/>
                <w:tab w:pos="4410" w:val="left" w:leader="none"/>
              </w:tabs>
              <w:spacing w:line="208" w:lineRule="auto" w:before="0"/>
              <w:ind w:right="229"/>
              <w:rPr>
                <w:sz w:val="20"/>
              </w:rPr>
            </w:pPr>
            <w:r>
              <w:rPr>
                <w:sz w:val="20"/>
              </w:rPr>
              <w:t>&lt;span style="color: #000000; background-color: transparent; font-weight: 700; font-style: normal; font-variant: normal; text-decoration: none; vertical-align: baseline; white-space: pre-wrap;"&gt;</w:t>
              <w:tab/>
              <w:t>&lt;span style="font-size: small;"&gt;</w:t>
              <w:tab/>
              <w:t>&lt;span style="font-size: medium;"&gt;Prescrição:&lt;/span&gt;</w:t>
              <w:tab/>
              <w:t>&lt;/span&gt; &lt;/span&gt;&lt;/p&gt;&lt;p style="line-height: 1.7999999999999998; text-indent: 56.692913385826756pt; text-align: justify;</w:t>
            </w:r>
            <w:r>
              <w:rPr>
                <w:spacing w:val="-18"/>
                <w:sz w:val="20"/>
              </w:rPr>
              <w:t> </w:t>
            </w:r>
            <w:r>
              <w:rPr>
                <w:sz w:val="20"/>
              </w:rPr>
              <w:t>margin-top: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42"/>
              <w:rPr>
                <w:sz w:val="20"/>
              </w:rPr>
            </w:pPr>
            <w:r>
              <w:rPr>
                <w:sz w:val="20"/>
              </w:rPr>
              <w:t>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3619" w:val="left" w:leader="none"/>
                <w:tab w:pos="4562" w:val="left" w:leader="none"/>
              </w:tabs>
              <w:spacing w:line="208" w:lineRule="auto" w:before="0"/>
              <w:ind w:right="42"/>
              <w:rPr>
                <w:sz w:val="20"/>
              </w:rPr>
            </w:pPr>
            <w:r>
              <w:rPr>
                <w:sz w:val="20"/>
              </w:rPr>
              <w:t>&lt;span style="font-size: medium;"&gt;A controvérsia versa sobre o termo inicial da contagem do prazo prescricional quanto à pretensão ao ressarcimento dos danos havidos em demanda que questiona a má gestão da conta do Programa de Formação do Patrimônio do Servidor Público - PASEP.&lt;/span&gt;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small;"&gt;</w:t>
            </w:r>
          </w:p>
          <w:p>
            <w:pPr>
              <w:pStyle w:val="TableParagraph"/>
              <w:tabs>
                <w:tab w:pos="1939" w:val="left" w:leader="none"/>
                <w:tab w:pos="2056" w:val="left" w:leader="none"/>
                <w:tab w:pos="2828" w:val="left" w:leader="none"/>
                <w:tab w:pos="4562" w:val="left" w:leader="none"/>
                <w:tab w:pos="5055" w:val="left" w:leader="none"/>
              </w:tabs>
              <w:spacing w:line="208" w:lineRule="auto" w:before="0"/>
              <w:ind w:right="20"/>
              <w:rPr>
                <w:sz w:val="20"/>
              </w:rPr>
            </w:pPr>
            <w:r>
              <w:rPr>
                <w:sz w:val="20"/>
              </w:rPr>
              <w:t>&lt;span style="font-size: medium;"&gt;Em outros termos, deve-se esclarecer o alcance e conteúdo da tese fixada pelo STJ no Tema Repetitivo nº 1150: "o dia em que o titular, comprovadamente, toma ciência dos desfalques realizados na conta individual vinculada ao PASEP".&lt;/span&gt;</w:t>
              <w:tab/>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medium;"&gt;Pois bem.&lt;/span&gt;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small;"&gt;</w:t>
            </w:r>
          </w:p>
          <w:p>
            <w:pPr>
              <w:pStyle w:val="TableParagraph"/>
              <w:tabs>
                <w:tab w:pos="6209" w:val="left" w:leader="none"/>
              </w:tabs>
              <w:spacing w:line="208" w:lineRule="auto" w:before="0"/>
              <w:ind w:right="24"/>
              <w:rPr>
                <w:sz w:val="20"/>
              </w:rPr>
            </w:pPr>
            <w:r>
              <w:rPr>
                <w:sz w:val="20"/>
              </w:rPr>
              <w:t>&lt;span style="font-size: medium;"&gt;No julgamento dos Recursos Especiais nº 1895936/TO, 1895941/TO e 1951931/DF (Tema nº 1.150) sob o rito dos recursos repetitivos, de relatoria do Min. Herman Benjamin, o STJ firmou a seguintes teses:&lt;/span&gt;</w:t>
              <w:tab/>
              <w:t>&lt;/span&gt;</w:t>
            </w:r>
          </w:p>
          <w:p>
            <w:pPr>
              <w:pStyle w:val="TableParagraph"/>
              <w:tabs>
                <w:tab w:pos="1896" w:val="left" w:leader="none"/>
                <w:tab w:pos="3329" w:val="left" w:leader="none"/>
                <w:tab w:pos="4562" w:val="left" w:leader="none"/>
                <w:tab w:pos="6444" w:val="left" w:leader="none"/>
              </w:tabs>
              <w:spacing w:line="208" w:lineRule="auto" w:before="0"/>
              <w:ind w:right="18"/>
              <w:rPr>
                <w:sz w:val="20"/>
              </w:rPr>
            </w:pPr>
            <w:r>
              <w:rPr>
                <w:sz w:val="20"/>
              </w:rPr>
              <w:t>&lt;/span&gt;&lt;/p&gt;&lt;p style="line-height: 1.7999999999999998; margin-left: 113.38582677165351pt; text-indent: 57pt; text-align: justify; margin-top: 6pt; margin- bottom: 6pt;" dir="ltr"&gt;&amp;#160;&lt;/p&gt;&lt;p style="line-height: 1.7999999999999998; margin-left: 113.38582677165351pt;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style="font- size: medium;"&gt;i) O Banco do Brasil possui legitimidade passiva ad causam para figurar no polo passivo de demanda na qual se discute eventual falha na prestação do serviço </w:t>
            </w:r>
            <w:r>
              <w:rPr>
                <w:spacing w:val="-3"/>
                <w:sz w:val="20"/>
              </w:rPr>
              <w:t>quanto </w:t>
            </w:r>
            <w:r>
              <w:rPr>
                <w:sz w:val="20"/>
              </w:rPr>
              <w:t>a conta vinculada ao Pasep, saques indevidos e desfalques, além da ausência de aplicação dos rendimentos estabelecidas pelo Conselho Diretor do referido programa;&lt;/span&gt;</w:t>
              <w:tab/>
              <w:t>&lt;/span&gt; &lt;/span&gt;&lt;/p&gt;&lt;p style="line-height: 1.7999999999999998; margin-left: 113.38582677165351pt;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r>
          </w:p>
          <w:p>
            <w:pPr>
              <w:pStyle w:val="TableParagraph"/>
              <w:tabs>
                <w:tab w:pos="6454" w:val="left" w:leader="none"/>
              </w:tabs>
              <w:spacing w:line="208" w:lineRule="auto" w:before="0"/>
              <w:ind w:right="172"/>
              <w:rPr>
                <w:sz w:val="20"/>
              </w:rPr>
            </w:pPr>
            <w:r>
              <w:rPr>
                <w:sz w:val="20"/>
              </w:rPr>
              <w:t>&lt;span style="font-size: medium;"&gt;ii) a pretensão ao ressarcimento dos danos havidos </w:t>
            </w:r>
            <w:r>
              <w:rPr>
                <w:spacing w:val="-9"/>
                <w:sz w:val="20"/>
              </w:rPr>
              <w:t>em </w:t>
            </w:r>
            <w:r>
              <w:rPr>
                <w:sz w:val="20"/>
              </w:rPr>
              <w:t>razão dos desfalques em conta individual vinculada ao Pasep se submete ao prazo prescricional decenal previsto pelo artigo 205 do Código Civil;&lt;/span&gt;</w:t>
              <w:tab/>
              <w:t>&lt;/span&gt;</w:t>
            </w:r>
          </w:p>
          <w:p>
            <w:pPr>
              <w:pStyle w:val="TableParagraph"/>
              <w:tabs>
                <w:tab w:pos="1939" w:val="left" w:leader="none"/>
                <w:tab w:pos="2857" w:val="left" w:leader="none"/>
                <w:tab w:pos="3329" w:val="left" w:leader="none"/>
                <w:tab w:pos="5055" w:val="left" w:leader="none"/>
                <w:tab w:pos="6444" w:val="left" w:leader="none"/>
              </w:tabs>
              <w:spacing w:line="208" w:lineRule="auto" w:before="0"/>
              <w:ind w:right="20"/>
              <w:rPr>
                <w:sz w:val="20"/>
              </w:rPr>
            </w:pPr>
            <w:r>
              <w:rPr>
                <w:sz w:val="20"/>
              </w:rPr>
              <w:t>&lt;/span&gt;&lt;/p&gt;&lt;p style="line-height: 1.7999999999999998; margin-left: 113.38582677165351pt;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style="font- size: medium;"&gt;iii) o termo inicial para a contagem do prazo prescricional é o dia em que o titular, comprovadamente, toma ciência dos desfalques realizados na conta individual vinculada ao Pasep".&lt;/span&gt;</w:t>
              <w:tab/>
              <w: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medium;"&gt;Nesse contexto, o Tema nº 1.150 estabeleceu que o prazo prescricional é decenal e somente se inicia quando o titular toma ciência dos desfalques.&lt;/span&gt;</w:t>
            </w:r>
          </w:p>
          <w:p>
            <w:pPr>
              <w:pStyle w:val="TableParagraph"/>
              <w:spacing w:line="208" w:lineRule="auto" w:before="0"/>
              <w:ind w:right="244"/>
              <w:rPr>
                <w:sz w:val="20"/>
              </w:rPr>
            </w:pPr>
            <w:r>
              <w:rPr>
                <w:sz w:val="20"/>
              </w:rPr>
              <w:t>&lt;/span&gt; &lt;/span&gt;&lt;/p&gt;&lt;p style="line-height: 1.7999999999999998; text-indent: 56.692913385826756pt; text-align: justify; margin-top: 6pt; margin-bottom: 6pt;" dir="ltr"&gt;</w:t>
            </w:r>
          </w:p>
          <w:p>
            <w:pPr>
              <w:pStyle w:val="TableParagraph"/>
              <w:tabs>
                <w:tab w:pos="3044" w:val="left" w:leader="none"/>
                <w:tab w:pos="5142" w:val="left" w:leader="none"/>
                <w:tab w:pos="6293" w:val="left" w:leader="none"/>
              </w:tabs>
              <w:spacing w:line="208" w:lineRule="auto" w:before="0"/>
              <w:ind w:right="97"/>
              <w:rPr>
                <w:sz w:val="20"/>
              </w:rPr>
            </w:pPr>
            <w:r>
              <w:rPr>
                <w:sz w:val="20"/>
              </w:rPr>
              <w:t>&lt;span style="font-size: small;"&gt;</w:t>
              <w:tab/>
              <w:t>&lt;span style="font-size: medium;"&gt;</w:t>
              <w:tab/>
              <w:t>&lt;span style="color: #000000; background-color: transparent; font-weight: 400; font-style: normal; font-variant: normal; text-decoration: none; vertical-align: baseline; white-space: pre-wrap;"&gt;&amp;#160;A redação conferida pela Primeira Seção do Superior Tribunal de Justiça à tese firmada no julgamento do mencionado Tema 1.150, estabeleceu, como dito acima, que o termo </w:t>
            </w:r>
            <w:r>
              <w:rPr>
                <w:spacing w:val="-3"/>
                <w:sz w:val="20"/>
              </w:rPr>
              <w:t>inicial </w:t>
            </w:r>
            <w:r>
              <w:rPr>
                <w:sz w:val="20"/>
              </w:rPr>
              <w:t>do prazo prescricional é o dia em que o titular,&lt;/span&gt;</w:t>
              <w:tab/>
              <w:t>&lt;span style="color: #000000;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3"/>
              <w:rPr>
                <w:sz w:val="20"/>
              </w:rPr>
            </w:pPr>
            <w:r>
              <w:rPr>
                <w:sz w:val="20"/>
              </w:rPr>
              <w:t>background-color: transparent; font-weight: 400; font-style: normal; font-variant: normal; text-decoration: none; vertical-align: baseline; white-space: pre-wrap;"&gt;comprovadamente, toma ciência dos desfalques realizados na conta individual vinculada ao Pasep, o que entendo ter ocorrido com a obtenção da microfilmagem dos extratos em 23/05/2018, ID 18096556, em que pese o excessivo lapso temporal decorrido a partir de sua “mera suspeita” de irregularidade, que se deu por ocasião de sua aposentadoria.&lt;/span&gt;&lt;/span&gt;</w:t>
            </w:r>
          </w:p>
          <w:p>
            <w:pPr>
              <w:pStyle w:val="TableParagraph"/>
              <w:spacing w:line="208" w:lineRule="auto" w:before="0"/>
              <w:ind w:right="244"/>
              <w:rPr>
                <w:sz w:val="20"/>
              </w:rPr>
            </w:pPr>
            <w:r>
              <w:rPr>
                <w:sz w:val="20"/>
              </w:rPr>
              <w:t>&lt;/span&gt;&lt;/p&gt;&lt;p style="line-height: 1.7999999999999998; text-indent: 56.692913385826756pt; text-align: justify; margin-top: 6pt; margin-bottom: 6pt;" dir="ltr"&gt;</w:t>
            </w:r>
          </w:p>
          <w:p>
            <w:pPr>
              <w:pStyle w:val="TableParagraph"/>
              <w:tabs>
                <w:tab w:pos="1939" w:val="left" w:leader="none"/>
                <w:tab w:pos="2519" w:val="left" w:leader="none"/>
                <w:tab w:pos="3044" w:val="left" w:leader="none"/>
                <w:tab w:pos="3186" w:val="left" w:leader="none"/>
                <w:tab w:pos="5055" w:val="left" w:leader="none"/>
                <w:tab w:pos="5385" w:val="left" w:leader="none"/>
                <w:tab w:pos="6293" w:val="left" w:leader="none"/>
                <w:tab w:pos="6344" w:val="left" w:leader="none"/>
              </w:tabs>
              <w:spacing w:line="208" w:lineRule="auto" w:before="0"/>
              <w:ind w:right="20"/>
              <w:rPr>
                <w:sz w:val="20"/>
              </w:rPr>
            </w:pPr>
            <w:r>
              <w:rPr>
                <w:sz w:val="20"/>
              </w:rPr>
              <w:t>&lt;span style="font-size: small;"&gt;</w:t>
              <w:tab/>
              <w:t>&lt;span style="font-size: medium;"&gt;</w:t>
              <w:tab/>
              <w:t>&lt;span style="color: #000000; background-color: transparent; font-weight: 400; font-style: normal; font-variant: normal; text-decoration: none; vertical-align: baseline; white-space: pre-wrap;"&gt;Tanto é, que o voto proferido pelo eminente Ministro Relator contém a ressalva de que “o curso do prazo prescricional do direito de reclamar inicia-se somente quando o titular do direito subjetivo violado&lt;/span&gt;</w:t>
              <w:tab/>
              <w:t>&lt;span style="color: #000000; background-color: transparent; font-weight: 400; font-style: normal; font-variant: normal; text-decoration: none; vertical- align: baseline; white-space: pre-wrap;"&gt;passa a conhecer o fato e a extensão de suas consequências”, donde se extrai que a “estranheza” manifestada pela parte, ao se deparar com quantia considerada irrisória ao efetuar o saque do Pasep no ano de 2013, não deve ser compreendida como&lt;/span&gt;</w:t>
              <w:tab/>
              <w:tab/>
              <w:t>&lt;span style="color: #000000; background-color: transparent; font-weight: 700; font-style: normal; font-variant: normal; text-decoration: none; vertical-align: baseline; white-space: pre-wrap;"&gt;c&lt;/span&gt;</w:t>
              <w:tab/>
              <w:t>&lt;span style="color: #000000; background-color: transparent; font-weight: 400; font-style: normal; font-variant: normal; text-decoration: none; vertical-align: baseline; white-space: pre-wrap;"&gt;omprovada ciência dos desfalques, para fins de deflagração do prazo prescricional; do contrário, não seria necessária a solicitação da microfilmagem de seus extratos que, segundo a parte autora, tivera por escopo confirmar sua suspeita de que o valor sacado não correspondia ao que alega fazer jus.&lt;/span&gt;&lt;/span&gt;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medium;"&gt;Assim, na hipótese vertente, considerando que apenas em maio de 2018,&amp;#160; a parte apelante teve ciência da suposta lesão ao seu direito, isto é, após ter acesso ao extrato de sua movimentação bancária, e que a presente ação foi ajuizada em 23/07/2024 não há que se falar em incidência da prescrição.&lt;/span&gt;</w:t>
              <w:tab/>
              <w:tab/>
              <w:t>&lt;/span&gt;</w:t>
            </w:r>
          </w:p>
          <w:p>
            <w:pPr>
              <w:pStyle w:val="TableParagraph"/>
              <w:spacing w:line="208" w:lineRule="auto" w:before="0"/>
              <w:rPr>
                <w:sz w:val="20"/>
              </w:rPr>
            </w:pPr>
            <w:r>
              <w:rPr>
                <w:sz w:val="20"/>
              </w:rPr>
              <w:t>&lt;/span&gt;&lt;/p&gt;&lt;p style="line-height: 1.7999999999999998; text-indent: 56.692913385826756pt; text-align: justify; margin-top: 6pt; margin-bottom: 6pt;"</w:t>
            </w:r>
            <w:r>
              <w:rPr>
                <w:spacing w:val="-18"/>
                <w:sz w:val="20"/>
              </w:rPr>
              <w:t> </w:t>
            </w:r>
            <w:r>
              <w:rPr>
                <w:sz w:val="20"/>
              </w:rPr>
              <w:t>dir="ltr"&gt;</w:t>
            </w:r>
          </w:p>
          <w:p>
            <w:pPr>
              <w:pStyle w:val="TableParagraph"/>
              <w:tabs>
                <w:tab w:pos="1216" w:val="left" w:leader="none"/>
                <w:tab w:pos="1294" w:val="left" w:leader="none"/>
                <w:tab w:pos="1685" w:val="left" w:leader="none"/>
                <w:tab w:pos="4410" w:val="left" w:leader="none"/>
                <w:tab w:pos="5780" w:val="left" w:leader="none"/>
              </w:tabs>
              <w:spacing w:line="208" w:lineRule="auto" w:before="0"/>
              <w:ind w:right="20"/>
              <w:rPr>
                <w:sz w:val="20"/>
              </w:rPr>
            </w:pPr>
            <w:r>
              <w:rPr>
                <w:sz w:val="20"/>
              </w:rPr>
              <w:t>&lt;span style="color: #000000; background-color: transparent; font-weight: 400; font-style: normal; font-variant: normal; text-decoration: none; vertical-align: baseline; white-space: pre-wrap;"&gt;</w:t>
              <w:tab/>
              <w:tab/>
              <w:t>&lt;span style="font-size: small;"&gt;</w:t>
              <w:tab/>
              <w:t>&lt;span style="font-size: medium;"&gt;Neste sentido:&lt;/span&gt;</w:t>
              <w:tab/>
              <w:t>&lt;/span&gt; &lt;/span&gt;&lt;/p&gt;&lt;p style="line-height: 1.7999999999999998; margin-left: 113.38582677165351pt; text-indent: 57pt; text-align: justify; margin-top: 6pt; margin-bottom: 6pt;" dir="ltr"&gt;  &lt;span style="font-size: small;"&gt;</w:t>
              <w:tab/>
              <w:t>&lt;span style="font-size: medium;"&gt;</w:t>
              <w:tab/>
              <w:t>&lt;span style="color: #000000; background-color: transparent; font-weight: 400; font-style: normal; font-variant: normal; text-decoration: none; vertical-align: baseline; </w:t>
            </w:r>
            <w:r>
              <w:rPr>
                <w:spacing w:val="-3"/>
                <w:sz w:val="20"/>
              </w:rPr>
              <w:t>white- </w:t>
            </w:r>
            <w:r>
              <w:rPr>
                <w:sz w:val="20"/>
              </w:rPr>
              <w:t>space: pre-wrap;"&gt;&amp;#160;APELAÇÃO CÍVEL. AÇÃO DE COBRANÇA E INDENIZAÇÃO POR DANOS MORAIS. PROGRAMA DE FORMAÇÃO DO PATRIMÔNIO DO SERVIDOR (PASEP). SENTENÇA DECLARATÓRIA DE PRESCRIÇÃO DA PRETENSÃO AUTORAL. IRRESIGNAÇÃO DA PARTE AUTORA. ANÁLISE SOBRE O TERMO INICIAL DA PRESCRIÇÃO. APLICAÇÃO DO TEMA REPETITIVO Nº 1.150 DO STJ. RECURSO CONHECIDO E PARCIALMENTE PROVIDO. SENTENÇA ANULADA. RETORNO DOS</w:t>
            </w:r>
          </w:p>
          <w:p>
            <w:pPr>
              <w:pStyle w:val="TableParagraph"/>
              <w:tabs>
                <w:tab w:pos="1707" w:val="left" w:leader="none"/>
              </w:tabs>
              <w:spacing w:line="208" w:lineRule="auto" w:before="0"/>
              <w:ind w:right="30"/>
              <w:rPr>
                <w:sz w:val="20"/>
              </w:rPr>
            </w:pPr>
            <w:r>
              <w:rPr>
                <w:sz w:val="20"/>
              </w:rPr>
              <w:t>AUTOS AO JUÍZO DE ORIGEM. 1. No caso, o presente recurso limita-se a impugnar a improcedência do pedido exordial, ante o reconhecimento da prescrição da pretensão autoral.&lt;/span&gt;</w:t>
              <w:tab/>
              <w:t>&lt;span style="color: #000000; background-color: transparent; font- weight: 700; font-style: normal; font-variant: normal; text-decoration: none; vertical-align: baseline; white-space: pre-wrap;"&gt;2. Sobre o tema, o Superior Tribunal de Justiça (STJ) firmou o Tema Repetitivo nº 1.150, na qual restou decidido que ¿ii) a pretensão ao ressarcimento dos danos havidos em razão dos desfalques em conta individual vinculada ao Pasep se submete ao prazo prescricional decenal previsto pelo art. 205 do Código </w:t>
            </w:r>
            <w:r>
              <w:rPr>
                <w:spacing w:val="-3"/>
                <w:sz w:val="20"/>
              </w:rPr>
              <w:t>Civil; </w:t>
            </w:r>
            <w:r>
              <w:rPr>
                <w:sz w:val="20"/>
              </w:rPr>
              <w:t>e iii) o termo inicial para a contagem do prazo prescricional é o dia em que o titular, comprovadamente, toma ciência dos desfalques realizados na conta individual vinculada ao Pasep.¿ 3. Dessa maneira, o lapso da prescrição teve início quando o autor teve acesso à microfilmagem dos extratos da sua conta vinculada ao PASEP, ocorrido em 2023, não fulminando o direito de ação exercitado no início deste ano de 2024.&lt;/span&gt;</w:t>
            </w:r>
          </w:p>
          <w:p>
            <w:pPr>
              <w:pStyle w:val="TableParagraph"/>
              <w:spacing w:line="208" w:lineRule="auto" w:before="0"/>
              <w:ind w:right="96"/>
              <w:rPr>
                <w:sz w:val="20"/>
              </w:rPr>
            </w:pPr>
            <w:r>
              <w:rPr>
                <w:sz w:val="20"/>
              </w:rPr>
              <w:t>&lt;span style="color: #000000; background-color: transparent; font-weight: 400; font-style: normal; font-variant: normal; text-decoration: none; vertical-align: baseline; white-space: pre-wrap;"&gt;4. Outrossim, ainda que o art. 1.013, § 4º, do CPC, permita o julgamento da demanda neste 2º grau, como pretende a parte autora, não vislumbro presentes os elementos necessários ao julgamento da causa no estado em que se encontra, haja vista a complexidade da demanda, com necessária dilação probatória e atenção às orientações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contidas em Nota Técnica nº 07/2024, do Órgão da Vice-Presidência do Tribunal de Justiça do Estado do Ceará, emitida com a finalidade de conduzir os procedimentos a serem adotados nas ações indenizatórias vinculadas ao Tema 1150. 5. Recurso conhecido e parcialmente provido. Sentença anulada, com retorno dos autos ao juízo de origem para o devido processamento e julgamento.&amp;#160; (Apelação Cível - 0202505- 95.2024.8.06.0001, Rel. Desembargador(a) MARCOS WILLIAM LEITE DE OLIVEIRA, 3ª</w:t>
            </w:r>
          </w:p>
          <w:p>
            <w:pPr>
              <w:pStyle w:val="TableParagraph"/>
              <w:spacing w:line="208" w:lineRule="auto" w:before="0"/>
              <w:ind w:right="344"/>
              <w:rPr>
                <w:sz w:val="20"/>
              </w:rPr>
            </w:pPr>
            <w:r>
              <w:rPr>
                <w:sz w:val="20"/>
              </w:rPr>
              <w:t>Câmara Direito Privado, data do julgamento:&amp;#160; 11/09/2024, data da publicação:&amp;#160; 11/09/2024)&lt;/span&gt;&lt;/span&gt; &lt;/span&gt;&lt;/p&gt;&lt;p style="line-height: 1.7999999999999998; margin-left: 113.38582677165351pt; text-indent: 57pt; text-align: justify; margin-top: 6pt; margin-bottom: 6pt;" dir="ltr"&gt; &lt;span style="font-size: small;"&gt;</w:t>
            </w:r>
          </w:p>
          <w:p>
            <w:pPr>
              <w:pStyle w:val="TableParagraph"/>
              <w:tabs>
                <w:tab w:pos="3288" w:val="left" w:leader="none"/>
              </w:tabs>
              <w:spacing w:line="208" w:lineRule="auto" w:before="0"/>
              <w:ind w:right="42"/>
              <w:rPr>
                <w:sz w:val="20"/>
              </w:rPr>
            </w:pPr>
            <w:r>
              <w:rPr>
                <w:sz w:val="20"/>
              </w:rPr>
              <w:t>&lt;span style="font-size: medium;"&gt;</w:t>
              <w:tab/>
              <w:t>&lt;span style="color: #000000; background-color: transparent; font-weight: 400; font-style: normal; font-variant: normal; text-decoration: </w:t>
            </w:r>
            <w:r>
              <w:rPr>
                <w:spacing w:val="-4"/>
                <w:sz w:val="20"/>
              </w:rPr>
              <w:t>none; </w:t>
            </w:r>
            <w:r>
              <w:rPr>
                <w:sz w:val="20"/>
              </w:rPr>
              <w:t>vertical-align: baseline; white-space: pre-wrap;"&gt;APELAÇÃO. AÇÃO ORDINÁRIA DE INDENIZAÇÃO RELACIONADA AOS SALDOS, ACRÉSCIMOS ILEGAIS, SAQUES E À DIFERENÇA DE VALORES NA CONTA VINCULADA DO PASEP DO AUTOR/RECORRENTE. SENTENÇA QUE RECONHECEU A PRESCRIÇÃO E EXTINGUIU O FEITO COM ANÁLISE DO MÉRITO. QUESTIONAMENTO SOLUCIONADO NO JULGAMENTO DO TEMA REPETITIVO Nº 1.150 QUE UNIFORMIZOU A INTERPRETAÇÃO DA LEGISLAÇÃO INFRACONSTITUCIONAL. PRAZO PRESCRICIONAL QUE NÃO FULMINA O DIREITO DE AÇÃO. PRINCÍPIO DA ACTIO NATA. LAPSO QUE FLUI A PARTIR DO MOMENTO EM QUE A PARTE TOMA CONHECIMENTO DA OCORRÊNCIA DE IRREGULARIDADE NA SUA CONTA VINCULADA DO PASEP. SENTENÇA ANULADA. REMESSA DO FEITO PARA A VARA DE ORIGEM PARA O DEVIDO PROCESSAMENTO E JULGAMENTO DO LITÍGIO. - A</w:t>
            </w:r>
          </w:p>
          <w:p>
            <w:pPr>
              <w:pStyle w:val="TableParagraph"/>
              <w:tabs>
                <w:tab w:pos="2063" w:val="left" w:leader="none"/>
                <w:tab w:pos="2430" w:val="left" w:leader="none"/>
                <w:tab w:pos="4562" w:val="left" w:leader="none"/>
              </w:tabs>
              <w:spacing w:line="208" w:lineRule="auto" w:before="0"/>
              <w:ind w:right="33"/>
              <w:rPr>
                <w:sz w:val="20"/>
              </w:rPr>
            </w:pPr>
            <w:r>
              <w:rPr>
                <w:sz w:val="20"/>
              </w:rPr>
              <w:t>petição inicial remete à apreciação do Judiciário litígio que envolve a responsabilidade do Banco do Brasil S/A quanto à má gestão dos valores depositados pela União do programa PIS/PASEP. - O Tribunal da Cidadania uniformizou a interpretação da legislação infraconstitucional no julgamento do tema repetitivo nº 1.150 para reconhecer, dentre outras teses não devolvidas na via apelatória, que "ii) a pretensão ao ressarcimento dos danos havidos em razão dos desfalques em conta individual vinculada ao Pasep se submete ao prazo prescricional decenal previsto pelo artigo 205 do Código Civil"; e que </w:t>
            </w:r>
            <w:r>
              <w:rPr>
                <w:spacing w:val="-4"/>
                <w:sz w:val="20"/>
              </w:rPr>
              <w:t>"iii) </w:t>
            </w:r>
            <w:r>
              <w:rPr>
                <w:sz w:val="20"/>
              </w:rPr>
              <w:t>o termo inicial para a contagem do prazo prescricional é o dia em que o titular, comprovadamente, toma ciência dos desfalques realizados na conta individual vinculada ao Pasep. -&lt;/span&gt;</w:t>
              <w:tab/>
              <w:t>&lt;span style="color: #000000; background-color: transparent; font- weight: 700; font-style: normal; font-variant: normal; text-decoration: none; vertical-align: baseline; white-space: pre-wrap;"&gt;Em relação à prescrição, a jurisprudência entende ser aplicável o princípio da actio nata, iniciando-se o prazo prescricional a partir do momento em que a parte tem conhecimento da violação do seu direito e, aplicando a tese repetitiva nº 1.150 firmada pelo Tribunal da Cidadania, tem-se que: "A pretensão ao ressarcimento dos danos havidos em razão dos desfalques em conta individual vinculada ao PASEP se submete ao prazo prescricional decenal previsto pelo artigo 205 do Código Civil ou ao prazo quinquenal estipulado pelo artigo 1° do Decreto n° 20.910/32" e que "O termo inicial para a contagem do prazo prescricional é o dia em que o titular toma ciência dos desfalques ou a data do último depósito efetuado na conta individual vinculada ao PASEP". Desta forma, o lapso da prescrição teve início quando o autor teve acesso à microfilmagem dos extratos da sua conta vinculada ao PASEP, requisitada em 09/02/2024 e com previsão de entrega no dia 08/06/2024, não fulminando o direito de ação exercitado em 27/06/2024.&lt;/span&gt;</w:t>
              <w:tab/>
              <w:t>&lt;span style="color: #000000; background-color: transparent; font-weight: 400; font-style: normal; font-variant: normal; text-decoration: none; vertical- align: baseline; white-space: pre-wrap;"&gt;RECURSO CONHECIDO E PROVIDO EM PARTE. (Apelação Cível - 0246192-25.2024.8.06.0001, Rel. Desembargador(a) PAULO AIRTON ALBUQUERQUE FILHO, 2ª Câmara Direito Privado, data do julgamento:&amp;#160; 02/10/2024, data da publicação:&amp;#160; 02/10/2024)&lt;/span&gt;&lt;/span&gt; &lt;/span&gt;&lt;/p&gt;&lt;p style="line-height: 1.7999999999999998; text-indent: 56.692913385826756pt; text-align: justify; margin-top: 6pt; margin-bottom: 6pt;" dir="ltr"&gt;&amp;#160;&lt;/p&gt;&lt;p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small;"&gt;</w:t>
            </w:r>
          </w:p>
          <w:p>
            <w:pPr>
              <w:pStyle w:val="TableParagraph"/>
              <w:tabs>
                <w:tab w:pos="3397" w:val="left" w:leader="none"/>
              </w:tabs>
              <w:spacing w:line="208" w:lineRule="auto" w:before="0"/>
              <w:ind w:right="42"/>
              <w:rPr>
                <w:sz w:val="20"/>
              </w:rPr>
            </w:pPr>
            <w:r>
              <w:rPr>
                <w:sz w:val="20"/>
              </w:rPr>
              <w:t>&lt;span style="font-size: medium;"&gt;Em que pese a anulação da sentença, com o afastamento da prescrição, constata-se que a causa não se encontra em condições de imediato julgamento por esta instância (art. 1.013, § 4º do CPC). Afinal, o magistrado procedeu ao julgamento antecipado da lide, não havendo se manifestado quanto ao pedido de danos morais, bem como pelo fato de não existir, neste momento, meios de se afirmar, com a segurança necessária, que teriam ocorrido saques indevidos na conta vinculada ao Pasep, os quais poderiam ser tidos como “desfalques” para fins de ressarcimento da apelante.&lt;/span&gt;</w:t>
              <w:tab/>
              <w:t>&lt;/span&gt; &lt;/span&gt;&lt;/p&gt;&lt;p style="line-height: 1.7999999999999998; text-indent: 56.692913385826756pt; text-align: justify; margin-top: 6pt; margin-bottom: 6pt;" dir="ltr"&gt; &lt;span style="color: #000000; background-color: transparent; font-weight: 700; font-style: normal; font-variant: normal; text-decoration:</w:t>
            </w:r>
            <w:r>
              <w:rPr>
                <w:spacing w:val="2"/>
                <w:sz w:val="20"/>
              </w:rPr>
              <w:t> </w:t>
            </w:r>
            <w:r>
              <w:rPr>
                <w:spacing w:val="-4"/>
                <w:sz w:val="20"/>
              </w:rPr>
              <w:t>none;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15" w:lineRule="exact"/>
              <w:rPr>
                <w:sz w:val="20"/>
              </w:rPr>
            </w:pPr>
            <w:r>
              <w:rPr>
                <w:sz w:val="20"/>
              </w:rPr>
              <w:t>vertical-align: baseline; white-space: pre-wrap;"&gt;</w:t>
              <w:tab/>
              <w:t>&lt;span style="font-size: small;"&gt;</w:t>
            </w:r>
          </w:p>
          <w:p>
            <w:pPr>
              <w:pStyle w:val="TableParagraph"/>
              <w:tabs>
                <w:tab w:pos="4845" w:val="left" w:leader="none"/>
                <w:tab w:pos="5119" w:val="left" w:leader="none"/>
              </w:tabs>
              <w:spacing w:line="208" w:lineRule="auto" w:before="9"/>
              <w:ind w:right="53"/>
              <w:rPr>
                <w:sz w:val="20"/>
              </w:rPr>
            </w:pPr>
            <w:r>
              <w:rPr>
                <w:sz w:val="20"/>
              </w:rPr>
              <w:t>&lt;span style="font-size: medium;"&gt;MÉRITO.&lt;/span&gt;</w:t>
              <w:tab/>
              <w:t>&lt;/span&gt; &lt;/span&gt;&lt;/p&gt;&lt;p style="line- height: 1.7999999999999998; text-indent: 56.692913385826756pt; text-align: justify; margin-top: 6pt; margin-bottom: 6pt;" dir="ltr"&gt; &lt;span style="color: #000000; background- color: transparent; font-weight: 400; font-style: normal; font-variant: normal; text-decoration: none; vertical-align: baseline; white-space: pre-wrap;"&gt;</w:t>
              <w:tab/>
              <w:t>&lt;span style="font-size: small;"&gt;</w:t>
            </w:r>
          </w:p>
          <w:p>
            <w:pPr>
              <w:pStyle w:val="TableParagraph"/>
              <w:tabs>
                <w:tab w:pos="3086" w:val="left" w:leader="none"/>
                <w:tab w:pos="4562" w:val="left" w:leader="none"/>
              </w:tabs>
              <w:spacing w:line="208" w:lineRule="auto" w:before="0"/>
              <w:ind w:right="28"/>
              <w:rPr>
                <w:sz w:val="20"/>
              </w:rPr>
            </w:pPr>
            <w:r>
              <w:rPr>
                <w:sz w:val="20"/>
              </w:rPr>
              <w:t>&lt;span style="font-size: medium;"&gt;Superadas as premissas acima mencionadas, verifica-se que há necessidade de retorno dos autos à origem para fins de dilação probatória, especialmente em relação a eventual perícia, uma vez que se demanda conhecimento contábil para fins de apuração dos valores apontados pela apelante como devidos pela instituição financeira ré.&lt;/span&gt;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small;"&gt;</w:t>
            </w:r>
          </w:p>
          <w:p>
            <w:pPr>
              <w:pStyle w:val="TableParagraph"/>
              <w:tabs>
                <w:tab w:pos="5165" w:val="left" w:leader="none"/>
                <w:tab w:pos="6553" w:val="left" w:leader="none"/>
              </w:tabs>
              <w:spacing w:line="208" w:lineRule="auto" w:before="0"/>
              <w:ind w:right="149"/>
              <w:rPr>
                <w:sz w:val="20"/>
              </w:rPr>
            </w:pPr>
            <w:r>
              <w:rPr>
                <w:sz w:val="20"/>
              </w:rPr>
              <w:t>&lt;span style="font-size: medium;"&gt;A parte apelante afirma que o juízo de origem rejeitou </w:t>
            </w:r>
            <w:r>
              <w:rPr>
                <w:spacing w:val="-18"/>
                <w:sz w:val="20"/>
              </w:rPr>
              <w:t>o </w:t>
            </w:r>
            <w:r>
              <w:rPr>
                <w:sz w:val="20"/>
              </w:rPr>
              <w:t>pedido de&amp;#160; inversão do ônus da prova, sem lhe oportunizar a realização das </w:t>
            </w:r>
            <w:r>
              <w:rPr>
                <w:spacing w:val="-3"/>
                <w:sz w:val="20"/>
              </w:rPr>
              <w:t>provas </w:t>
            </w:r>
            <w:r>
              <w:rPr>
                <w:sz w:val="20"/>
              </w:rPr>
              <w:t>previamente requeridas desde a petição inicial.&lt;/span&gt;</w:t>
              <w:tab/>
              <w: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white-space: pre-wrap;"&gt;</w:t>
              <w:tab/>
              <w:t>&lt;span</w:t>
            </w:r>
          </w:p>
          <w:p>
            <w:pPr>
              <w:pStyle w:val="TableParagraph"/>
              <w:tabs>
                <w:tab w:pos="2549" w:val="left" w:leader="none"/>
                <w:tab w:pos="7410" w:val="left" w:leader="none"/>
              </w:tabs>
              <w:spacing w:line="190" w:lineRule="exact" w:before="0"/>
              <w:rPr>
                <w:sz w:val="20"/>
              </w:rPr>
            </w:pPr>
            <w:r>
              <w:rPr>
                <w:sz w:val="20"/>
              </w:rPr>
              <w:t>style="font-size: small;"&gt;</w:t>
              <w:tab/>
              <w:t>&lt;span style="font-size: medium;"&gt;Pois bem.&lt;/span&gt;</w:t>
              <w:tab/>
              <w:t>&lt;/span&gt;</w:t>
            </w:r>
          </w:p>
          <w:p>
            <w:pPr>
              <w:pStyle w:val="TableParagraph"/>
              <w:spacing w:line="208" w:lineRule="auto" w:before="9"/>
              <w:ind w:right="244"/>
              <w:rPr>
                <w:sz w:val="20"/>
              </w:rPr>
            </w:pPr>
            <w:r>
              <w:rPr>
                <w:sz w:val="20"/>
              </w:rPr>
              <w:t>&lt;/span&gt;&lt;/p&gt;&lt;p style="line-height: 1.7999999999999998; text-indent: 56.692913385826756pt; text-align: justify; margin-top: 6pt; margin-bottom: 6pt;" dir="ltr"&gt;</w:t>
            </w:r>
          </w:p>
          <w:p>
            <w:pPr>
              <w:pStyle w:val="TableParagraph"/>
              <w:tabs>
                <w:tab w:pos="1294" w:val="left" w:leader="none"/>
                <w:tab w:pos="1707" w:val="left" w:leader="none"/>
                <w:tab w:pos="1939" w:val="left" w:leader="none"/>
                <w:tab w:pos="4410" w:val="left" w:leader="none"/>
                <w:tab w:pos="5055" w:val="left" w:leader="none"/>
                <w:tab w:pos="6922" w:val="left" w:leader="none"/>
              </w:tabs>
              <w:spacing w:line="208" w:lineRule="auto" w:before="0"/>
              <w:ind w:right="18"/>
              <w:rPr>
                <w:sz w:val="20"/>
              </w:rPr>
            </w:pPr>
            <w:r>
              <w:rPr>
                <w:sz w:val="20"/>
              </w:rPr>
              <w:t>&lt;span style="color: #000000; background-color: transparent; font-weight: 400; font-style: normal; font-variant: normal; text-decoration: none; vertical-align: baseline; white-space: pre-wrap;"&gt;</w:t>
              <w:tab/>
              <w:t>&lt;span style="font-size: small;"&gt;</w:t>
              <w:tab/>
              <w:t>&lt;span style="font-size: medium;"&gt;Ao julgar antecipadamente o feito e decidir pela improcedência do pedido devido à falta de prova, cerceou o direito da autora de apresentar evidências quanto à questão controversa: a apuração de suposta destinação indevida de valores de sua conta vinculada ao PASEP.&lt;/span&gt;</w:t>
              <w:tab/>
              <w:t>&lt;/span&gt; &lt;/span&gt;&lt;/p&gt;&lt;p style="line-height: 1.7999999999999998; text- 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medium;"&gt;A produção de provas é essencial para resolver o litígio, especialmente porque a questão em discussão nos autos requer cálculos complexos para determinar a existência ou não de saldo remanescente vinculado ao benefício da parte autora. Sem essa diligência probatória, configura-se uma negativa de jurisdição, especialmente se o juiz fundamenta sua decisão na falta de comprovação dos fatos alegados na inicial.&lt;/span&gt;</w:t>
              <w:tab/>
              <w:t>&lt;/span&gt;</w:t>
            </w:r>
          </w:p>
          <w:p>
            <w:pPr>
              <w:pStyle w:val="TableParagraph"/>
              <w:spacing w:line="208" w:lineRule="auto" w:before="0"/>
              <w:rPr>
                <w:sz w:val="20"/>
              </w:rPr>
            </w:pPr>
            <w:r>
              <w:rPr>
                <w:sz w:val="20"/>
              </w:rPr>
              <w:t>&lt;/span&gt;&lt;/p&gt;&lt;p style="line-height: 1.7999999999999998; text-indent: 56.692913385826756pt; text-align: justify; margin-top: 6pt; margin-bottom: 6pt;"</w:t>
            </w:r>
            <w:r>
              <w:rPr>
                <w:spacing w:val="-18"/>
                <w:sz w:val="20"/>
              </w:rPr>
              <w:t> </w:t>
            </w:r>
            <w:r>
              <w:rPr>
                <w:sz w:val="20"/>
              </w:rPr>
              <w:t>dir="ltr"&gt;</w:t>
            </w:r>
          </w:p>
          <w:p>
            <w:pPr>
              <w:pStyle w:val="TableParagraph"/>
              <w:tabs>
                <w:tab w:pos="1216" w:val="left" w:leader="none"/>
                <w:tab w:pos="1294" w:val="left" w:leader="none"/>
                <w:tab w:pos="1685" w:val="left" w:leader="none"/>
                <w:tab w:pos="4410" w:val="left" w:leader="none"/>
                <w:tab w:pos="5780" w:val="left" w:leader="none"/>
              </w:tabs>
              <w:spacing w:line="208" w:lineRule="auto" w:before="0"/>
              <w:ind w:right="20"/>
              <w:rPr>
                <w:sz w:val="20"/>
              </w:rPr>
            </w:pPr>
            <w:r>
              <w:rPr>
                <w:sz w:val="20"/>
              </w:rPr>
              <w:t>&lt;span style="color: #000000; background-color: transparent; font-weight: 400; font-style: normal; font-variant: normal; text-decoration: none; vertical-align: baseline; white-space: pre-wrap;"&gt;</w:t>
              <w:tab/>
              <w:tab/>
              <w:t>&lt;span style="font-size: small;"&gt;</w:t>
              <w:tab/>
              <w:t>&lt;span style="font-size: medium;"&gt;Nesse sentido:&lt;/span&gt;</w:t>
              <w:tab/>
              <w:t>&lt;/span&gt; &lt;/span&gt;&lt;/p&gt;&lt;p style="line-height: 1.7999999999999998; margin-left: 113.38582677165351pt; text-indent: 57pt; text-align: justify; margin-top: 6pt; margin-bottom: 6pt;" dir="ltr"&gt;  &lt;span style="font-size: small;"&gt;</w:t>
              <w:tab/>
              <w:t>&lt;span style="font-size: medium;"&gt;</w:t>
              <w:tab/>
              <w:t>&lt;span style="color: #000000; background-color: transparent; font-weight: 400; font-style: normal; font-variant: normal; text-decoration: none; vertical-align: baseline; </w:t>
            </w:r>
            <w:r>
              <w:rPr>
                <w:spacing w:val="-3"/>
                <w:sz w:val="20"/>
              </w:rPr>
              <w:t>white- </w:t>
            </w:r>
            <w:r>
              <w:rPr>
                <w:sz w:val="20"/>
              </w:rPr>
              <w:t>space: pre-wrap;"&gt;APELAÇÃO CÍVEL ¿ AÇÃO INDENIZATÓRIA ¿ PASEP ¿ JULGAMENTO DE IMPROCEDÊNCIA NA ORIGEM ¿ PRETENSÃO DE REFORMA ¿ QUESTÃO PREJUDICIAL ¿ PRODUÇÃO PROBATÓRIA ¿ MATÉRIA DE FATO COMPLEXA ¿ PROVA PERICIAL IMPRESCINDÍVEL ¿ DETERMINAÇÃO DA PRODUÇÃO DA PROVA DE OFÍCIO ¿ PODER INSTRUTÓRIO DO JUIZ ¿ ARTIGO 370 DO CPC ¿ SENTENÇA DESCONSTITUÍDA EX OFFICIO ¿ RECURSO PREJUDICADO.</w:t>
            </w:r>
          </w:p>
          <w:p>
            <w:pPr>
              <w:pStyle w:val="TableParagraph"/>
              <w:spacing w:line="208" w:lineRule="auto" w:before="0"/>
              <w:ind w:right="59"/>
              <w:rPr>
                <w:sz w:val="20"/>
              </w:rPr>
            </w:pPr>
            <w:r>
              <w:rPr>
                <w:sz w:val="20"/>
              </w:rPr>
              <w:t>1. O presente recurso apelatório visa à reforma da sentença que julgou improcedente o pedido autoral, ao fundamento de que não restaram comprovadas as alegações autorais no que tange aos danos pertinentes à conta PASEP do demandante. 2. A autora ajuizou a presente ação sob a alegação de que houve equívoco nos índices de correção monetária aplicados aos valores constantes de sua conta PASEP, além de saques indevidos, o que demonstraria a má gestão pelo banco recorrido. Requer, diante disso, a reforma da sentença recorrida para que seja reconhecido seu direito ao recebimento do montante </w:t>
            </w:r>
            <w:r>
              <w:rPr>
                <w:spacing w:val="-6"/>
                <w:sz w:val="20"/>
              </w:rPr>
              <w:t>que </w:t>
            </w:r>
            <w:r>
              <w:rPr>
                <w:sz w:val="20"/>
              </w:rPr>
              <w:t>entende devido. 3. Antes de conhecer do presente recurso, verifica-se a existência de questão prejudicial a ser analisada, considerando a tramitação dos autos em primeiro </w:t>
            </w:r>
            <w:r>
              <w:rPr>
                <w:spacing w:val="-5"/>
                <w:sz w:val="20"/>
              </w:rPr>
              <w:t>grau </w:t>
            </w:r>
            <w:r>
              <w:rPr>
                <w:sz w:val="20"/>
              </w:rPr>
              <w:t>e a produção probatória existente. 4. Sabe-se que a prova ocupa um papel determinante no processo de conhecimento, uma vez que as meras alegações, desprovidas de elementos capazes de demonstrá-las, pouca ou nenhuma utilidade trarão à parte interessada, pois serão tidas por inexistentes. 5. Nesse diapasão, cumpre destacar que 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2019" w:val="left" w:leader="none"/>
                <w:tab w:pos="4787" w:val="left" w:leader="none"/>
                <w:tab w:pos="5780" w:val="left" w:leader="none"/>
              </w:tabs>
              <w:spacing w:line="208" w:lineRule="auto" w:before="26"/>
              <w:ind w:right="20"/>
              <w:rPr>
                <w:sz w:val="20"/>
              </w:rPr>
            </w:pPr>
            <w:r>
              <w:rPr>
                <w:sz w:val="20"/>
              </w:rPr>
              <w:t>juiz não é apenas mais o mero destinatário da prova, mas também tem papel ativo no que tange à produção probatória, podendo, quando julgar necessário, determinar, de ofício, a produção de provas. 6. No caso vertente, houve o julgamento antecipado da lide, concluindo-se por sua improcedência, tendo como fundamento a não satisfação do ônus probatório da parte apelante (ID 318-329).&lt;/span&gt;</w:t>
              <w:tab/>
              <w:t>&lt;span style="color: #000000; background-color: transparent; font-weight: 700; font-style: normal; font-variant: normal; text-decoration: none; vertical-align: baseline; white-space: pre-wrap;"&gt;7. In casu, observa- se da prova coligida aos autos que, diante da natureza complexa do caso, que envolve mudanças de moeda e incidência de diversos índices de correção monetária, se faz necessária a realização de perícia contábil. 8. Verifica-se, portanto, que é nítido o error in procedendo no caso concreto, uma vez que o feito de origem foi sentenciado sem que fosse realizada a produção de provas necessárias ao julgamento do mérito. 9. Nessa perspectiva, reconheço ex officio o não cabimento do julgamento antecipado da lide, haja vista a necessidade de produção de prova pericial no caso em apreço, impondo-se a desconstituição da sentença e o retorno à origem para que a demanda prossiga com a instauração da fase instrutória. 10. Sentença desconstituída de ofício. Recurso prejudicado&lt;/span&gt;</w:t>
              <w:tab/>
              <w:t>&lt;span style="color: #000000; background-color: transparent; font- weight: 400; font-style: normal; font-variant: normal; text-decoration: none; vertical-align: baseline; white-space: pre-wrap;"&gt;.&amp;#160; (Apelação Cível - 0051092-03.2020.8.06.0154, Rel. Desembargador(a) MARIA DE FÁTIMA DE MELO LOUREIRO, 2ª Câmara Direito Privado, data do julgamento:&amp;#160; 07/08/2024, data da publicação:&amp;#160; 07/08/2024).&lt;/span&gt;&lt;/span&gt; &lt;/span&gt;&lt;/p&gt;&lt;p style="line-height: 1.7999999999999998; margin-left: 113.38582677165351pt; text-indent: 57pt; text-align: justify; margin-top: 6pt; margin-bottom: 6pt;" dir="ltr"&gt;  &lt;span style="font-size: small;"&gt;</w:t>
              <w:tab/>
              <w:t>&lt;span style="font-size: medium;"&gt;</w:t>
              <w:tab/>
              <w:t>&lt;span style="color: #000000; background-color: transparent; font-weight: 400; font-style: normal; font-variant: normal; text-decoration: none; vertical-align: baseline; </w:t>
            </w:r>
            <w:r>
              <w:rPr>
                <w:spacing w:val="-3"/>
                <w:sz w:val="20"/>
              </w:rPr>
              <w:t>white- </w:t>
            </w:r>
            <w:r>
              <w:rPr>
                <w:sz w:val="20"/>
              </w:rPr>
              <w:t>space: pre-wrap;"&gt;&amp;#160;APELAÇÃO CÍVEL. AÇÃO INDENIZATÓRIA POR DANOS MATERIAIS E MORAIS. PROGRAMA DE FORMAÇÃO DO PATRIMÔNIO DO SERVIDOR PÚBLICO - PASEP. DEMANDA NA QUAL SE DISCUTE EVENTUAL FALHA NA PRESTAÇÃO DO SERVIÇO QUANTO À CONTA VINCULADA AO PASEP, SAQUES INDEVIDOS E DESFALQUES, ALÉM DA AUSÊNCIA DE APLICAÇÃO DOS RENDIMENTOS ESTABELECIDAS PELO CONSELHO DIRETOR DO REFERIDO PROGRAMA. I) SENTENÇA QUE RECONHECEU A LEGITIMIDADE PASSIVA DO BANCO DO BRASIL S/A E JULGOU IMPROCEDENTE O PEDIDO AUTORAL. II) JULGAMENTO DO TEMA 1.150 STJ, SEDIMENTANDO A SEGUINTE TESE JURÍDICA DE QUE ¿O BANCO DO BRASIL POSSUI LEGITIMIDADE AD CAUSAM PARA FIGURAR NO POLO PASSIVO DE DEMANDA NA QUAL SE DISCUTE EVENTUAL FALHA NA PRESTAÇÃO DO SERVIÇO QUANTO A CONTA VINCULADA AO PASEP, SAQUES INDEVIDOS E DESFALQUES, ALÉM DA AUSÊNCIA DE APLICAÇÃO DOS RENDIMENTOS ESTABELECIDAS PELO CONSELHO DIRETOR DO REFERIDO</w:t>
            </w:r>
          </w:p>
          <w:p>
            <w:pPr>
              <w:pStyle w:val="TableParagraph"/>
              <w:tabs>
                <w:tab w:pos="2385" w:val="left" w:leader="none"/>
              </w:tabs>
              <w:spacing w:line="208" w:lineRule="auto" w:before="0"/>
              <w:ind w:right="178"/>
              <w:rPr>
                <w:sz w:val="20"/>
              </w:rPr>
            </w:pPr>
            <w:r>
              <w:rPr>
                <w:sz w:val="20"/>
              </w:rPr>
              <w:t>PROGRAMA¿.&lt;/span&gt;</w:t>
              <w:tab/>
              <w:t>&lt;span style="color: #000000; background-color: transparent; font-weight: 700; font-style: normal; font-variant: normal; text-decoration: none; vertical- align: baseline; white-space: pre-wrap;"&gt;III) JULGAMENTO ANTECIPADO DA LIDE </w:t>
            </w:r>
            <w:r>
              <w:rPr>
                <w:spacing w:val="-6"/>
                <w:sz w:val="20"/>
              </w:rPr>
              <w:t>SEM </w:t>
            </w:r>
            <w:r>
              <w:rPr>
                <w:sz w:val="20"/>
              </w:rPr>
              <w:t>PRÉVIO ANÚNCIO. AUSÊNCIA DE PROVAS IMPRESCINDÍVEIS AO DESLINDE DO FEITO. DILAÇÃO PROBATÓRIA NECESSÁRIA. NOTA TÉCNICA N° 07/2024 DO TJCE. PRECEDENTES DO TJCE. ERROR IN PROCEDENDO. IV) SENTENÇA ANULADA DE</w:t>
            </w:r>
          </w:p>
          <w:p>
            <w:pPr>
              <w:pStyle w:val="TableParagraph"/>
              <w:tabs>
                <w:tab w:pos="4518" w:val="left" w:leader="none"/>
              </w:tabs>
              <w:spacing w:line="208" w:lineRule="auto" w:before="0"/>
              <w:ind w:right="88"/>
              <w:rPr>
                <w:sz w:val="20"/>
              </w:rPr>
            </w:pPr>
            <w:r>
              <w:rPr>
                <w:sz w:val="20"/>
              </w:rPr>
              <w:t>OFÍCIO. RETORNO DOS AUTOS AO J&lt;/span&gt;</w:t>
              <w:tab/>
              <w:t>&lt;span style="color: #000000; background-color: transparent; font-weight: 400; font-style: normal; font-variant: normal; text-decoration: none; vertical-align: baseline; white-space: pre-wrap;"&gt;UÍZO DE </w:t>
            </w:r>
            <w:r>
              <w:rPr>
                <w:spacing w:val="-3"/>
                <w:sz w:val="20"/>
              </w:rPr>
              <w:t>ORIGEM. </w:t>
            </w:r>
            <w:r>
              <w:rPr>
                <w:sz w:val="20"/>
              </w:rPr>
              <w:t>RECURSO PREJUDICADO.&amp;#160; (Apelação Cível - 0240397-77.2020.8.06.0001, Rel.</w:t>
            </w:r>
          </w:p>
          <w:p>
            <w:pPr>
              <w:pStyle w:val="TableParagraph"/>
              <w:tabs>
                <w:tab w:pos="1939" w:val="left" w:leader="none"/>
                <w:tab w:pos="5055" w:val="left" w:leader="none"/>
                <w:tab w:pos="6421" w:val="left" w:leader="none"/>
              </w:tabs>
              <w:spacing w:line="208" w:lineRule="auto" w:before="0"/>
              <w:ind w:right="20"/>
              <w:rPr>
                <w:sz w:val="20"/>
              </w:rPr>
            </w:pPr>
            <w:r>
              <w:rPr>
                <w:sz w:val="20"/>
              </w:rPr>
              <w:t>Desembargador(a) FRANCISCO MAURO FERREIRA LIBERATO, 1ª Câmara Direito Privado, data do julgamento:&amp;#160; 31/07/2024, data da publicação:&amp;#160; 31/07/2024).&lt;/span&gt;&lt;/span&gt; &lt;/span&gt;&lt;/p&gt;&lt;p style="line-height: 1.7999999999999998; text-indent: 56.692913385826756pt; text-align: justify; margin-top: 6pt; margin-bottom: 6pt;"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small;"&gt;</w:t>
              <w:tab/>
              <w:t>&lt;span style="font-size: medium;"&gt;Posto isso, dá-se provimento ao recurso, para anular a sentença e determinar o retorno dos autos à origem para devida instrução processual.&lt;/span&gt;</w:t>
              <w:tab/>
              <w:t>&lt;/span&gt;</w:t>
            </w:r>
          </w:p>
          <w:p>
            <w:pPr>
              <w:pStyle w:val="TableParagraph"/>
              <w:tabs>
                <w:tab w:pos="2549" w:val="left" w:leader="none"/>
                <w:tab w:pos="4242" w:val="left" w:leader="none"/>
                <w:tab w:pos="6553" w:val="left" w:leader="none"/>
              </w:tabs>
              <w:spacing w:line="208" w:lineRule="auto" w:before="0"/>
              <w:ind w:right="92"/>
              <w:rPr>
                <w:sz w:val="20"/>
              </w:rPr>
            </w:pPr>
            <w:r>
              <w:rPr>
                <w:sz w:val="20"/>
              </w:rPr>
              <w:t>&lt;/span&gt;&lt;/p&gt;&lt;p style="line-height: 1.7999999999999998; text-indent: 57pt; text-align: justify; margin-top: 6pt; margin-bottom: 6pt;" dir="ltr"&gt; &lt;span style="color: #000000; background-color: transparent; font-weight: 400; font-style: normal; font-variant: normal; text-decoration: none; vertical-align: baseline; white-space: pre-wrap;"&gt;</w:t>
              <w:tab/>
              <w:t>&lt;span style="font-size: small;"&gt;</w:t>
              <w:tab/>
              <w:t>&lt;span style="font-size: medium;"&gt;Dessa forma, verificado a inexistência de fundamentos fático-jurídicos aptos a lastrear a reforma da decisão monocrática vergastada, mantendo integralmente a decisão agravada, cujo teor se encontra em consonância com o ordenamento jurídico e a jurisprudência desta Egrégia Corte e dos demais tribunais pátrios.&lt;/span&gt;</w:t>
              <w:tab/>
              <w:t>&lt;/span&gt; &lt;/span&gt;&lt;/p&gt;&lt;p style="line-height: 1.7999999999999998; text-indent: 57pt; text-align: justify; margin-top: 6pt; margin-bottom: 6pt;" dir="ltr"&gt; &lt;span style="color: #000000; background-color: transparent; font-weight: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0253773-91.2024.8.06.0001</w:t>
            </w:r>
          </w:p>
        </w:tc>
      </w:tr>
      <w:tr>
        <w:trPr>
          <w:trHeight w:val="7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473" w:val="left" w:leader="none"/>
                <w:tab w:pos="3217" w:val="left" w:leader="none"/>
                <w:tab w:pos="4380" w:val="left" w:leader="none"/>
                <w:tab w:pos="5588" w:val="left" w:leader="none"/>
              </w:tabs>
              <w:spacing w:line="208" w:lineRule="auto" w:before="26"/>
              <w:ind w:right="163"/>
              <w:rPr>
                <w:sz w:val="20"/>
              </w:rPr>
            </w:pPr>
            <w:r>
              <w:rPr>
                <w:sz w:val="20"/>
              </w:rPr>
              <w:t>700; font-style: normal; font-variant: normal; text-decoration: none; vertical-align: baseline; white-space: pre-wrap;"&gt;</w:t>
              <w:tab/>
              <w:t>&lt;span style="font-size: small;"&gt;</w:t>
              <w:tab/>
              <w:t>&lt;span style="font-size: medium;"&gt;DISPOSITIVO&lt;/span&gt;</w:t>
              <w:tab/>
              <w:t>&lt;/span&gt; &lt;/span&gt;&lt;/p&gt;&lt;p style="line-height: 1.7999999999999998; text-indent: 57pt; text-align: justify; margin-top: 6pt; margin-bottom: 6pt;" dir="ltr"&gt;  &lt;span style="font-size: small;"&gt;</w:t>
              <w:tab/>
              <w:t>&lt;span style="font-size: medium;"&gt;</w:t>
            </w:r>
          </w:p>
          <w:p>
            <w:pPr>
              <w:pStyle w:val="TableParagraph"/>
              <w:tabs>
                <w:tab w:pos="3329" w:val="left" w:leader="none"/>
                <w:tab w:pos="3573" w:val="left" w:leader="none"/>
                <w:tab w:pos="4380" w:val="left" w:leader="none"/>
                <w:tab w:pos="6444" w:val="left" w:leader="none"/>
                <w:tab w:pos="6487" w:val="left" w:leader="none"/>
              </w:tabs>
              <w:spacing w:line="208" w:lineRule="auto" w:before="0"/>
              <w:ind w:right="102"/>
              <w:rPr>
                <w:sz w:val="20"/>
              </w:rPr>
            </w:pPr>
            <w:r>
              <w:rPr>
                <w:sz w:val="20"/>
              </w:rPr>
              <w:t>&lt;span style="color: #000000; background-color: transparent; font-weight: 400; font-style: normal; font-variant: normal; text-decoration: none; vertical-align: baseline; white-space: pre-wrap;"&gt;Diante do que acima foi exposto e fundamentado,&lt;/span&gt;</w:t>
              <w:tab/>
              <w:tab/>
              <w:t>&lt;span style="color: #000000; background-color: transparent; font-weight: 700; font-style: normal; font-variant: normal; text-decoration: none; vertical-align: baseline; white-space: pre- wrap;"&gt;conheço da Agravo Interno Cível para NEGAR-LHE provimento, mantendo integralmente a decisão agravada.&amp;#160;&lt;/span&gt;&lt;/span&gt; &lt;/span&gt;&lt;/p&gt;&lt;p style="line- height: 1.7999999999999998; text-indent: 57pt; text-align: justify; margin-top: 6pt; margin- bottom: 6pt;" dir="ltr"&gt; &lt;span style="color: #000000; background-color: transparent; font- weight: 400; font-style: normal; font-variant: normal; text-decoration: none; vertical-align: baseline; white-space: pre-wrap;"&gt;</w:t>
              <w:tab/>
              <w:t>&lt;span style="font-size: small;"&gt;</w:t>
              <w:tab/>
              <w:t>&lt;span </w:t>
            </w:r>
            <w:r>
              <w:rPr>
                <w:spacing w:val="-2"/>
                <w:sz w:val="20"/>
              </w:rPr>
              <w:t>style="font- </w:t>
            </w:r>
            <w:r>
              <w:rPr>
                <w:sz w:val="20"/>
              </w:rPr>
              <w:t>size: medium;"&gt;É como voto.&lt;/span&gt;</w:t>
              <w:tab/>
              <w:t>&lt;/span&gt; &lt;/span&gt;&lt;/p&gt;&lt;p style="line-height: 1.7999999999999998; text-indent: 57pt; text-align: justify; margin-top: 6pt; margin-bottom: 6pt;" dir="ltr"&gt;  &lt;span style="font-size: small;"&gt;</w:t>
              <w:tab/>
              <w:t>&lt;span style="font-size: medium;"&gt;</w:t>
            </w:r>
          </w:p>
          <w:p>
            <w:pPr>
              <w:pStyle w:val="TableParagraph"/>
              <w:tabs>
                <w:tab w:pos="2660" w:val="left" w:leader="none"/>
                <w:tab w:pos="2762" w:val="left" w:leader="none"/>
                <w:tab w:pos="2952" w:val="left" w:leader="none"/>
                <w:tab w:pos="3910" w:val="left" w:leader="none"/>
                <w:tab w:pos="6242" w:val="left" w:leader="none"/>
                <w:tab w:pos="7210" w:val="left" w:leader="none"/>
                <w:tab w:pos="7270" w:val="left" w:leader="none"/>
              </w:tabs>
              <w:spacing w:line="208" w:lineRule="auto" w:before="0"/>
              <w:ind w:right="48"/>
              <w:rPr>
                <w:sz w:val="20"/>
              </w:rPr>
            </w:pPr>
            <w:r>
              <w:rPr>
                <w:sz w:val="20"/>
              </w:rPr>
              <w:t>&lt;span style="color: #000000; background-color: transparent; font-weight: 400; font-style: normal; font-variant: normal; text-decoration: none; vertical-align: baseline; white-space: pre-wrap;"&gt;&amp;#160;&lt;/span&gt;</w:t>
              <w:tab/>
              <w:tab/>
              <w:t>&lt;span style="text-indent: 8%;"&gt;Fortaleza/CE, data registrada no sistema.&lt;/span&gt;</w:t>
              <w:tab/>
              <w:tab/>
              <w:t>&lt;/span&gt; &lt;/span&gt;&lt;/p&gt;&lt;p style="text-indent: 8%; text-align: justify;"&gt;  &lt;span style="font-size: small;"&gt;</w:t>
              <w:tab/>
              <w:t>&lt;span style="font-size: medium;"&gt;</w:t>
              <w:tab/>
              <w:tab/>
              <w:t>&lt;span style="font-size: small;"&gt;</w:t>
              <w:tab/>
              <w:t>&lt;span style="font-size: medium;"&gt;</w:t>
              <w:tab/>
              <w:t>&lt;br /&gt;</w:t>
              <w:tab/>
              <w:t>&lt;/span&gt;</w:t>
            </w:r>
          </w:p>
          <w:p>
            <w:pPr>
              <w:pStyle w:val="TableParagraph"/>
              <w:tabs>
                <w:tab w:pos="985" w:val="left" w:leader="none"/>
                <w:tab w:pos="1194" w:val="left" w:leader="none"/>
                <w:tab w:pos="2682" w:val="left" w:leader="none"/>
                <w:tab w:pos="4776" w:val="left" w:leader="none"/>
                <w:tab w:pos="5855" w:val="left" w:leader="none"/>
                <w:tab w:pos="5920" w:val="left" w:leader="none"/>
                <w:tab w:pos="6428" w:val="left" w:leader="none"/>
              </w:tabs>
              <w:spacing w:line="208" w:lineRule="auto" w:before="0"/>
              <w:ind w:right="159"/>
              <w:rPr>
                <w:sz w:val="20"/>
              </w:rPr>
            </w:pPr>
            <w:r>
              <w:rPr>
                <w:sz w:val="20"/>
              </w:rPr>
              <w:t>&lt;/span&gt;</w:t>
              <w:tab/>
              <w:t>&lt;/span&gt; &lt;/span&gt;&lt;/p&gt;&lt;p style="text-indent: 8%; text-align: center;"&gt; &lt;span style="font-size: medium;"&gt;</w:t>
              <w:tab/>
              <w:t>&lt;strong style="font-size: small;"&gt;</w:t>
              <w:tab/>
              <w:tab/>
              <w:t>&lt;span style="font-size: small;"&gt;</w:t>
              <w:tab/>
              <w:tab/>
              <w:t>&lt;span style="font-size: medium;"&gt;</w:t>
              <w:tab/>
              <w:t>&lt;br /&gt;</w:t>
              <w:tab/>
              <w:t>&lt;strong style="font-size: medium;"&gt;FRANCISCO LUCÍDIO DE QUEIROZ JÚNIOR&lt;/strong&gt;</w:t>
              <w:tab/>
              <w:t>&lt;/span&gt;</w:t>
            </w:r>
          </w:p>
          <w:p>
            <w:pPr>
              <w:pStyle w:val="TableParagraph"/>
              <w:tabs>
                <w:tab w:pos="972" w:val="left" w:leader="none"/>
                <w:tab w:pos="4209" w:val="left" w:leader="none"/>
              </w:tabs>
              <w:spacing w:line="208" w:lineRule="auto" w:before="0"/>
              <w:ind w:right="415"/>
              <w:rPr>
                <w:sz w:val="20"/>
              </w:rPr>
            </w:pPr>
            <w:r>
              <w:rPr>
                <w:sz w:val="20"/>
              </w:rPr>
              <w:t>&lt;/span&gt;</w:t>
              <w:tab/>
              <w:t>&lt;/strong&gt; &lt;/span&gt;&lt;/p&gt;&lt;p style="text-align: center;"&gt; &lt;span style="font-size: small;"&gt;</w:t>
              <w:tab/>
              <w:t>&lt;strong style="font-size: small;"&gt;</w:t>
              <w:tab/>
              <w:t>&lt;span style="font-size: medium;"&gt;</w:t>
            </w:r>
          </w:p>
          <w:p>
            <w:pPr>
              <w:pStyle w:val="TableParagraph"/>
              <w:tabs>
                <w:tab w:pos="1852" w:val="left" w:leader="none"/>
                <w:tab w:pos="2908" w:val="left" w:leader="none"/>
                <w:tab w:pos="3377" w:val="left" w:leader="none"/>
                <w:tab w:pos="3853" w:val="left" w:leader="none"/>
              </w:tabs>
              <w:spacing w:line="208" w:lineRule="auto" w:before="0"/>
              <w:ind w:right="59"/>
              <w:rPr>
                <w:sz w:val="20"/>
              </w:rPr>
            </w:pPr>
            <w:r>
              <w:rPr>
                <w:sz w:val="20"/>
              </w:rPr>
              <w:t>&lt;span style="font-size: small;"&gt;</w:t>
              <w:tab/>
              <w:tab/>
              <w:t>&lt;span style="font-size: medium;"&gt;Desembargador Relator&lt;/span&gt;</w:t>
              <w:tab/>
              <w:t>&lt;/span&gt;</w:t>
              <w:tab/>
              <w:t>&lt;/span&gt;</w:t>
              <w:tab/>
              <w:t>&lt;/strong&gt; &lt;/span&gt;&lt;/p&gt;&lt;p&gt;&amp;#160;&lt;/p&gt;&lt;br</w:t>
            </w:r>
            <w:r>
              <w:rPr>
                <w:spacing w:val="2"/>
                <w:sz w:val="20"/>
              </w:rPr>
              <w:t> </w:t>
            </w:r>
            <w:r>
              <w:rPr>
                <w:spacing w:val="-4"/>
                <w:sz w:val="20"/>
              </w:rPr>
              <w:t>/&gt;&lt;br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ROSANGELA DA ROSA CORREA - (CE27988-A)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ALEXANDRE MELO DE ARAUJO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 w:pos="2773" w:val="left" w:leader="none"/>
                <w:tab w:pos="4799" w:val="left" w:leader="none"/>
                <w:tab w:pos="5909" w:val="left" w:leader="none"/>
              </w:tabs>
              <w:spacing w:line="208" w:lineRule="auto" w:before="0"/>
              <w:ind w:right="60"/>
              <w:rPr>
                <w:sz w:val="20"/>
              </w:rPr>
            </w:pPr>
            <w:r>
              <w:rPr>
                <w:sz w:val="20"/>
              </w:rPr>
              <w:t>JÚNIOR&lt;/strong&gt;&lt;/p&gt;&lt;p style="text-align: center;"&gt;&amp;#160;&lt;/p&gt;&lt;p&gt; &lt;span style="font- size: small;"&gt;</w:t>
              <w:tab/>
              <w:t>&lt;span style="font-size: medium;"&gt;</w:t>
              <w:tab/>
              <w:t>&lt;span style="font-family:</w:t>
            </w:r>
            <w:r>
              <w:rPr>
                <w:spacing w:val="-16"/>
                <w:sz w:val="20"/>
              </w:rPr>
              <w:t> </w:t>
            </w:r>
            <w:r>
              <w:rPr>
                <w:sz w:val="20"/>
              </w:rPr>
              <w:t>&amp;quot;times new roman&amp;quot;, times;"&gt;</w:t>
              <w:tab/>
              <w:t>&lt;strong&gt;PROCESSO&lt;/strong&gt;:&amp;#160;0200491- 35.2023.8.06.0176 - AGRAVO INTERNO CÍVEL&amp;#160;&lt;/span&gt;</w:t>
              <w:tab/>
              <w:t>&lt;/span&gt;</w:t>
            </w:r>
          </w:p>
          <w:p>
            <w:pPr>
              <w:pStyle w:val="TableParagraph"/>
              <w:tabs>
                <w:tab w:pos="4623" w:val="left" w:leader="none"/>
              </w:tabs>
              <w:spacing w:line="190" w:lineRule="exact" w:before="0"/>
              <w:rPr>
                <w:sz w:val="20"/>
              </w:rPr>
            </w:pPr>
            <w:r>
              <w:rPr>
                <w:sz w:val="20"/>
              </w:rPr>
              <w:t>&lt;/span&gt;&lt;/p&gt;&lt;p&gt;  &lt;span style="font-size: small;"&gt;</w:t>
              <w:tab/>
              <w:t>&lt;span style="font-size: medium;"&gt;</w:t>
            </w:r>
          </w:p>
          <w:p>
            <w:pPr>
              <w:pStyle w:val="TableParagraph"/>
              <w:tabs>
                <w:tab w:pos="2129" w:val="left" w:leader="none"/>
                <w:tab w:pos="2438" w:val="left" w:leader="none"/>
                <w:tab w:pos="4385" w:val="left" w:leader="none"/>
                <w:tab w:pos="5798" w:val="left" w:leader="none"/>
              </w:tabs>
              <w:spacing w:line="208" w:lineRule="auto" w:before="8"/>
              <w:ind w:right="171"/>
              <w:rPr>
                <w:sz w:val="20"/>
              </w:rPr>
            </w:pPr>
            <w:r>
              <w:rPr>
                <w:sz w:val="20"/>
              </w:rPr>
              <w:t>&lt;span style="font-family: &amp;quot;times new roman&amp;quot;, times;"&gt;AGRAVANTE: BANCO BRADESCO FINANCIAMENTOS S.A.&lt;/span&gt;</w:t>
              <w:tab/>
              <w:t>&lt;/span&gt; &lt;/span&gt;&lt;/p&gt;&lt;p&gt; &lt;span style="font-size: small;"&gt;</w:t>
              <w:tab/>
              <w:t>&lt;span style="font-size: medium;"&gt;</w:t>
              <w:tab/>
              <w:t>&lt;span style="font-family: &amp;quot;times new roman&amp;quot;, times;"&gt;AGRAVADO: FRANCISCO ALEXANDRE MELO DE ARAÚJO&lt;/span&gt;</w:t>
              <w:tab/>
              <w:t>&lt;/span&gt; &lt;/span&gt;&lt;/p&gt;&lt;p&gt; &lt;span style="font-size: medium;"&gt;</w:t>
            </w:r>
          </w:p>
          <w:p>
            <w:pPr>
              <w:pStyle w:val="TableParagraph"/>
              <w:tabs>
                <w:tab w:pos="2461" w:val="left" w:leader="none"/>
                <w:tab w:pos="3317" w:val="left" w:leader="none"/>
                <w:tab w:pos="3400" w:val="left" w:leader="none"/>
                <w:tab w:pos="4262" w:val="left" w:leader="none"/>
                <w:tab w:pos="5517" w:val="left" w:leader="none"/>
                <w:tab w:pos="7570" w:val="left" w:leader="none"/>
              </w:tabs>
              <w:spacing w:line="208" w:lineRule="auto" w:before="0"/>
              <w:ind w:right="31"/>
              <w:rPr>
                <w:sz w:val="20"/>
              </w:rPr>
            </w:pPr>
            <w:r>
              <w:rPr>
                <w:sz w:val="20"/>
              </w:rPr>
              <w:t>&lt;span style="font-size: medium;"&gt;</w:t>
              <w:tab/>
              <w:tab/>
              <w:t>&lt;span style="font-family: &amp;quot;times new roman&amp;quot;, times;"&gt;</w:t>
              <w:tab/>
              <w:t>&lt;br /&gt;</w:t>
              <w:tab/>
              <w:t>&lt;/span&gt;</w:t>
              <w:tab/>
              <w:t>&lt;/span&gt; &lt;/span&gt;&lt;/p&gt;&lt;p style="line-height: 150%; margin-bottom: 0.21cm;" align="justify"&gt;  &lt;span style="font-size: medium;"&gt;</w:t>
              <w:tab/>
            </w:r>
            <w:r>
              <w:rPr>
                <w:spacing w:val="-4"/>
                <w:sz w:val="20"/>
              </w:rPr>
              <w:t>&lt;span </w:t>
            </w:r>
            <w:r>
              <w:rPr>
                <w:sz w:val="20"/>
              </w:rPr>
              <w:t>style="font-family: &amp;quot;times new roman&amp;quot;, times;"&gt;</w:t>
              <w:tab/>
              <w:t>&lt;span style="font-variant- numeric: normal; font-variant-east-asian: normal; font-variant-caps: small-caps; font- variant-alternates: normal; font-variant-position: normal; font-variant-emoji: normal;"&gt;</w:t>
            </w:r>
          </w:p>
          <w:p>
            <w:pPr>
              <w:pStyle w:val="TableParagraph"/>
              <w:tabs>
                <w:tab w:pos="3367" w:val="left" w:leader="none"/>
                <w:tab w:pos="4545" w:val="left" w:leader="none"/>
              </w:tabs>
              <w:spacing w:line="190" w:lineRule="exact" w:before="0"/>
              <w:rPr>
                <w:sz w:val="20"/>
              </w:rPr>
            </w:pPr>
            <w:r>
              <w:rPr>
                <w:sz w:val="20"/>
              </w:rPr>
              <w:t>&lt;span style="color: #000000;"&gt;</w:t>
              <w:tab/>
              <w:t>&lt;em&gt;</w:t>
              <w:tab/>
              <w:t>&lt;strong&gt;EMENTA&lt;/strong&gt;</w:t>
            </w:r>
          </w:p>
          <w:p>
            <w:pPr>
              <w:pStyle w:val="TableParagraph"/>
              <w:tabs>
                <w:tab w:pos="1051" w:val="left" w:leader="none"/>
                <w:tab w:pos="1240" w:val="left" w:leader="none"/>
                <w:tab w:pos="2107" w:val="left" w:leader="none"/>
                <w:tab w:pos="2296" w:val="left" w:leader="none"/>
                <w:tab w:pos="3163" w:val="left" w:leader="none"/>
                <w:tab w:pos="4518" w:val="left" w:leader="none"/>
                <w:tab w:pos="5185" w:val="left" w:leader="none"/>
              </w:tabs>
              <w:spacing w:line="208" w:lineRule="auto" w:before="9"/>
              <w:ind w:right="104"/>
              <w:rPr>
                <w:sz w:val="20"/>
              </w:rPr>
            </w:pPr>
            <w:r>
              <w:rPr>
                <w:sz w:val="20"/>
              </w:rPr>
              <w:t>&lt;/em&gt;</w:t>
              <w:tab/>
              <w:t>&lt;/span&gt;</w:t>
              <w:tab/>
              <w:t>&lt;/span&gt;</w:t>
              <w:tab/>
              <w:t>&lt;span style="font-variant-numeric: normal; </w:t>
            </w:r>
            <w:r>
              <w:rPr>
                <w:spacing w:val="-2"/>
                <w:sz w:val="20"/>
              </w:rPr>
              <w:t>font-variant- </w:t>
            </w:r>
            <w:r>
              <w:rPr>
                <w:sz w:val="20"/>
              </w:rPr>
              <w:t>east-asian: normal; font-variant-caps: small-caps; font-variant-alternates: normal; font- variant-position: normal; font-variant-emoji: normal;"&gt;</w:t>
              <w:tab/>
              <w:t>&lt;span style="color: #000000;"&gt;: D&lt;/span&gt;</w:t>
              <w:tab/>
              <w:tab/>
              <w:t>&lt;/span&gt;</w:t>
              <w:tab/>
              <w:tab/>
              <w:t>&lt;span style="font-variant-numeric: normal; font-variant-east- asian: normal; font-variant-caps: small-caps; font-variant-alternates: normal; font-variant- position: normal; font-variant-emoji: normal;"&gt;</w:t>
              <w:tab/>
              <w:t>&lt;span style="color: #000000;"&gt;ireito Processual Civil. Agravo interno. Ação de Busca e Apreensão. Decisão monocrática que não conheceu do recurso do banco agravante. Agravo que não impugna os fundamentos da decisão unipessoal e traz tese não suscitada oportunamente. Ofensa ao princípio da dialeticidade. inovação recursal. Recurso não conhecido. Decisão Mantida.&lt;/span&gt;</w:t>
            </w:r>
          </w:p>
          <w:p>
            <w:pPr>
              <w:pStyle w:val="TableParagraph"/>
              <w:tabs>
                <w:tab w:pos="985" w:val="left" w:leader="none"/>
                <w:tab w:pos="1216" w:val="left" w:leader="none"/>
                <w:tab w:pos="1439" w:val="left" w:leader="none"/>
                <w:tab w:pos="2773" w:val="left" w:leader="none"/>
                <w:tab w:pos="3016" w:val="left" w:leader="none"/>
                <w:tab w:pos="3551" w:val="left" w:leader="none"/>
                <w:tab w:pos="3895" w:val="left" w:leader="none"/>
                <w:tab w:pos="4186" w:val="left" w:leader="none"/>
                <w:tab w:pos="4295" w:val="left" w:leader="none"/>
                <w:tab w:pos="4607" w:val="left" w:leader="none"/>
                <w:tab w:pos="5418" w:val="left" w:leader="none"/>
                <w:tab w:pos="5552" w:val="left" w:leader="none"/>
                <w:tab w:pos="7367" w:val="left" w:leader="none"/>
              </w:tabs>
              <w:spacing w:line="208" w:lineRule="auto" w:before="0"/>
              <w:ind w:right="107"/>
              <w:rPr>
                <w:sz w:val="20"/>
              </w:rPr>
            </w:pPr>
            <w:r>
              <w:rPr>
                <w:sz w:val="20"/>
              </w:rPr>
              <w:t>&lt;/span&gt;</w:t>
              <w:tab/>
              <w:t>&lt;/span&gt; &lt;/span&gt;&lt;/p&gt;&lt;p style="line-height: 150%; margin-bottom: 0.21cm;" align="justify"&gt; &lt;span style="font-variant-numeric: normal; font-variant-east-asian: </w:t>
            </w:r>
            <w:r>
              <w:rPr>
                <w:spacing w:val="-3"/>
                <w:sz w:val="20"/>
              </w:rPr>
              <w:t>normal; </w:t>
            </w:r>
            <w:r>
              <w:rPr>
                <w:sz w:val="20"/>
              </w:rPr>
              <w:t>font-variant-caps: small-caps; font-variant-alternates: normal; font-variant-position: normal; font-variant-emoji: normal;"&gt;</w:t>
              <w:tab/>
              <w:t>&lt;strong&gt;</w:t>
              <w:tab/>
              <w:t>&lt;span style="font-size: medium;"&gt;</w:t>
              <w:tab/>
              <w:t>&lt;span style="font-size: medium;"&gt;</w:t>
              <w:tab/>
              <w:tab/>
              <w:t>&lt;span style="font-family: &amp;quot;times new roman&amp;quot;, times;"&gt;I. Caso em exame&lt;/span&gt;</w:t>
              <w:tab/>
              <w:t>&lt;/span&gt;</w:t>
              <w:tab/>
              <w:tab/>
              <w:t>&lt;/span&gt;</w:t>
              <w:tab/>
              <w:tab/>
              <w:t>&lt;/strong&gt; &lt;/span&gt;&lt;/p&gt;&lt;p style="line-height: 150%; margin-bottom: 0.21cm;" align="justify"&gt; &lt;span style="font-size: medium;"&gt;</w:t>
              <w:tab/>
              <w:t>&lt;span style="font-family: &amp;quot;times new roman&amp;quot;, times;"&gt;1. Cuida-se de Agravo Interno contra decisão monocrática da Relatoria anterior que não conheceu de apelação, por ausência de impugnação específica aos fundamentos da sentença, em afronta ao princípio da dialeticidade recursal</w:t>
              <w:tab/>
              <w:t>&lt;span style="color: #000000;"&gt;.&lt;/span&gt;&lt;/span&gt; &lt;/span&gt;&lt;/p&gt;&lt;p style="line-height: 150%; margin-bottom: 0.21cm;" align="justify"&gt; &lt;span style="font-variant-numeric: normal; font-variant-east- asian: normal; font-variant-caps: small-caps; font-variant-alternates: normal; font-variant- position: normal; font-variant-emoji: normal;"&gt;</w:t>
              <w:tab/>
              <w:tab/>
              <w:t>&lt;strong&gt;</w:t>
              <w:tab/>
              <w:t>&lt;span style="font-size: medium;"&gt;</w:t>
              <w:tab/>
              <w:tab/>
              <w:t>&lt;span style="font-family: &amp;quot;times new roman&amp;quot;, times;"&gt;II.</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130" w:val="left" w:leader="none"/>
                <w:tab w:pos="4075" w:val="left" w:leader="none"/>
                <w:tab w:pos="7292" w:val="left" w:leader="none"/>
              </w:tabs>
              <w:spacing w:line="208" w:lineRule="auto" w:before="26"/>
              <w:ind w:right="136"/>
              <w:rPr>
                <w:sz w:val="20"/>
              </w:rPr>
            </w:pPr>
            <w:r>
              <w:rPr>
                <w:sz w:val="20"/>
              </w:rPr>
              <w:t>Questão em discussão&lt;/span&gt;</w:t>
              <w:tab/>
              <w:t>&lt;/span&gt;</w:t>
              <w:tab/>
              <w:t>&lt;/strong&gt; &lt;/span&gt;&lt;/p&gt;&lt;p style="line-height: 150%; margin-bottom: 0cm;" align="justify"&gt;  &lt;span style="font-size: medium;"&gt;</w:t>
              <w:tab/>
              <w:t>&lt;span style="font-family: &amp;quot;times new roman&amp;quot;, times;"&gt;2. Há duas questões em discussão: (I) a adequação da decisão monocrática, uma vez que a apelação interposta pelo agravante não atendeu ao princípio da dialeticidade recursal; e (II) a possibilidade </w:t>
            </w:r>
            <w:r>
              <w:rPr>
                <w:spacing w:val="-7"/>
                <w:sz w:val="20"/>
              </w:rPr>
              <w:t>de </w:t>
            </w:r>
            <w:r>
              <w:rPr>
                <w:sz w:val="20"/>
              </w:rPr>
              <w:t>apreciação da tese relativa à ausência de determinação de emenda à inicial para comprovação da mora, diante da vedação à inovação em sede recursal.&lt;/span&gt;</w:t>
            </w:r>
          </w:p>
          <w:p>
            <w:pPr>
              <w:pStyle w:val="TableParagraph"/>
              <w:tabs>
                <w:tab w:pos="1116" w:val="left" w:leader="none"/>
                <w:tab w:pos="2239" w:val="left" w:leader="none"/>
                <w:tab w:pos="5711" w:val="left" w:leader="none"/>
                <w:tab w:pos="6486" w:val="left" w:leader="none"/>
              </w:tabs>
              <w:spacing w:line="208" w:lineRule="auto" w:before="0"/>
              <w:ind w:right="76"/>
              <w:rPr>
                <w:sz w:val="20"/>
              </w:rPr>
            </w:pPr>
            <w:r>
              <w:rPr>
                <w:sz w:val="20"/>
              </w:rPr>
              <w:t>&lt;/span&gt;&lt;/p&gt;&lt;p style="line-height: 150%; margin-bottom: 0cm;" align="justify"&gt; &lt;span style="font-variant-numeric: normal; font-variant-east-asian: normal; font-variant-caps: small-caps; font-variant-alternates: normal; font-variant-position: normal; font-variant-emoji: normal;"&gt;</w:t>
              <w:tab/>
              <w:t>&lt;strong&gt;</w:t>
              <w:tab/>
              <w:t>&lt;span style="font-size: medium;"&gt;</w:t>
              <w:tab/>
              <w:t>&lt;span style="font-family: &amp;quot;times new roman&amp;quot;, times;"&gt;III. Razões de decidir&lt;/span&gt;</w:t>
              <w:tab/>
              <w:t>&lt;/span&gt;</w:t>
            </w:r>
          </w:p>
          <w:p>
            <w:pPr>
              <w:pStyle w:val="TableParagraph"/>
              <w:tabs>
                <w:tab w:pos="1439" w:val="left" w:leader="none"/>
                <w:tab w:pos="2662" w:val="left" w:leader="none"/>
                <w:tab w:pos="3552" w:val="left" w:leader="none"/>
                <w:tab w:pos="3608" w:val="left" w:leader="none"/>
                <w:tab w:pos="3753" w:val="left" w:leader="none"/>
                <w:tab w:pos="4295" w:val="left" w:leader="none"/>
                <w:tab w:pos="4709" w:val="left" w:leader="none"/>
                <w:tab w:pos="5418" w:val="left" w:leader="none"/>
                <w:tab w:pos="5547" w:val="left" w:leader="none"/>
                <w:tab w:pos="6269" w:val="left" w:leader="none"/>
                <w:tab w:pos="6947" w:val="left" w:leader="none"/>
                <w:tab w:pos="7570" w:val="left" w:leader="none"/>
              </w:tabs>
              <w:spacing w:line="208" w:lineRule="auto" w:before="0"/>
              <w:ind w:right="31"/>
              <w:rPr>
                <w:sz w:val="20"/>
              </w:rPr>
            </w:pPr>
            <w:r>
              <w:rPr>
                <w:sz w:val="20"/>
              </w:rPr>
              <w:t>&lt;/strong&gt; &lt;/span&gt;&lt;/p&gt;&lt;p class="western" style="line-height: 150%; margin-bottom: 0.21cm;" align="justify"&gt;  &lt;span style="font-size: medium;"&gt;</w:t>
              <w:tab/>
              <w:tab/>
              <w:t>&lt;span style="font-family: &amp;quot;times new roman&amp;quot;, times;"&gt;3. Configura inovação recursal o pedido de cassação da sentença que extinguiu o feito sem oportunizar ao banco a comprovação da regularidade da mora, considerando não ter sido suscitado anteriormente à decisão monocrática.&lt;/span&gt; &lt;/span&gt;&lt;/p&gt;&lt;p class="western" style="line-height: 150%; margin- bottom: 0.21cm;" align="justify"&gt;  &lt;span style="font-size: medium;"&gt;</w:t>
              <w:tab/>
              <w:t>&lt;span style="font- family: &amp;quot;times new roman&amp;quot;, times;"&gt;4. O agravo interno deve se limitar às matérias discutidas na decisão monocrática, não podendo ser utilizado para introduzir tese inédita, ainda que de ordem pública, sob pena de violação ao contraditório e à ampla defesa.&lt;/span&gt; &lt;/span&gt;&lt;/p&gt;&lt;p class="western" style="line-height: 150%; margin-bottom: 0.21cm;" align="justify"&gt; &lt;span style="font-variant-numeric: normal; font-variant-east- asian: normal; font-variant-caps: small-caps; font-variant-alternates: normal; font-variant- position: normal; font-variant-emoji: normal;"&gt;</w:t>
              <w:tab/>
              <w:t>&lt;strong&gt;</w:t>
              <w:tab/>
              <w:t>&lt;span style="font-size: medium;"&gt;</w:t>
              <w:tab/>
              <w:t>&lt;span style="font-family: &amp;quot;times new roman&amp;quot;, times;"&gt;IV. Dispositivo e tese&lt;/span&gt;</w:t>
              <w:tab/>
              <w:t>&lt;/span&gt;</w:t>
              <w:tab/>
              <w:tab/>
              <w:t>&lt;/strong&gt;  &lt;/span&gt;&lt;/p&gt;&lt;p style="line-height: 150%; margin-bottom: 0.21cm;" align="justify"&gt;  &lt;span style="font-size: medium;"&gt;</w:t>
              <w:tab/>
            </w:r>
            <w:r>
              <w:rPr>
                <w:spacing w:val="-4"/>
                <w:sz w:val="20"/>
              </w:rPr>
              <w:t>&lt;span </w:t>
            </w:r>
            <w:r>
              <w:rPr>
                <w:sz w:val="20"/>
              </w:rPr>
              <w:t>style="font-family: &amp;quot;times new roman&amp;quot;, times;"&gt;5. Recurso não conhecido.&lt;/span&gt; &lt;/span&gt;&lt;/p&gt;&lt;p style="line-height: 150%; margin-bottom: 0.21cm;" align="justify"&gt;  &lt;span style="font-size: medium;"&gt;</w:t>
              <w:tab/>
              <w:t>&lt;span style="font-family: &amp;quot;times new roman&amp;quot;, times;"&gt;</w:t>
              <w:tab/>
              <w:t>&lt;em&gt;Tese de julgamento&lt;/em&gt;: “A nulidade da sentença, por ausência de oportunidade ao banco para comprovar a mora, quando suscitada apenas em sede de agravo interno, caracteriza inovação recursal e não pode ser conhecida.”.&lt;/span&gt; &lt;/span&gt;&lt;/p&gt;&lt;p style="line-height: 150%; margin-bottom: 0.21cm;" align="justify"&gt;  &lt;span style="font-size: medium;"&gt;</w:t>
              <w:tab/>
              <w:t>&lt;span style="font-family: &amp;quot;times new roman&amp;quot;, times;"&gt;</w:t>
            </w:r>
            <w:r>
              <w:rPr>
                <w:sz w:val="20"/>
                <w:u w:val="single"/>
              </w:rPr>
              <w:t> </w:t>
              <w:tab/>
              <w:tab/>
            </w:r>
            <w:r>
              <w:rPr>
                <w:sz w:val="20"/>
              </w:rPr>
              <w:t>&lt;/span&gt; &lt;/span&gt;&lt;/p&gt;&lt;p style="line-height: 150%; margin-bottom: 0.21cm;" align="justify"&gt;  &lt;span style="font-size: medium;"&gt;</w:t>
              <w:tab/>
              <w:t>&lt;span style="font-family: &amp;quot;times new roman&amp;quot;, times;"&gt;ACÓRDÃO: Vistos, relatados e discutidos estes autos, acorda a Quinta Câmara de Direito Privado Tribunal de Justiça do Estado do Ceará, por unanimidade em</w:t>
              <w:tab/>
              <w:tab/>
              <w:tab/>
              <w:t>&lt;strong&gt;NÃO CONHECER DO RECURSO&lt;/strong&gt;, nos termos do voto do relator, parte integrante deste.&lt;/span&gt;</w:t>
            </w:r>
          </w:p>
          <w:p>
            <w:pPr>
              <w:pStyle w:val="TableParagraph"/>
              <w:tabs>
                <w:tab w:pos="1094" w:val="left" w:leader="none"/>
                <w:tab w:pos="1839" w:val="left" w:leader="none"/>
                <w:tab w:pos="2682" w:val="left" w:leader="none"/>
                <w:tab w:pos="6947" w:val="left" w:leader="none"/>
              </w:tabs>
              <w:spacing w:line="208" w:lineRule="auto" w:before="0"/>
              <w:ind w:right="56"/>
              <w:rPr>
                <w:sz w:val="20"/>
              </w:rPr>
            </w:pPr>
            <w:r>
              <w:rPr>
                <w:sz w:val="20"/>
              </w:rPr>
              <w:t>&lt;/span&gt;&lt;/p&gt;&lt;p style="line-height: 150%; margin-bottom: 0.21cm;" align="justify"&gt; &lt;span style="font-size: medium;"&gt;</w:t>
              <w:tab/>
              <w:t>&lt;span style="font-family: &amp;quot;times new roman&amp;quot;, times;"&gt;</w:t>
              <w:tab/>
              <w:t>&lt;br /&gt;</w:t>
              <w:tab/>
              <w:t>&lt;/span&gt; &lt;/span&gt;&lt;/p&gt;&lt;p class="western" style="line-height: 150%; margin-bottom: 0.21cm;" align="justify"&gt;  &lt;span style="font-size: medium;"&gt;</w:t>
              <w:tab/>
              <w:t>&lt;span style="font-family: &amp;quot;times new roman&amp;quot;, times;"&gt;Fortaleza, data registrada no sistema.&lt;/span&gt; &lt;/span&gt;&lt;/p&gt;&lt;p class="western" style="line-height: 150%; margin-bottom: 0.21cm; page-break-after: avoid;" align="justify"&gt; &lt;span style="font-size: medium;"&gt;</w:t>
            </w:r>
          </w:p>
          <w:p>
            <w:pPr>
              <w:pStyle w:val="TableParagraph"/>
              <w:tabs>
                <w:tab w:pos="6123" w:val="left" w:leader="none"/>
                <w:tab w:pos="6979" w:val="left" w:leader="none"/>
              </w:tabs>
              <w:spacing w:line="190" w:lineRule="exact" w:before="0"/>
              <w:rPr>
                <w:sz w:val="20"/>
              </w:rPr>
            </w:pPr>
            <w:r>
              <w:rPr>
                <w:sz w:val="20"/>
              </w:rPr>
              <w:t>&lt;span style="font-family: &amp;quot;times new roman&amp;quot;, times;"&gt;</w:t>
              <w:tab/>
              <w:t>&lt;br /&gt;</w:t>
              <w:tab/>
              <w:t>&lt;br /&gt;</w:t>
            </w:r>
          </w:p>
          <w:p>
            <w:pPr>
              <w:pStyle w:val="TableParagraph"/>
              <w:spacing w:line="200" w:lineRule="exact" w:before="0"/>
              <w:rPr>
                <w:sz w:val="20"/>
              </w:rPr>
            </w:pPr>
            <w:r>
              <w:rPr>
                <w:sz w:val="20"/>
              </w:rPr>
              <w:t>&lt;/span&gt; &lt;/span&gt;&lt;/p&gt;&lt;p style="line-height: 150%; margin-bottom: 0.21cm;" align="center"&gt;</w:t>
            </w:r>
          </w:p>
          <w:p>
            <w:pPr>
              <w:pStyle w:val="TableParagraph"/>
              <w:tabs>
                <w:tab w:pos="3288" w:val="left" w:leader="none"/>
                <w:tab w:pos="4411" w:val="left" w:leader="none"/>
                <w:tab w:pos="6307" w:val="left" w:leader="none"/>
              </w:tabs>
              <w:spacing w:line="208" w:lineRule="auto" w:before="6"/>
              <w:ind w:right="23"/>
              <w:rPr>
                <w:sz w:val="20"/>
              </w:rPr>
            </w:pPr>
            <w:r>
              <w:rPr>
                <w:sz w:val="20"/>
              </w:rPr>
              <w:t>&lt;span style="font-size: medium;"&gt;</w:t>
              <w:tab/>
              <w:t>&lt;strong&gt;</w:t>
              <w:tab/>
              <w:t>&lt;span style="font-family: &amp;quot;times </w:t>
            </w:r>
            <w:r>
              <w:rPr>
                <w:spacing w:val="-6"/>
                <w:sz w:val="20"/>
              </w:rPr>
              <w:t>new </w:t>
            </w:r>
            <w:r>
              <w:rPr>
                <w:sz w:val="20"/>
              </w:rPr>
              <w:t>roman&amp;quot;, times;"&gt;MARIA REGINA OLIVEIRA CÂMARA&lt;/span&gt;</w:t>
              <w:tab/>
              <w:t>&lt;/strong&gt;</w:t>
            </w:r>
          </w:p>
          <w:p>
            <w:pPr>
              <w:pStyle w:val="TableParagraph"/>
              <w:tabs>
                <w:tab w:pos="1216" w:val="left" w:leader="none"/>
                <w:tab w:pos="2682" w:val="left" w:leader="none"/>
                <w:tab w:pos="7300" w:val="left" w:leader="none"/>
              </w:tabs>
              <w:spacing w:line="208" w:lineRule="auto" w:before="0"/>
              <w:ind w:right="137"/>
              <w:rPr>
                <w:sz w:val="20"/>
              </w:rPr>
            </w:pPr>
            <w:r>
              <w:rPr>
                <w:sz w:val="20"/>
              </w:rPr>
              <w:t>&lt;/span&gt;&lt;/p&gt;&lt;p style="line-height: 150%; margin-bottom: 0.21cm;" align="center"&gt; &lt;span style="font-size: medium;"&gt;</w:t>
              <w:tab/>
              <w:t>&lt;span style="font-family: &amp;quot;times new roman&amp;quot;, times;"&gt;Desembargadora Presidente do Órgão Julgador&lt;/span&gt; &lt;/span&gt;&lt;/p&gt;&lt;p style="line-height: 150%; margin-bottom: 0.21cm;" align="center"&gt; &lt;span style="font-size: medium;"&gt;</w:t>
              <w:tab/>
              <w:t>&lt;span style="font-family: &amp;quot;times new roman&amp;quot;, times;"&gt;</w:t>
              <w:tab/>
              <w:t>&lt;br /&gt;</w:t>
            </w:r>
          </w:p>
          <w:p>
            <w:pPr>
              <w:pStyle w:val="TableParagraph"/>
              <w:tabs>
                <w:tab w:pos="784" w:val="left" w:leader="none"/>
                <w:tab w:pos="1216" w:val="left" w:leader="none"/>
                <w:tab w:pos="1729" w:val="left" w:leader="none"/>
                <w:tab w:pos="2516" w:val="left" w:leader="none"/>
                <w:tab w:pos="5592" w:val="left" w:leader="none"/>
                <w:tab w:pos="5876" w:val="left" w:leader="none"/>
                <w:tab w:pos="7300" w:val="left" w:leader="none"/>
              </w:tabs>
              <w:spacing w:line="208" w:lineRule="auto" w:before="0"/>
              <w:ind w:right="92"/>
              <w:rPr>
                <w:sz w:val="20"/>
              </w:rPr>
            </w:pPr>
            <w:r>
              <w:rPr>
                <w:sz w:val="20"/>
              </w:rPr>
              <w:t>&lt;br /&gt;</w:t>
              <w:tab/>
              <w:t>&lt;/span&gt; &lt;/span&gt;&lt;/p&gt;&lt;p style="line-height: 150%; margin-bottom: 0.21cm;" align="center"&gt;  &lt;strong&gt;</w:t>
              <w:tab/>
              <w:t>&lt;span style="font-size: medium;"&gt;</w:t>
              <w:tab/>
              <w:tab/>
              <w:t>&lt;span style="font-family: &amp;quot;times new roman&amp;quot;, times;"&gt;FRANCISCO LUCÍDIO DE QUEIROZ JÚNIOR&lt;/span&gt;</w:t>
              <w:tab/>
              <w:t>&lt;/span&gt; &lt;/strong&gt;&lt;/p&gt;&lt;p style="line-height: 150%; margin-bottom: 0.21cm;" align="center"&gt;  &lt;span style="font-size: medium;"&gt;</w:t>
              <w:tab/>
              <w:t>&lt;span style="font-family: &amp;quot;times new roman&amp;quot;, times;"&gt;Desembargador Relator&lt;/span&gt; &lt;/span&gt;&lt;/p&gt;&lt;p style="line-height: 150%; margin-bottom: 0.21cm;" align="center"&gt; &lt;span style="font-size: medium;"&gt;</w:t>
              <w:tab/>
              <w:t>&lt;span style="font-family: &amp;quot;times new roman&amp;quot;, times;"&gt;</w:t>
              <w:tab/>
              <w:t>&lt;br /&gt;</w:t>
            </w:r>
          </w:p>
          <w:p>
            <w:pPr>
              <w:pStyle w:val="TableParagraph"/>
              <w:tabs>
                <w:tab w:pos="4754" w:val="left" w:leader="none"/>
              </w:tabs>
              <w:spacing w:line="208" w:lineRule="auto" w:before="0"/>
              <w:ind w:right="104"/>
              <w:rPr>
                <w:sz w:val="20"/>
              </w:rPr>
            </w:pPr>
            <w:r>
              <w:rPr>
                <w:sz w:val="20"/>
              </w:rPr>
              <w:t>&lt;/span&gt; &lt;/span&gt;&lt;/p&gt;&lt;p style="line-height: 150%; margin-bottom: 0.21cm;" align="center"&gt;&amp;#160;&lt;/p&gt;&lt;p style="line-height: 150%; margin-bottom: 0.21cm;" align="center"&gt;  &lt;span style="font-size: medium;"&gt;</w:t>
              <w:tab/>
              <w:t>&lt;span style="font-family:</w:t>
            </w:r>
            <w:r>
              <w:rPr>
                <w:spacing w:val="-16"/>
                <w:sz w:val="20"/>
              </w:rPr>
              <w:t> </w:t>
            </w:r>
            <w:r>
              <w:rPr>
                <w:sz w:val="20"/>
              </w:rPr>
              <w:t>&amp;quot;times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73" w:val="left" w:leader="none"/>
                <w:tab w:pos="3518" w:val="left" w:leader="none"/>
                <w:tab w:pos="6992" w:val="left" w:leader="none"/>
              </w:tabs>
              <w:spacing w:line="208" w:lineRule="auto" w:before="26"/>
              <w:ind w:right="193"/>
              <w:rPr>
                <w:sz w:val="20"/>
              </w:rPr>
            </w:pPr>
            <w:r>
              <w:rPr>
                <w:sz w:val="20"/>
              </w:rPr>
              <w:t>new roman&amp;quot;, times;"&gt;</w:t>
              <w:tab/>
              <w:t>&lt;br /&gt;</w:t>
              <w:tab/>
              <w:t>&lt;/span&gt; &lt;/span&gt;&lt;/p&gt;&lt;p style="line-height: </w:t>
            </w:r>
            <w:r>
              <w:rPr>
                <w:spacing w:val="-4"/>
                <w:sz w:val="20"/>
              </w:rPr>
              <w:t>150%; </w:t>
            </w:r>
            <w:r>
              <w:rPr>
                <w:sz w:val="20"/>
              </w:rPr>
              <w:t>margin-bottom: 0.21cm;" align="center"&gt;  &lt;span style="font-size: medium;"&gt;</w:t>
              <w:tab/>
              <w:t>&lt;strong&gt;</w:t>
            </w:r>
          </w:p>
          <w:p>
            <w:pPr>
              <w:pStyle w:val="TableParagraph"/>
              <w:spacing w:line="190" w:lineRule="exact" w:before="0"/>
              <w:rPr>
                <w:sz w:val="20"/>
              </w:rPr>
            </w:pPr>
            <w:r>
              <w:rPr>
                <w:sz w:val="20"/>
              </w:rPr>
              <w:t>&lt;span style="font-family: &amp;quot;times new roman&amp;quot;, times;"&gt;RELATÓRIO&lt;/span&gt;</w:t>
            </w:r>
          </w:p>
          <w:p>
            <w:pPr>
              <w:pStyle w:val="TableParagraph"/>
              <w:tabs>
                <w:tab w:pos="1729" w:val="left" w:leader="none"/>
                <w:tab w:pos="2730" w:val="left" w:leader="none"/>
                <w:tab w:pos="3085" w:val="left" w:leader="none"/>
                <w:tab w:pos="5406" w:val="left" w:leader="none"/>
                <w:tab w:pos="6190" w:val="left" w:leader="none"/>
                <w:tab w:pos="6947" w:val="left" w:leader="none"/>
              </w:tabs>
              <w:spacing w:line="208" w:lineRule="auto" w:before="10"/>
              <w:ind w:right="539"/>
              <w:rPr>
                <w:sz w:val="20"/>
              </w:rPr>
            </w:pPr>
            <w:r>
              <w:rPr>
                <w:sz w:val="20"/>
              </w:rPr>
              <w:t>&lt;/strong&gt; &lt;/span&gt;&lt;/p&gt;&lt;p class="western" style="line-height: 150%; text-indent: </w:t>
            </w:r>
            <w:r>
              <w:rPr>
                <w:spacing w:val="-3"/>
                <w:sz w:val="20"/>
              </w:rPr>
              <w:t>2cm; </w:t>
            </w:r>
            <w:r>
              <w:rPr>
                <w:sz w:val="20"/>
              </w:rPr>
              <w:t>margin-bottom: 0.21cm;" align="justify"&gt;  &lt;span style="font-size: medium;"&gt;</w:t>
              <w:tab/>
              <w:t>&lt;span style="font-family: &amp;quot;times new roman&amp;quot;, times;"&gt;</w:t>
              <w:tab/>
              <w:t>&lt;span style="color: #000000;"&gt;Trata-se de&lt;/span&gt;</w:t>
              <w:tab/>
              <w:t>&lt;span style="color: #000000;"&gt;</w:t>
              <w:tab/>
            </w:r>
            <w:r>
              <w:rPr>
                <w:spacing w:val="-1"/>
                <w:sz w:val="20"/>
              </w:rPr>
              <w:t>&lt;strong&gt;Agravo </w:t>
            </w:r>
            <w:r>
              <w:rPr>
                <w:sz w:val="20"/>
              </w:rPr>
              <w:t>Interno&lt;/strong&gt;</w:t>
              <w:tab/>
              <w:t>&lt;/span&gt;</w:t>
              <w:tab/>
              <w:t>&lt;span style="color: #000000;"&gt;interposto por&lt;/span&gt;</w:t>
            </w:r>
          </w:p>
          <w:p>
            <w:pPr>
              <w:pStyle w:val="TableParagraph"/>
              <w:tabs>
                <w:tab w:pos="3144" w:val="left" w:leader="none"/>
              </w:tabs>
              <w:spacing w:line="190" w:lineRule="exact" w:before="0"/>
              <w:rPr>
                <w:sz w:val="20"/>
              </w:rPr>
            </w:pPr>
            <w:r>
              <w:rPr>
                <w:sz w:val="20"/>
              </w:rPr>
              <w:t>&lt;span style="color: #000000;"&gt;</w:t>
              <w:tab/>
              <w:t>&lt;strong&gt;Banco Bradesco Financiamento&lt;/strong&gt;</w:t>
            </w:r>
          </w:p>
          <w:p>
            <w:pPr>
              <w:pStyle w:val="TableParagraph"/>
              <w:tabs>
                <w:tab w:pos="1040" w:val="left" w:leader="none"/>
                <w:tab w:pos="1562" w:val="left" w:leader="none"/>
                <w:tab w:pos="1696" w:val="left" w:leader="none"/>
                <w:tab w:pos="2163" w:val="left" w:leader="none"/>
                <w:tab w:pos="2297" w:val="left" w:leader="none"/>
                <w:tab w:pos="2507" w:val="left" w:leader="none"/>
                <w:tab w:pos="2538" w:val="left" w:leader="none"/>
                <w:tab w:pos="2641" w:val="left" w:leader="none"/>
                <w:tab w:pos="5402" w:val="left" w:leader="none"/>
                <w:tab w:pos="6258" w:val="left" w:leader="none"/>
                <w:tab w:pos="6669" w:val="left" w:leader="none"/>
                <w:tab w:pos="6909" w:val="left" w:leader="none"/>
                <w:tab w:pos="6987" w:val="left" w:leader="none"/>
                <w:tab w:pos="7381" w:val="left" w:leader="none"/>
              </w:tabs>
              <w:spacing w:line="208" w:lineRule="auto" w:before="9"/>
              <w:ind w:right="221"/>
              <w:rPr>
                <w:sz w:val="20"/>
              </w:rPr>
            </w:pPr>
            <w:r>
              <w:rPr>
                <w:sz w:val="20"/>
              </w:rPr>
              <w:t>&lt;/span&gt;</w:t>
              <w:tab/>
              <w:t>&lt;strong&gt;</w:t>
              <w:tab/>
              <w:t>&lt;span style="color: #000000;"&gt;S/A,&lt;/span&gt;</w:t>
              <w:tab/>
              <w:t>&lt;/strong&gt;</w:t>
              <w:tab/>
            </w:r>
            <w:r>
              <w:rPr>
                <w:spacing w:val="-4"/>
                <w:sz w:val="20"/>
              </w:rPr>
              <w:t>&lt;span </w:t>
            </w:r>
            <w:r>
              <w:rPr>
                <w:sz w:val="20"/>
              </w:rPr>
              <w:t>style="color: #000000;"&gt;com razões à id. 23684808, visando a reforma de decisão monocrática (id. 23684514) proferida pela Relatoria que me antecedeu, quando da apreciação de&lt;/span&gt;</w:t>
              <w:tab/>
              <w:tab/>
              <w:t>&lt;span style="color: #000000;"&gt;</w:t>
              <w:tab/>
              <w:t>&lt;strong&gt;Apelação Cível&lt;/strong&gt;</w:t>
              <w:tab/>
              <w:t>&lt;/span&gt;</w:t>
              <w:tab/>
              <w:tab/>
              <w:t>&lt;span style="color: #000000;"&gt;, em&lt;/span&gt;</w:t>
              <w:tab/>
              <w:t>&lt;span style="color: #000000;"&gt;</w:t>
              <w:tab/>
              <w:tab/>
              <w:tab/>
              <w:t>&lt;strong&gt;ação de busca e apreensão com pedido liminar&lt;/strong&gt;</w:t>
              <w:tab/>
              <w:tab/>
              <w:t>&lt;/span&gt;</w:t>
              <w:tab/>
              <w:tab/>
              <w:tab/>
              <w:t>&lt;span style="color: #000000;"&gt;, de nº&lt;/span&gt;</w:t>
              <w:tab/>
              <w:tab/>
              <w:t>&lt;span style="color: #000000;"&gt;</w:t>
              <w:tab/>
              <w:tab/>
              <w:tab/>
              <w:t>&lt;strong&gt;0200491-35.2023.8.06.0176&lt;/strong&gt;</w:t>
              <w:tab/>
              <w:t>&lt;/span&gt;</w:t>
            </w:r>
          </w:p>
          <w:p>
            <w:pPr>
              <w:pStyle w:val="TableParagraph"/>
              <w:tabs>
                <w:tab w:pos="4709" w:val="left" w:leader="none"/>
                <w:tab w:pos="7175" w:val="left" w:leader="none"/>
              </w:tabs>
              <w:spacing w:line="208" w:lineRule="auto" w:before="0"/>
              <w:ind w:right="148"/>
              <w:rPr>
                <w:sz w:val="20"/>
              </w:rPr>
            </w:pPr>
            <w:r>
              <w:rPr>
                <w:sz w:val="20"/>
              </w:rPr>
              <w:t>&lt;span style="color: #000000;"&gt;, decisão que não conheceu de seu recurso de apelação, sob o fundamento de ausência de impugnação específica aos fundamentos da sentença, em afronta ao princípio da dialeticidade recursal.&lt;/span&gt;&lt;/span&gt; &lt;/span&gt;&lt;/p&gt;&lt;p class="western" style="line-height: 150%; text-indent: 2cm; margin-bottom: 0.21cm;" align="justify"&gt;  &lt;span style="font-size: medium;"&gt;</w:t>
              <w:tab/>
              <w:t>&lt;span style="font-family: &amp;quot;times new roman&amp;quot;, times;"&gt;A seguir, colaciono trecho da Decisão impugnada,</w:t>
              <w:tab/>
              <w:t>&lt;em&gt;in verbis&lt;/em&gt;:&lt;/span&gt; &lt;/span&gt;&lt;/p&gt;&lt;p class="western" style="line-height: 150%; margin- left: 4cm; margin-bottom: 0.21cm;" align="justify"&gt; &lt;span style="font-size: medium;"&gt;</w:t>
            </w:r>
          </w:p>
          <w:p>
            <w:pPr>
              <w:pStyle w:val="TableParagraph"/>
              <w:tabs>
                <w:tab w:pos="1094" w:val="left" w:leader="none"/>
                <w:tab w:pos="2682" w:val="left" w:leader="none"/>
                <w:tab w:pos="2773" w:val="left" w:leader="none"/>
                <w:tab w:pos="4373" w:val="left" w:leader="none"/>
                <w:tab w:pos="4709" w:val="left" w:leader="none"/>
                <w:tab w:pos="5698" w:val="left" w:leader="none"/>
                <w:tab w:pos="6123" w:val="left" w:leader="none"/>
                <w:tab w:pos="7389" w:val="left" w:leader="none"/>
              </w:tabs>
              <w:spacing w:line="208" w:lineRule="auto" w:before="0"/>
              <w:ind w:right="40"/>
              <w:rPr>
                <w:sz w:val="20"/>
              </w:rPr>
            </w:pPr>
            <w:r>
              <w:rPr>
                <w:sz w:val="20"/>
              </w:rPr>
              <w:t>&lt;span style="font-family: &amp;quot;times new roman&amp;quot;, times;"&gt;</w:t>
              <w:tab/>
              <w:t>&lt;em&gt;“Assim, sem saber exatamente por que o recorrente não se conforma com a sentença proferida, não é possível ao tribunal apreciar a correção ou justiça da decisão atacada, de sorte que o não conhecimento nesses casos é a medida que se impõe.&lt;/em&gt;</w:t>
              <w:tab/>
              <w:t>&lt;/span&gt; &lt;/span&gt;&lt;/p&gt;&lt;p class="western" style="line-height: 150%; margin-left: 4cm; margin-bottom: 0.21cm;" align="justify"&gt;  &lt;span style="font-size: medium;"&gt;</w:t>
              <w:tab/>
              <w:t>&lt;span style="font-family: &amp;quot;times new roman&amp;quot;, times;"&gt;</w:t>
              <w:tab/>
              <w:tab/>
              <w:t>&lt;em&gt;(...)&lt;/em&gt;</w:t>
              <w:tab/>
              <w:t>&lt;/span&gt; &lt;/span&gt;&lt;/p&gt;&lt;p class="western" style="line-height: 150%; margin-left: 4cm; margin-bottom: 0.21cm;" align="justify"&gt; &lt;span style="font-size: medium;"&gt;</w:t>
              <w:tab/>
              <w:t>&lt;span style="font-family: &amp;quot;times new roman&amp;quot;, times;"&gt;</w:t>
              <w:tab/>
              <w:t>&lt;em&gt;Diante do exposto, com fulcro no art. 932, III, do CPC, por violação ao princípio da dialeticidade, não conheço do presente recurso de apelação.”&lt;/em&gt;</w:t>
              <w:tab/>
            </w:r>
            <w:r>
              <w:rPr>
                <w:spacing w:val="-3"/>
                <w:sz w:val="20"/>
              </w:rPr>
              <w:t>&lt;/span&gt;</w:t>
            </w:r>
          </w:p>
          <w:p>
            <w:pPr>
              <w:pStyle w:val="TableParagraph"/>
              <w:spacing w:line="208" w:lineRule="auto" w:before="0"/>
              <w:ind w:right="83"/>
              <w:rPr>
                <w:sz w:val="20"/>
              </w:rPr>
            </w:pPr>
            <w:r>
              <w:rPr>
                <w:sz w:val="20"/>
              </w:rPr>
              <w:t>&lt;/span&gt;&lt;/p&gt;&lt;p class="western" style="line-height: 150%; text-indent: 2cm; margin-bottom: 0.21cm;" align="justify"&gt;&amp;#160;&lt;/p&gt;&lt;p class="western" style="line-height: 150%; text- indent: 2cm; margin-bottom: 0.21cm;" align="justify"&gt; &lt;span style="font-size: medium;"&gt;</w:t>
            </w:r>
          </w:p>
          <w:p>
            <w:pPr>
              <w:pStyle w:val="TableParagraph"/>
              <w:tabs>
                <w:tab w:pos="1216" w:val="left" w:leader="none"/>
                <w:tab w:pos="1395" w:val="left" w:leader="none"/>
                <w:tab w:pos="1683" w:val="left" w:leader="none"/>
                <w:tab w:pos="2608" w:val="left" w:leader="none"/>
                <w:tab w:pos="3553" w:val="left" w:leader="none"/>
                <w:tab w:pos="4709" w:val="left" w:leader="none"/>
                <w:tab w:pos="5198" w:val="left" w:leader="none"/>
                <w:tab w:pos="5521" w:val="left" w:leader="none"/>
                <w:tab w:pos="5735" w:val="left" w:leader="none"/>
                <w:tab w:pos="6012" w:val="left" w:leader="none"/>
                <w:tab w:pos="7767" w:val="left" w:leader="none"/>
              </w:tabs>
              <w:spacing w:line="208" w:lineRule="auto" w:before="0"/>
              <w:ind w:right="18"/>
              <w:rPr>
                <w:sz w:val="20"/>
              </w:rPr>
            </w:pPr>
            <w:r>
              <w:rPr>
                <w:sz w:val="20"/>
              </w:rPr>
              <w:t>&lt;span style="font-family: &amp;quot;times new roman&amp;quot;, times;"&gt;</w:t>
              <w:tab/>
              <w:t>&lt;span style="color: #000000;"&gt;Em suas razões recursais à id. 23684808, a instituição financeira sustenta que a decisão monocrática merece reforma, uma vez que deixou de conhecer do recurso de apelação sob o fundamento de ausência de impugnação específica aos fundamentos da decisão recorrida.&lt;/span&gt;</w:t>
              <w:tab/>
              <w:t>&lt;span style="color: #000000;"&gt;</w:t>
              <w:tab/>
              <w:tab/>
              <w:t>&lt;strong&gt;Argumenta que, ao contrário do exposto, a apelação enfrentou de forma expressa e detalhada cada um </w:t>
            </w:r>
            <w:r>
              <w:rPr>
                <w:spacing w:val="-6"/>
                <w:sz w:val="20"/>
              </w:rPr>
              <w:t>dos </w:t>
            </w:r>
            <w:r>
              <w:rPr>
                <w:sz w:val="20"/>
              </w:rPr>
              <w:t>pontos decididos&lt;/strong&gt;</w:t>
              <w:tab/>
              <w:t>&lt;/span&gt;</w:t>
              <w:tab/>
              <w:t>&lt;strong&gt;.&lt;/strong&gt;</w:t>
              <w:tab/>
              <w:t>&lt;span style="color: #000000;"&gt;</w:t>
              <w:tab/>
              <w:tab/>
              <w:t>&lt;strong&gt;Sustenta, ainda, que a sentença deve ser desconstituída, a fim de que determine a emenda da inicial para comprovação da mora, requisito que, conforme afirma, não foi observado no caso em análise.&lt;/strong&gt;</w:t>
              <w:tab/>
              <w:t>&lt;/span&gt;&lt;/span&gt; &lt;/span&gt;&lt;/p&gt;&lt;p class="western" style="line-height: 150%; text-indent: 2cm; margin-bottom: 0.21cm;" align="justify"&gt;  &lt;span style="font-size: medium;"&gt;</w:t>
              <w:tab/>
              <w:t>&lt;span style="font-family: &amp;quot;times new roman&amp;quot;, times;"&gt;Sem contrarrazões recursais em razão da ausência de triangularização processual.&lt;/span&gt; &lt;/span&gt;&lt;/p&gt;&lt;p class="western" style="line-height: 150%; text-indent: 2cm; margin-bottom: 0.21cm;" align="justify"&gt; &lt;span style="font-size: medium;"&gt;</w:t>
              <w:tab/>
              <w:t>&lt;span style="font-family: &amp;quot;times new roman&amp;quot;, times;"&gt;É o relatório.&lt;/span&gt; &lt;/span&gt;&lt;/p&gt;&lt;p class="western" style="line-height: 150%; text-indent: 2cm; margin-bottom: 0.21cm;" align="justify"&gt;&amp;#160;&lt;/p&gt;&lt;p class="western" style="line- height: 150%; text-indent: 2cm; margin-bottom: 0.21cm;" align="justify"&gt; &lt;span style="font- size: medium;"&gt;</w:t>
              <w:tab/>
              <w:t>&lt;span style="font-family: &amp;quot;times new roman&amp;quot;, times;"&gt;</w:t>
              <w:tab/>
              <w:t>&lt;br</w:t>
            </w:r>
          </w:p>
          <w:p>
            <w:pPr>
              <w:pStyle w:val="TableParagraph"/>
              <w:tabs>
                <w:tab w:pos="434" w:val="left" w:leader="none"/>
                <w:tab w:pos="5592" w:val="left" w:leader="none"/>
                <w:tab w:pos="6695" w:val="left" w:leader="none"/>
              </w:tabs>
              <w:spacing w:line="208" w:lineRule="auto" w:before="0"/>
              <w:ind w:right="406"/>
              <w:rPr>
                <w:sz w:val="20"/>
              </w:rPr>
            </w:pPr>
            <w:r>
              <w:rPr>
                <w:sz w:val="20"/>
              </w:rPr>
              <w:t>/&gt;</w:t>
              <w:tab/>
              <w:t>&lt;/span&gt; &lt;/span&gt;&lt;/p&gt;&lt;p class="western" style="line-height: 150%; margin-bottom: 0.21cm;" align="center"&gt;  &lt;span style="font-size: medium;"&gt;</w:t>
              <w:tab/>
              <w:t>&lt;strong&gt;</w:t>
              <w:tab/>
              <w:t>&lt;span style="font-family: &amp;quot;times new roman&amp;quot;, times;"&gt;VOTO&lt;/span&gt;</w:t>
              <w:tab/>
              <w:t>&lt;/strong&gt;</w:t>
            </w:r>
          </w:p>
          <w:p>
            <w:pPr>
              <w:pStyle w:val="TableParagraph"/>
              <w:tabs>
                <w:tab w:pos="1439" w:val="left" w:leader="none"/>
                <w:tab w:pos="2673" w:val="left" w:leader="none"/>
                <w:tab w:pos="4362" w:val="left" w:leader="none"/>
                <w:tab w:pos="4709" w:val="left" w:leader="none"/>
                <w:tab w:pos="5406" w:val="left" w:leader="none"/>
              </w:tabs>
              <w:spacing w:line="208" w:lineRule="auto" w:before="0"/>
              <w:ind w:right="113"/>
              <w:rPr>
                <w:sz w:val="20"/>
              </w:rPr>
            </w:pPr>
            <w:r>
              <w:rPr>
                <w:sz w:val="20"/>
              </w:rPr>
              <w:t>&lt;/span&gt;&lt;/p&gt;&lt;p style="line-height: 150%; text-indent: 1cm; margin-bottom: 0cm;" align="justify"&gt;  &lt;span style="font-size: medium;"&gt;</w:t>
              <w:tab/>
              <w:t>&lt;span style="text-decoration: underline;"&gt;</w:t>
              <w:tab/>
              <w:t>&lt;strong&gt;</w:t>
              <w:tab/>
              <w:t>&lt;span style="font-family: &amp;quot;times new roman&amp;quot;, times;"&gt;1 – Admissibilidade recursal.&lt;/span&gt;</w:t>
              <w:tab/>
              <w:t>&lt;/strong&gt;</w:t>
              <w:tab/>
              <w:t>&lt;/span&gt; &lt;/span&gt;&lt;/p&gt;&lt;p style="line-height: 150%; text-indent: 2cm; margin-bottom: 0.21cm;" align="justify"&gt; </w:t>
            </w:r>
            <w:r>
              <w:rPr>
                <w:spacing w:val="-4"/>
                <w:sz w:val="20"/>
              </w:rPr>
              <w:t>&lt;span </w:t>
            </w:r>
            <w:r>
              <w:rPr>
                <w:sz w:val="20"/>
              </w:rPr>
              <w:t>style="font-family: &amp;quot;times new roman&amp;quot;, times;"&gt;</w:t>
              <w:tab/>
              <w:t>&lt;span style="font-size: medium;"&gt;Exercendo o juízo de admissibilidade recursal, constato a presença dos requisitos de admissibilidade extrínsecos e intrínsecos, pelo que conheço do recurso 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47"/>
              <w:jc w:val="both"/>
              <w:rPr>
                <w:sz w:val="20"/>
              </w:rPr>
            </w:pPr>
            <w:r>
              <w:rPr>
                <w:sz w:val="20"/>
              </w:rPr>
              <w:t>passo à análise do mérito.&lt;/span&gt; &lt;/span&gt;&lt;/p&gt;&lt;p style="line-height: 150%; text-indent: 2cm; margin-bottom: 0.21cm;" align="justify"&gt; &lt;span style="font-family: &amp;quot;times new roman&amp;quot;, times;"&gt; &lt;span style="font-size: medium;"&gt; &lt;br /&gt; &lt;/span&gt;</w:t>
            </w:r>
          </w:p>
          <w:p>
            <w:pPr>
              <w:pStyle w:val="TableParagraph"/>
              <w:tabs>
                <w:tab w:pos="2484" w:val="left" w:leader="none"/>
                <w:tab w:pos="2682" w:val="left" w:leader="none"/>
                <w:tab w:pos="3540" w:val="left" w:leader="none"/>
                <w:tab w:pos="3718" w:val="left" w:leader="none"/>
                <w:tab w:pos="4709" w:val="left" w:leader="none"/>
                <w:tab w:pos="4863" w:val="left" w:leader="none"/>
                <w:tab w:pos="5930" w:val="left" w:leader="none"/>
                <w:tab w:pos="6269" w:val="left" w:leader="none"/>
                <w:tab w:pos="7436" w:val="left" w:leader="none"/>
              </w:tabs>
              <w:spacing w:line="208" w:lineRule="auto" w:before="0"/>
              <w:ind w:right="37"/>
              <w:rPr>
                <w:sz w:val="20"/>
              </w:rPr>
            </w:pPr>
            <w:r>
              <w:rPr>
                <w:sz w:val="20"/>
              </w:rPr>
              <w:t>&lt;/span&gt;&lt;/p&gt;&lt;p style="line-height: 150%; orphans: 0; widows: 0; text-indent: 1cm; margin- bottom: 0.21cm;" align="justify"&gt;  &lt;span style="font-size: medium;"&gt;</w:t>
              <w:tab/>
              <w:t>&lt;span style="text- decoration: underline;"&gt;</w:t>
              <w:tab/>
              <w:t>&lt;strong&gt;</w:t>
              <w:tab/>
              <w:tab/>
              <w:t>&lt;span style="font-family: &amp;quot;times new roman&amp;quot;, times;"&gt;2 – Mérito Recursal.&lt;/span&gt;</w:t>
              <w:tab/>
              <w:tab/>
              <w:t>&lt;/strong&gt;</w:t>
              <w:tab/>
              <w:t>&lt;/span&gt; </w:t>
            </w:r>
            <w:r>
              <w:rPr>
                <w:spacing w:val="-2"/>
                <w:sz w:val="20"/>
              </w:rPr>
              <w:t>&lt;/span&gt;&lt;/p&gt;&lt;p </w:t>
            </w:r>
            <w:r>
              <w:rPr>
                <w:sz w:val="20"/>
              </w:rPr>
              <w:t>class="western" style="line-height: 150%; text-indent: 2cm; margin-bottom: 0.21cm;" align="justify"&gt;  &lt;span style="font-size: medium;"&gt;</w:t>
              <w:tab/>
              <w:t>&lt;span style="font-family: &amp;quot;times new roman&amp;quot;, times;"&gt;O&lt;/span&gt;</w:t>
              <w:tab/>
              <w:t>&lt;span style="font-family: &amp;quot;times new roman&amp;quot;, times;"&gt;&amp;#160;Banco agravante sustenta, em sede de agravo interno, que a sentença deve ser desconstituída, a fim de que seja determinada a emenda da inicial para comprovação da mora, requisito que, segundo afirma, não foi observado no caso em exame.&lt;/span&gt;  &lt;/span&gt;&lt;/p&gt;&lt;p class="western" style="line-height: 150%; text-indent: 2cm; margin-bottom: 0.21cm;" align="justify"&gt;  &lt;span style="font-size: medium;"&gt;</w:t>
              <w:tab/>
              <w:t>&lt;span style="font-family: &amp;quot;times new roman&amp;quot;, times;"&gt;Todavia, entendo que o agravo interno não merece conhecimento. Explico.&lt;/span&gt; &lt;/span&gt;&lt;/p&gt;&lt;p class="western" style="line-height: 150%; text-indent: 2cm; margin-bottom: 0.21cm;" align="justify"&gt; &lt;span style="font-size: medium;"&gt;</w:t>
              <w:tab/>
              <w:tab/>
              <w:t>&lt;span style="font-family: &amp;quot;times new roman&amp;quot;, times;"&gt;O pleito ora apresentado não foi formulado oportunamente nos autos, configurando inovação recursal. Ao introduzir novas teses apenas no agravo interno,</w:t>
            </w:r>
          </w:p>
          <w:p>
            <w:pPr>
              <w:pStyle w:val="TableParagraph"/>
              <w:spacing w:line="208" w:lineRule="auto" w:before="0"/>
              <w:ind w:right="120"/>
              <w:jc w:val="both"/>
              <w:rPr>
                <w:sz w:val="20"/>
              </w:rPr>
            </w:pPr>
            <w:r>
              <w:rPr>
                <w:sz w:val="20"/>
              </w:rPr>
              <w:t>&lt;strong&gt;como a alegação de que o juízo de origem deveria ter determinado a emenda da inicial para comprovação da mora, o recorrente incorre em irregularidade processual, uma vez que tais fundamentos não foram suscitados no recurso de apelação&lt;/strong&gt;</w:t>
            </w:r>
          </w:p>
          <w:p>
            <w:pPr>
              <w:pStyle w:val="TableParagraph"/>
              <w:tabs>
                <w:tab w:pos="4709" w:val="left" w:leader="none"/>
              </w:tabs>
              <w:spacing w:line="208" w:lineRule="auto" w:before="0"/>
              <w:ind w:right="32"/>
              <w:rPr>
                <w:sz w:val="20"/>
              </w:rPr>
            </w:pPr>
            <w:r>
              <w:rPr>
                <w:sz w:val="20"/>
              </w:rPr>
              <w:t>&lt;strong&gt;e tampouco constituem matéria de ordem pública.&lt;/strong&gt; Nessa perspectiva, aplica-se a regra da preclusão, nos termos do art. 1.014 do CPC.&lt;/span&gt; &lt;/span&gt;&lt;/p&gt;&lt;p class="western" style="line-height: 150%; text-indent: 2cm; margin-bottom: 0.21cm;" align="justify"&gt;  &lt;span style="font-size: medium;"&gt;</w:t>
              <w:tab/>
              <w:t>&lt;span style="font-family: &amp;quot;times new roman&amp;quot;, times;"&gt;Desse modo, impõe-se reconhecer que se trata de inaceitável inovação recursal, notadamente porque, como se sabe, o agravo interno está vinculado às questões ventiladas na decisão monocrática recorrida.&lt;/span&gt; &lt;/span&gt;&lt;/p&gt;&lt;p class="western" style="line-height: 150%; text-indent: 2cm; margin-bottom: 0.21cm;" align="justify"&gt;  &lt;span style="font-size: medium;"&gt;</w:t>
              <w:tab/>
              <w:t>&lt;span style="font-family: &amp;quot;times new roman&amp;quot;, times;"&gt;Ora, os limites recursais foram definidos pela matéria tratada </w:t>
            </w:r>
            <w:r>
              <w:rPr>
                <w:spacing w:val="-9"/>
                <w:sz w:val="20"/>
              </w:rPr>
              <w:t>no</w:t>
            </w:r>
          </w:p>
          <w:p>
            <w:pPr>
              <w:pStyle w:val="TableParagraph"/>
              <w:spacing w:line="208" w:lineRule="auto" w:before="0"/>
              <w:ind w:right="85"/>
              <w:rPr>
                <w:sz w:val="20"/>
              </w:rPr>
            </w:pPr>
            <w:r>
              <w:rPr>
                <w:sz w:val="20"/>
              </w:rPr>
              <w:t>&lt;em&gt;decisum&lt;/em&gt; atacado, não podendo ser introduzido, portanto, pedido novo em sede recursal.&lt;/span&gt; &lt;/span&gt;&lt;/p&gt;&lt;p class="western" style="line-height: 150%; text- indent: 2cm; margin-bottom: 0.21cm;" align="justify"&gt;  &lt;span style="font-size:</w:t>
            </w:r>
            <w:r>
              <w:rPr>
                <w:spacing w:val="-18"/>
                <w:sz w:val="20"/>
              </w:rPr>
              <w:t> </w:t>
            </w:r>
            <w:r>
              <w:rPr>
                <w:sz w:val="20"/>
              </w:rPr>
              <w:t>medium;"&gt;</w:t>
            </w:r>
          </w:p>
          <w:p>
            <w:pPr>
              <w:pStyle w:val="TableParagraph"/>
              <w:tabs>
                <w:tab w:pos="1216" w:val="left" w:leader="none"/>
                <w:tab w:pos="2196" w:val="left" w:leader="none"/>
                <w:tab w:pos="7300" w:val="left" w:leader="none"/>
                <w:tab w:pos="7436" w:val="left" w:leader="none"/>
              </w:tabs>
              <w:spacing w:line="208" w:lineRule="auto" w:before="0"/>
              <w:ind w:right="19"/>
              <w:rPr>
                <w:sz w:val="20"/>
              </w:rPr>
            </w:pPr>
            <w:r>
              <w:rPr>
                <w:sz w:val="20"/>
              </w:rPr>
              <w:t>&lt;span style="font-family: &amp;quot;times new roman&amp;quot;, times;"&gt;Com efeito, essa vedação ocorre porque a introdução de pedido novo ou de tese nova neste momento processual importa em grave ofensa aos princípios constitucionais do contraditório e da ampla defesa, uma vez que o órgão</w:t>
              <w:tab/>
              <w:t>&lt;em&gt;ad quem&lt;/em&gt; exerce função de revisão e controle, não de criação.&lt;/span&gt;  &lt;/span&gt;&lt;/p&gt;&lt;p class="western" style="line-height: 150%; text-indent: 2cm; margin-bottom: 0.21cm;" align="justify"&gt;  &lt;span style="font-size: medium;"&gt;</w:t>
              <w:tab/>
              <w:tab/>
              <w:t>&lt;span style="font-family: &amp;quot;times new roman&amp;quot;, times;"&gt;Portanto, se a parte recorrente não abordou a tese no recurso inicialmente interposto, ela não tem o direito de exigir que a questão seja conhecida posteriormente em recurso utilizando tese diferente, como </w:t>
            </w:r>
            <w:r>
              <w:rPr>
                <w:spacing w:val="-3"/>
                <w:sz w:val="20"/>
              </w:rPr>
              <w:t>também </w:t>
            </w:r>
            <w:r>
              <w:rPr>
                <w:sz w:val="20"/>
              </w:rPr>
              <w:t>não lhe é permitido aduzir matérias em recurso anterior, pois tais práticas configuram nítida inovação recursal.&lt;/span&gt;  &lt;/span&gt;&lt;/p&gt;&lt;p style="line-height: 150%; text-indent: 2cm; margin-bottom: 0.21cm;" align="justify"&gt;  &lt;span style="font-size: medium;"&gt;</w:t>
              <w:tab/>
              <w:tab/>
              <w:t>&lt;span style="font-family: &amp;quot;times new roman&amp;quot;, times;"&gt;Colaciono precedentes do Superior Tribunal de Justiça no mesmo sentido:&lt;/span&gt; &lt;/span&gt;&lt;/p&gt;&lt;p style="line-height: 150%; text-indent: 2cm; margin-bottom: 0.21cm;" align="justify"&gt; &lt;span style="font-size: medium;"&gt;</w:t>
              <w:tab/>
              <w:t>&lt;span style="font-family: &amp;quot;times new roman&amp;quot;, times;"&gt;</w:t>
              <w:tab/>
              <w:t>&lt;br /&gt;</w:t>
            </w:r>
          </w:p>
          <w:p>
            <w:pPr>
              <w:pStyle w:val="TableParagraph"/>
              <w:tabs>
                <w:tab w:pos="3773" w:val="left" w:leader="none"/>
                <w:tab w:pos="5547" w:val="left" w:leader="none"/>
              </w:tabs>
              <w:spacing w:line="208" w:lineRule="auto" w:before="0"/>
              <w:ind w:right="240"/>
              <w:rPr>
                <w:sz w:val="20"/>
              </w:rPr>
            </w:pPr>
            <w:r>
              <w:rPr>
                <w:sz w:val="20"/>
              </w:rPr>
              <w:t>&lt;/span&gt; &lt;/span&gt;&lt;/p&gt;&lt;p style="line-height: 150%; margin-left: 4cm; margin-bottom: 0.21cm;" align="justify"&gt;  &lt;span style="font-size: medium;"&gt;</w:t>
              <w:tab/>
              <w:t>&lt;span style="font-family: &amp;quot;times new roman&amp;quot;, times;"&gt;</w:t>
              <w:tab/>
              <w:t>&lt;span style="color: #000000;"&gt;PROCESSUAL CIVIL. RECURSO ESPECIAL. NEGATIVA DE PRESTAÇÃO JURISDICIONAL. FUNDAMENTAÇÃO. DEFICIÊNCIA. INOVAÇÃO RECURSAL. DESCABIMENTO. JURISPRUDÊNCIA DO STJ. CONFORMIDADE. LEGISLAÇÃO LOCAL E MATÉRIA FÁTICO-PROBATÓRIA. ANÁLISE. INVIABILIDADE. 1. Incide o óbice da Súmula 284 do</w:t>
            </w:r>
          </w:p>
          <w:p>
            <w:pPr>
              <w:pStyle w:val="TableParagraph"/>
              <w:tabs>
                <w:tab w:pos="3241" w:val="left" w:leader="none"/>
                <w:tab w:pos="4364" w:val="left" w:leader="none"/>
              </w:tabs>
              <w:spacing w:line="208" w:lineRule="auto" w:before="0"/>
              <w:ind w:right="274"/>
              <w:rPr>
                <w:sz w:val="20"/>
              </w:rPr>
            </w:pPr>
            <w:r>
              <w:rPr>
                <w:sz w:val="20"/>
              </w:rPr>
              <w:t>STF quando a parte recorrente não especifica quais os pontos em que houve a </w:t>
            </w:r>
            <w:r>
              <w:rPr>
                <w:spacing w:val="-3"/>
                <w:sz w:val="20"/>
              </w:rPr>
              <w:t>negativa </w:t>
            </w:r>
            <w:r>
              <w:rPr>
                <w:sz w:val="20"/>
              </w:rPr>
              <w:t>de prestação jurisdicional&lt;/span&gt;</w:t>
              <w:tab/>
              <w:t>&lt;strong&gt;</w:t>
              <w:tab/>
              <w:t>&lt;span style="color: #000000;"&gt;. 2.</w:t>
            </w:r>
          </w:p>
          <w:p>
            <w:pPr>
              <w:pStyle w:val="TableParagraph"/>
              <w:tabs>
                <w:tab w:pos="3408" w:val="left" w:leader="none"/>
                <w:tab w:pos="4531" w:val="left" w:leader="none"/>
              </w:tabs>
              <w:spacing w:line="208" w:lineRule="auto" w:before="0"/>
              <w:ind w:right="308"/>
              <w:rPr>
                <w:sz w:val="20"/>
              </w:rPr>
            </w:pPr>
            <w:r>
              <w:rPr>
                <w:sz w:val="20"/>
              </w:rPr>
              <w:t>Inviável a análise de matéria que não foi suscitada no apelo nobre, tendo em vista a indevida inovação recursal.&lt;/span&gt;</w:t>
              <w:tab/>
              <w:t>&lt;/strong&gt;</w:t>
              <w:tab/>
              <w:t>&lt;span style="color: #000000;"&gt;3. A conformidade do acórdão recorrido com a jurisprudência desta Corte Superior enseja a aplicação do óbice conhecimento estampado na Súmula 83 do STJ. 4. Rever o entendimento alcançado pela Corte de origem encontra óbice na Súmula 7 do STJ. 5. </w:t>
            </w:r>
            <w:r>
              <w:rPr>
                <w:spacing w:val="-18"/>
                <w:sz w:val="20"/>
              </w:rPr>
              <w:t>A </w:t>
            </w:r>
            <w:r>
              <w:rPr>
                <w:sz w:val="20"/>
              </w:rPr>
              <w:t>análise da tese recursal depende do exame de legislação local, o que torna inviável a insurgência, na via do recurso especial, ante o óbice da Súmula 280 do STF. 6. Agravo interno não provido.&amp;#160;&amp;#160;&lt;/span&gt;&lt;/span&gt; &lt;/span&gt; &lt;span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683" w:val="left" w:leader="none"/>
                <w:tab w:pos="3884" w:val="left" w:leader="none"/>
                <w:tab w:pos="4629" w:val="left" w:leader="none"/>
                <w:tab w:pos="5547" w:val="left" w:leader="none"/>
              </w:tabs>
              <w:spacing w:line="208" w:lineRule="auto" w:before="26"/>
              <w:ind w:right="25"/>
              <w:rPr>
                <w:sz w:val="20"/>
              </w:rPr>
            </w:pPr>
            <w:r>
              <w:rPr>
                <w:sz w:val="20"/>
              </w:rPr>
              <w:t>medium; font-family: &amp;quot;times new roman&amp;quot;, times;"&gt;(AgInt no REsp n. 2.131.325/DF, relator Ministro Gurgel de Faria, Primeira Turma, julgado em 23/9/2024, </w:t>
            </w:r>
            <w:r>
              <w:rPr>
                <w:spacing w:val="-4"/>
                <w:sz w:val="20"/>
              </w:rPr>
              <w:t>DJe </w:t>
            </w:r>
            <w:r>
              <w:rPr>
                <w:sz w:val="20"/>
              </w:rPr>
              <w:t>de 27/9/2024.)&lt;/span&gt;&lt;/p&gt;&lt;p style="line-height: 150%; margin-left: 4cm; margin-bottom: 0.21cm;" align="justify"&gt;  &lt;span style="font-size: medium;"&gt;</w:t>
              <w:tab/>
              <w:t>&lt;span style="font-family: &amp;quot;times new roman&amp;quot;, times;"&gt;</w:t>
              <w:tab/>
              <w:t>&lt;br /&gt;</w:t>
              <w:tab/>
              <w:t>&lt;/span&gt; &lt;/span&gt;&lt;/p&gt;&lt;p style="line- height: 150%; margin-left: 4cm; margin-bottom: 0.21cm;" align="justify"&gt; &lt;span </w:t>
            </w:r>
            <w:r>
              <w:rPr>
                <w:spacing w:val="-2"/>
                <w:sz w:val="20"/>
              </w:rPr>
              <w:t>style="font- </w:t>
            </w:r>
            <w:r>
              <w:rPr>
                <w:sz w:val="20"/>
              </w:rPr>
              <w:t>size: medium;"&gt;</w:t>
              <w:tab/>
              <w:t>&lt;span style="font-family: &amp;quot;times new roman&amp;quot;, times;"&gt;CIVIL </w:t>
            </w:r>
            <w:r>
              <w:rPr>
                <w:spacing w:val="-13"/>
                <w:sz w:val="20"/>
              </w:rPr>
              <w:t>E </w:t>
            </w:r>
            <w:r>
              <w:rPr>
                <w:sz w:val="20"/>
              </w:rPr>
              <w:t>PROCESSUAL CIVIL. AGRAVO INTERNO NOS EMBARGOS DE DECLARAÇÃO NO RECURSO ESPECIAL. INOVAÇÃO RECURSAL. INVIABILIDADE. PRESCRIÇÃO INTERCORRENTE. HONORÁRIOS SUCUMBENCIAIS. SUPERVENIÊNCIA DA LEI N.</w:t>
            </w:r>
          </w:p>
          <w:p>
            <w:pPr>
              <w:pStyle w:val="TableParagraph"/>
              <w:spacing w:line="190" w:lineRule="exact" w:before="0"/>
              <w:rPr>
                <w:sz w:val="20"/>
              </w:rPr>
            </w:pPr>
            <w:r>
              <w:rPr>
                <w:sz w:val="20"/>
              </w:rPr>
              <w:t>14.195/2021. NÃO INCIDÊNCIA. MARCO TEMPORAL. SENTENÇA. DECISÃO</w:t>
            </w:r>
          </w:p>
          <w:p>
            <w:pPr>
              <w:pStyle w:val="TableParagraph"/>
              <w:tabs>
                <w:tab w:pos="4629" w:val="left" w:leader="none"/>
                <w:tab w:pos="6269" w:val="left" w:leader="none"/>
              </w:tabs>
              <w:spacing w:line="208" w:lineRule="auto" w:before="10"/>
              <w:ind w:right="29"/>
              <w:rPr>
                <w:sz w:val="20"/>
              </w:rPr>
            </w:pPr>
            <w:r>
              <w:rPr>
                <w:sz w:val="20"/>
              </w:rPr>
              <w:t>MANTIDA.&lt;/span&gt; &lt;/span&gt;&lt;/p&gt;&lt;p style="line-height: 150%; margin-left: 4cm; margin- bottom: 0.21cm;" align="justify"&gt;  &lt;span style="font-size: medium;"&gt;</w:t>
              <w:tab/>
              <w:t>&lt;span style="font- family: &amp;quot;times new roman&amp;quot;, times;"&gt;1.</w:t>
              <w:tab/>
              <w:t>&lt;strong&gt;Incabível o exame em agravo interno de teses não suscitadas oportunamente pela parte, que deixou escoar o prazo </w:t>
            </w:r>
            <w:r>
              <w:rPr>
                <w:spacing w:val="-5"/>
                <w:sz w:val="20"/>
              </w:rPr>
              <w:t>para </w:t>
            </w:r>
            <w:r>
              <w:rPr>
                <w:sz w:val="20"/>
              </w:rPr>
              <w:t>as contrarrazões ao apelo especial, pois configura indevida inovação recursal.&lt;/strong&gt; 2. "A legislação que versa sobre honorários advocatícios possui natureza híbrida (material- processual), de modo que o marco temporal para a aplicação das novas regras sucumbenciais deve ser a data de prolação da sentença (ou ato jurisdicional equivalente, quando diante de processo de competência originária de Tribunal)" (REsp n.</w:t>
            </w:r>
          </w:p>
          <w:p>
            <w:pPr>
              <w:pStyle w:val="TableParagraph"/>
              <w:spacing w:line="208" w:lineRule="auto" w:before="0"/>
              <w:ind w:right="57"/>
              <w:rPr>
                <w:sz w:val="20"/>
              </w:rPr>
            </w:pPr>
            <w:r>
              <w:rPr>
                <w:sz w:val="20"/>
              </w:rPr>
              <w:t>2.060.319/DF, relatora Ministra Nancy Andrighi, Terceira Turma, julgado em 9/5/2023, DJe de 11/5/2023). 3. Agravo interno a que se nega provimento.&amp;#160;&amp;#160;&lt;/span&gt;</w:t>
            </w:r>
          </w:p>
          <w:p>
            <w:pPr>
              <w:pStyle w:val="TableParagraph"/>
              <w:tabs>
                <w:tab w:pos="1094" w:val="left" w:leader="none"/>
                <w:tab w:pos="1216" w:val="left" w:leader="none"/>
                <w:tab w:pos="1839" w:val="left" w:leader="none"/>
                <w:tab w:pos="2682" w:val="left" w:leader="none"/>
              </w:tabs>
              <w:spacing w:line="208" w:lineRule="auto" w:before="0"/>
              <w:ind w:right="103"/>
              <w:rPr>
                <w:sz w:val="20"/>
              </w:rPr>
            </w:pPr>
            <w:r>
              <w:rPr>
                <w:sz w:val="20"/>
              </w:rPr>
              <w:t>&lt;/span&gt; &lt;span style="font-family: &amp;quot;times new roman&amp;quot;, times; font-size: medium;"&gt;(AgInt nos EDcl no REsp n. 1.949.186/MS, relator Ministro Antonio Carlos Ferreira, Quarta Turma, julgado em 18/9/2023, DJe de 21/9/2023.)&lt;/span&gt;&lt;/p&gt;&lt;p style="line-height: 150%; margin-left: 4cm; margin-bottom: 0.21cm;" align="justify"&gt; </w:t>
            </w:r>
            <w:r>
              <w:rPr>
                <w:spacing w:val="-4"/>
                <w:sz w:val="20"/>
              </w:rPr>
              <w:t>&lt;span </w:t>
            </w:r>
            <w:r>
              <w:rPr>
                <w:sz w:val="20"/>
              </w:rPr>
              <w:t>style="font-size: medium;"&gt;</w:t>
              <w:tab/>
              <w:t>&lt;span style="font-family: &amp;quot;times new roman&amp;quot;, times;"&gt;</w:t>
              <w:tab/>
              <w:t>&lt;br /&gt;</w:t>
              <w:tab/>
              <w:t>&lt;/span&gt; &lt;/span&gt;&lt;/p&gt;&lt;p class="western" style="line-height: 150%; text-indent: 2cm; margin-bottom: 0.21cm;" align="justify"&gt; &lt;span style="font-size: medium;"&gt;</w:t>
              <w:tab/>
              <w:tab/>
              <w:t>&lt;span style="font-family: &amp;quot;times new roman&amp;quot;, times;"&gt;Nesta esteira, eis os entendimentos deste Tribunal de Justiça contidos nas ementas dos arestos</w:t>
            </w:r>
          </w:p>
          <w:p>
            <w:pPr>
              <w:pStyle w:val="TableParagraph"/>
              <w:tabs>
                <w:tab w:pos="5517" w:val="left" w:leader="none"/>
                <w:tab w:pos="6262" w:val="left" w:leader="none"/>
                <w:tab w:pos="6947" w:val="left" w:leader="none"/>
              </w:tabs>
              <w:spacing w:line="208" w:lineRule="auto" w:before="0"/>
              <w:ind w:right="22"/>
              <w:rPr>
                <w:sz w:val="20"/>
              </w:rPr>
            </w:pPr>
            <w:r>
              <w:rPr>
                <w:sz w:val="20"/>
              </w:rPr>
              <w:t>abaixo:&lt;/span&gt; &lt;/span&gt;&lt;/p&gt;&lt;p class="western" style="line-height: 150%; text-indent: </w:t>
            </w:r>
            <w:r>
              <w:rPr>
                <w:spacing w:val="-5"/>
                <w:sz w:val="20"/>
              </w:rPr>
              <w:t>2cm; </w:t>
            </w:r>
            <w:r>
              <w:rPr>
                <w:sz w:val="20"/>
              </w:rPr>
              <w:t>margin-bottom: 0.21cm;" align="justify"&gt;  &lt;span style="font-size: medium;"&gt;</w:t>
              <w:tab/>
              <w:t>&lt;span style="font-family: &amp;quot;times new roman&amp;quot;, times;"&gt;</w:t>
              <w:tab/>
              <w:t>&lt;br /&gt;</w:t>
              <w:tab/>
              <w:t>&lt;/span&gt;</w:t>
            </w:r>
          </w:p>
          <w:p>
            <w:pPr>
              <w:pStyle w:val="TableParagraph"/>
              <w:tabs>
                <w:tab w:pos="5547" w:val="left" w:leader="none"/>
              </w:tabs>
              <w:spacing w:line="208" w:lineRule="auto" w:before="0"/>
              <w:ind w:right="90"/>
              <w:rPr>
                <w:sz w:val="20"/>
              </w:rPr>
            </w:pPr>
            <w:r>
              <w:rPr>
                <w:sz w:val="20"/>
              </w:rPr>
              <w:t>&lt;/span&gt;&lt;/p&gt;&lt;p class="western" style="line-height: 150%; margin-left: 4cm; margin-bottom: 0.21cm;" align="justify"&gt;  &lt;span style="font-size: medium;"&gt;</w:t>
              <w:tab/>
              <w:t>&lt;span style="font-family: &amp;quot;times new roman&amp;quot;, times;"&gt;EMBARGOS DE DECLARAÇÃO EM APELAÇÃO. OMISSÕES. TÓPICOS EXAMINADOS NO JULGAMENTO DO APELO. INVOCAÇÃO DE TEMAS NÃO CONTIDOS NAS CONTRARRAZÕES. INOVAÇÃO RECURSAL. PREQUESTIONAMENTO DE DIVERSOS DISPOSITIVOS LEGAIS E CONSTITUCIONAIS. SÚMULA Nº 18 DO TJCE. PRETENSÃO DE REJULGAMENTO DO FEITO NOS PONTOS EM QUE NÃO CONSTITUEM NOVAS TEMÁTICAS. APLICAÇÃO DE MULTA PROCESSUAL NO IMPORTE DE 2% SOBRE O VALOR ATUALIZADO DA</w:t>
            </w:r>
          </w:p>
          <w:p>
            <w:pPr>
              <w:pStyle w:val="TableParagraph"/>
              <w:spacing w:line="208" w:lineRule="auto" w:before="0"/>
              <w:ind w:right="30"/>
              <w:rPr>
                <w:sz w:val="20"/>
              </w:rPr>
            </w:pPr>
            <w:r>
              <w:rPr>
                <w:sz w:val="20"/>
              </w:rPr>
              <w:t>CAUSA. ART. 1.026, § 2º, DA LEI DE RITOS. - A temática relacionada à aplicação da Súmula nº 531 do STJ e o seu afastamento no caso concreto, distinção no julgamento do caso concreto, foram devidamente discutidas no julgamento da apelação, adotando, o órgão julgador, tese expressa a respeito, inexistindo omissão. Ao sustentar vício quanto à apreciação da Súmula nº 564 do Tribunal Uniformizador Infraconstitucional, o embargante trata sobre matéria completamente diversa da contida nos autos, sequer abordada em momento processual algum, pois se refere à reintegração de posse em arrendamento mercantil financeiro e à importância antecipada a título de valor residual garantido (VRG), portando, longe de provocar a apreciação e adequação ao recurso em testilha. - Quanto à vigência dos arts. 121 e 122 do Código Civil, o embargante veicula inovação recursal, uma vez que o tema não foi veiculado nas contrarrazões, embora o contrato de prestação de serviços vincule a remuneração do autor ao êxito, consoante disposto na cláusula quarta e seu parágrafo primeiro, antes transcritos, ou seja, o pagamento pela prestação de serviços somente seria devido na ocorrência de "qualquer benefício concedido à CONTRATANTE por meio do Fundo de Desenvolvimento Industrial do Estado do Ceará, principalmente, mas não exclusivamente, no que diz respeito à parcela do ICMS que for mensalmente diferida, não sendo possível a aplicação de quaisquer tipos de redutores, ainda que digam respeito a valores que venham a ser eventualmente cobrados por parte do Governo do Estado do Ceará, ainda que a título de retorno ou algo semelhante". - Portanto, o pagamento da contraprestação contida na pretensão monitória não é devido pela simples elaboração e aprovação do projeto do Fundo de Desenvolvimento Industrial (FDI), como exposto em cláusula contratual, não havendo se falar em condição que se sujeite ao puro arbítrio das promovidas/apelantes/embargadas. - O demandante/embargante não provou o fato constitutivo do seu direito, vinculado ao êxito na prestação dos serviços, como dispõem o art. 373, I, do CPC e a cláusula quarta e seu § primeiro do instrumento contratual. - O tópico relativo à vigência do art. 25 da Lei nº 7.357/1985 (Lei dos Cheques) constitui-se em explícita inovação recursal, suscitado apenas na via dos embargos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231" w:val="left" w:leader="none"/>
              </w:tabs>
              <w:spacing w:line="208" w:lineRule="auto" w:before="26"/>
              <w:ind w:right="64"/>
              <w:rPr>
                <w:sz w:val="20"/>
              </w:rPr>
            </w:pPr>
            <w:r>
              <w:rPr>
                <w:sz w:val="20"/>
              </w:rPr>
              <w:t>declaração. - Do mesmo modo, a cumulação ao pedido monitório dos cheques vincendos constitui temática inovadora, considerando que à época da propositura da ação, no ano </w:t>
            </w:r>
            <w:r>
              <w:rPr>
                <w:spacing w:val="-10"/>
                <w:sz w:val="20"/>
              </w:rPr>
              <w:t>de </w:t>
            </w:r>
            <w:r>
              <w:rPr>
                <w:sz w:val="20"/>
              </w:rPr>
              <w:t>2015, o art. 323 da Lei nº 13.105/2015 ainda não estava em vigor. - Ao sustentar o princípio do pacta sunt servanda para justificar a cobrança de juros implícitos no contrato de mútuo, a embargante-autora suscita a vigência dos arts. 421 e 421-A do Código Civil, dispositivos legais sequer foram invocados no contra-apelo, o que enseja o não conhecimento da posterior impugnação, sem mencionar que o princípio da liberdade contratual enunciado na redação atual dos mencionados dispositivos legais foi incluído no Código Civil por meio da Lei nº 13.874/2019, ou seja, com vigência posterior ao contrato presente nos autos e à propositura da ação monitória. -</w:t>
              <w:tab/>
              <w:t>&lt;strong&gt;A inovação recursal decorrente da suscitação de teses não contidas no contra-apelo proposto pelo ora embargante e dispositivos legais e constitucionais não veiculados oportunamente, impede que se conheça de tópicos contidos nos aclaratórios sobre os quais há nítida preclusão.&lt;/strong&gt; - Eventual pretensão prequestionadora não afasta a imposição da multa processual diante do caráter manifestamente protelatório dos ED¿s, ainda que por conduto da Súmula nº 98 do STJ. - Evidenciando o caráter meramente protelatório dos aclaratórios, aplica-se a multa equivalente a 2% sobre o valor atualizado da causa em desfavor do embargante, como permite o § 2º do art. 1.026 da Lei Processual Civil.</w:t>
            </w:r>
          </w:p>
          <w:p>
            <w:pPr>
              <w:pStyle w:val="TableParagraph"/>
              <w:spacing w:line="189" w:lineRule="exact" w:before="0"/>
              <w:rPr>
                <w:sz w:val="20"/>
              </w:rPr>
            </w:pPr>
            <w:r>
              <w:rPr>
                <w:sz w:val="20"/>
              </w:rPr>
              <w:t>RECURSO CONHECIDO EM PARTE E, NESTA EXTENSÃO, NÃO ACOLHIDO.&amp;#160;</w:t>
            </w:r>
          </w:p>
          <w:p>
            <w:pPr>
              <w:pStyle w:val="TableParagraph"/>
              <w:spacing w:line="208" w:lineRule="auto" w:before="10"/>
              <w:ind w:right="59"/>
              <w:rPr>
                <w:sz w:val="20"/>
              </w:rPr>
            </w:pPr>
            <w:r>
              <w:rPr>
                <w:sz w:val="20"/>
              </w:rPr>
              <w:t>&amp;#160;(Embargos de Declaração Cível&amp;#160;- 0110730-69.2015.8.06.0112, Rel. Desembargador PAULO AIRTON ALBUQUERQUE FILHO, 2ª Câmara Direito Privado, data do julgamento:&amp;#160; 22/05/2024, data da publicação:&amp;#160;</w:t>
            </w:r>
            <w:r>
              <w:rPr>
                <w:spacing w:val="-18"/>
                <w:sz w:val="20"/>
              </w:rPr>
              <w:t> </w:t>
            </w:r>
            <w:r>
              <w:rPr>
                <w:sz w:val="20"/>
              </w:rPr>
              <w:t>22/05/2024)&lt;/span&gt;</w:t>
            </w:r>
          </w:p>
          <w:p>
            <w:pPr>
              <w:pStyle w:val="TableParagraph"/>
              <w:tabs>
                <w:tab w:pos="3884" w:val="left" w:leader="none"/>
                <w:tab w:pos="4629" w:val="left" w:leader="none"/>
                <w:tab w:pos="4709" w:val="left" w:leader="none"/>
                <w:tab w:pos="5547" w:val="left" w:leader="none"/>
              </w:tabs>
              <w:spacing w:line="208" w:lineRule="auto" w:before="0"/>
              <w:ind w:right="90"/>
              <w:rPr>
                <w:sz w:val="20"/>
              </w:rPr>
            </w:pPr>
            <w:r>
              <w:rPr>
                <w:sz w:val="20"/>
              </w:rPr>
              <w:t>&lt;/span&gt;&lt;/p&gt;&lt;p class="western" style="line-height: 150%; margin-left: 4cm; margin-bottom: 0.21cm;" align="justify"&gt;  &lt;span style="font-size: medium;"&gt;</w:t>
              <w:tab/>
              <w:t>&lt;span style="font-family: &amp;quot;times new roman&amp;quot;, times;"&gt;</w:t>
              <w:tab/>
              <w:t>&lt;br /&gt;</w:t>
              <w:tab/>
              <w:t>&lt;/span&gt; &lt;/span&gt;&lt;/p&gt;&lt;p class="western" style="line-height: 150%; margin-left: 4cm; margin-bottom: 0.21cm;" align="justify"&gt;  &lt;span style="font-size: medium;"&gt;</w:t>
              <w:tab/>
              <w:tab/>
              <w:t>&lt;span style="font-family: &amp;quot;times new roman&amp;quot;, times;"&gt;Direito processual civil. Agravo interno. Decisão Monocrática. Ação declaratória de inexistência de débito. Princípio da dialeticidade. Repetição dos argumentos do recurso de apelação. Ausência de impugnação específica. Inovação recursal verificada. Inadmissibilidade. Recurso não conhecido. I. Caso em exame 1.</w:t>
            </w:r>
          </w:p>
          <w:p>
            <w:pPr>
              <w:pStyle w:val="TableParagraph"/>
              <w:tabs>
                <w:tab w:pos="7032" w:val="left" w:leader="none"/>
              </w:tabs>
              <w:spacing w:line="208" w:lineRule="auto" w:before="0"/>
              <w:ind w:right="63"/>
              <w:rPr>
                <w:sz w:val="20"/>
              </w:rPr>
            </w:pPr>
            <w:r>
              <w:rPr>
                <w:sz w:val="20"/>
              </w:rPr>
              <w:t>Agravo interno interposto pelo Banco Bradesco S/A, parte ré, contra decisão monocrática que negou provimento aos recursos de apelação interpostos pelas partes autora e ré, </w:t>
            </w:r>
            <w:r>
              <w:rPr>
                <w:spacing w:val="-5"/>
                <w:sz w:val="20"/>
              </w:rPr>
              <w:t>para </w:t>
            </w:r>
            <w:r>
              <w:rPr>
                <w:sz w:val="20"/>
              </w:rPr>
              <w:t>manter a sentença de primeira instância nos autos de ação declaratória de inexistência de débito, esta proposta na vara única da comarca de Chaval/CE. O recurso de apelação possui com objeto a alegação da prescrição quinquenal, a inexistência de danos morais, a redução da indenização fixada e a impossibilidade do ressarcimento em dobro das cobranças ilícitas. II. Questão em discussão 2. Há duas questões em discussão: (i) verificar se o agravo interno atende ao princípio da dialeticidade recursal, considerando a ausência de impugnação específica aos fundamentos da decisão monocrática; e (ii) definir se houve inovação recursal com a introdução de novos argumentos relativos à ausência de danos morais e à restituição em dobro. III. Razões de decidir 3. O recurso não atende ao princípio da dialeticidade, previsto no art. 932, inciso III, do CPC, uma vez que a parte recorrente não impugna de forma específica os fundamentos da decisão monocrática, limitando-se a repetir os argumentos apresentados no recurso de apelação.</w:t>
              <w:tab/>
              <w:t>&lt;strong&gt;4. A inovação recursal, ao trazer novas teses no agravo interno, como a alegação de que a parte agravada utilizava os serviços da conta-corrente, caracteriza-se como irregular, uma vez que tais fatos não foram suscitados na apelação e não se tratam de matéria de ordem pública, o que ocasiona a preclusão, conforme art. 1.014 do CPC. 5. A ausência de alegação prévia sobre a impossibilidade de restituição em dobro dos valores indevidamente cobrados implica preclusão, impedindo que a questão seja discutida em sede de agravo interno.&lt;/strong&gt; IV. Dispositivo 6. Recurso conhecido em parte e, no mérito, desprovido.&amp;#160; &amp;#160;&lt;/span&gt; &lt;/span&gt; &lt;span style="font-family: &amp;quot;times new roman&amp;quot;, times; font-size: medium;"&gt;(Agravo Interno Cível&amp;#160;- 0200206- 15.2022.8.06.0067, Rel. Desembargador(a) JANE RUTH MAIA DE QUEIROGA, 2ª</w:t>
            </w:r>
          </w:p>
          <w:p>
            <w:pPr>
              <w:pStyle w:val="TableParagraph"/>
              <w:tabs>
                <w:tab w:pos="1216" w:val="left" w:leader="none"/>
                <w:tab w:pos="7300" w:val="left" w:leader="none"/>
              </w:tabs>
              <w:spacing w:line="208" w:lineRule="auto" w:before="0"/>
              <w:ind w:right="266"/>
              <w:rPr>
                <w:sz w:val="20"/>
              </w:rPr>
            </w:pPr>
            <w:r>
              <w:rPr>
                <w:sz w:val="20"/>
              </w:rPr>
              <w:t>Câmara Direito Privado, data do julgamento:&amp;#160; 23/10/2024, data da publicação:&amp;#160; 23/10/2024)&lt;/span&gt;&lt;/p&gt;&lt;p class="western" style="line-height: </w:t>
            </w:r>
            <w:r>
              <w:rPr>
                <w:spacing w:val="-4"/>
                <w:sz w:val="20"/>
              </w:rPr>
              <w:t>150%; </w:t>
            </w:r>
            <w:r>
              <w:rPr>
                <w:sz w:val="20"/>
              </w:rPr>
              <w:t>margin-left: 4cm; margin-bottom: 0.21cm;" align="justify"&gt; &lt;span style="font-size: medium;"&gt;</w:t>
              <w:tab/>
              <w:t>&lt;span style="font-family: &amp;quot;times new roman&amp;quot;, times;"&gt;</w:t>
              <w:tab/>
              <w:t>&lt;br /&gt;</w:t>
            </w:r>
          </w:p>
          <w:p>
            <w:pPr>
              <w:pStyle w:val="TableParagraph"/>
              <w:tabs>
                <w:tab w:pos="5517" w:val="left" w:leader="none"/>
                <w:tab w:pos="5547" w:val="left" w:leader="none"/>
                <w:tab w:pos="6262" w:val="left" w:leader="none"/>
                <w:tab w:pos="6387" w:val="left" w:leader="none"/>
                <w:tab w:pos="7436" w:val="left" w:leader="none"/>
              </w:tabs>
              <w:spacing w:line="208" w:lineRule="auto" w:before="0"/>
              <w:ind w:right="25"/>
              <w:rPr>
                <w:sz w:val="20"/>
              </w:rPr>
            </w:pPr>
            <w:r>
              <w:rPr>
                <w:sz w:val="20"/>
              </w:rPr>
              <w:t>&lt;/span&gt; &lt;/span&gt;&lt;/p&gt;&lt;p style="line-height: 150%; text-indent: 2cm; margin-bottom: 0.21cm;" align="justify"&gt;  &lt;span style="font-size: medium;"&gt;</w:t>
              <w:tab/>
              <w:tab/>
              <w:t>&lt;span style="font-family: &amp;quot;times new roman&amp;quot;, times;"&gt;Diante disso, verifica-se que o agravo interno em análise não merece conhecimento, por configurar inovação recursal,</w:t>
              <w:tab/>
              <w:tab/>
              <w:t>&lt;strong&gt;o que confirma a decisão monocrática que reconheceu a ausência de dialeticidade&lt;/strong&gt;, visto que ao deixar de impugnar de forma específica os fundamentos da decisão de primeiro grau, o recorrente incorreu em violação ao princípio da dialeticidade, nos termos do art. 932, III, do CPC/2015.&lt;/span&gt; &lt;/span&gt;&lt;/p&gt;&lt;p style="line-height: 150%; </w:t>
            </w:r>
            <w:r>
              <w:rPr>
                <w:spacing w:val="-2"/>
                <w:sz w:val="20"/>
              </w:rPr>
              <w:t>text-indent: </w:t>
            </w:r>
            <w:r>
              <w:rPr>
                <w:sz w:val="20"/>
              </w:rPr>
              <w:t>2cm; margin-bottom: 0.21cm;" align="justify"&gt;  &lt;span style="font-size: medium;"&gt;</w:t>
              <w:tab/>
              <w:t>&lt;span style="font-family: &amp;quot;times new roman&amp;quot;, times;"&gt;</w:t>
              <w:tab/>
              <w:t>&lt;br /&gt;</w:t>
              <w:tab/>
              <w:t>&lt;/span&gt;</w:t>
            </w:r>
          </w:p>
          <w:p>
            <w:pPr>
              <w:pStyle w:val="TableParagraph"/>
              <w:spacing w:line="205" w:lineRule="exact" w:before="0"/>
              <w:rPr>
                <w:sz w:val="20"/>
              </w:rPr>
            </w:pPr>
            <w:r>
              <w:rPr>
                <w:sz w:val="20"/>
              </w:rPr>
              <w:t>&lt;/span&gt;&lt;/p&gt;&lt;p style="line-height: 150%; margin-bottom: 0.21cm;" align="center"&gt; &lt;span</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0200491-35.2023.8.06.0176</w:t>
            </w:r>
          </w:p>
        </w:tc>
      </w:tr>
      <w:tr>
        <w:trPr>
          <w:trHeight w:val="5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73" w:val="left" w:leader="none"/>
                <w:tab w:pos="1683" w:val="left" w:leader="none"/>
                <w:tab w:pos="2682" w:val="left" w:leader="none"/>
                <w:tab w:pos="3805" w:val="left" w:leader="none"/>
                <w:tab w:pos="4240" w:val="left" w:leader="none"/>
              </w:tabs>
              <w:spacing w:line="208" w:lineRule="auto" w:before="26"/>
              <w:ind w:right="36"/>
              <w:rPr>
                <w:sz w:val="20"/>
              </w:rPr>
            </w:pPr>
            <w:r>
              <w:rPr>
                <w:sz w:val="20"/>
              </w:rPr>
              <w:t>style="font-size: medium;"&gt;</w:t>
              <w:tab/>
              <w:t>&lt;strong&gt;</w:t>
              <w:tab/>
              <w:t>&lt;span style="font-family: &amp;quot;times new roman&amp;quot;, times;"&gt;DISPOSITIVO&lt;/span&gt;</w:t>
              <w:tab/>
              <w:t>&lt;/strong&gt; &lt;/span&gt;&lt;/p&gt;&lt;p style="line- height: 150%; text-indent: 2cm; margin-bottom: 0.21cm;" align="justify"&gt; &lt;span </w:t>
            </w:r>
            <w:r>
              <w:rPr>
                <w:spacing w:val="-2"/>
                <w:sz w:val="20"/>
              </w:rPr>
              <w:t>style="font- </w:t>
            </w:r>
            <w:r>
              <w:rPr>
                <w:sz w:val="20"/>
              </w:rPr>
              <w:t>size: medium;"&gt;</w:t>
              <w:tab/>
              <w:t>&lt;span style="font-family: &amp;quot;times new roman&amp;quot;, times;"&gt;Ante o exposto,</w:t>
              <w:tab/>
              <w:t>&lt;strong&gt;DEIXO DE CONHECER DO AGRAVO INTERNO,&lt;/strong&gt; mantendo inalterada a decisão agravada.&lt;/span&gt; &lt;/span&gt;&lt;/p&gt;&lt;p style="line-height: 150%; text- indent: 2cm; margin-bottom: 0.21cm;" align="justify"&gt; &lt;span style="font-size: medium;"&gt;</w:t>
            </w:r>
          </w:p>
          <w:p>
            <w:pPr>
              <w:pStyle w:val="TableParagraph"/>
              <w:tabs>
                <w:tab w:pos="1205" w:val="left" w:leader="none"/>
                <w:tab w:pos="2061" w:val="left" w:leader="none"/>
                <w:tab w:pos="2794" w:val="left" w:leader="none"/>
                <w:tab w:pos="3006" w:val="left" w:leader="none"/>
                <w:tab w:pos="4407" w:val="left" w:leader="none"/>
                <w:tab w:pos="4732" w:val="left" w:leader="none"/>
                <w:tab w:pos="5547" w:val="left" w:leader="none"/>
                <w:tab w:pos="6876" w:val="left" w:leader="none"/>
              </w:tabs>
              <w:spacing w:line="208" w:lineRule="auto" w:before="0"/>
              <w:ind w:right="304"/>
              <w:rPr>
                <w:sz w:val="20"/>
              </w:rPr>
            </w:pPr>
            <w:r>
              <w:rPr>
                <w:sz w:val="20"/>
              </w:rPr>
              <w:t>&lt;span style="font-family: &amp;quot;times new roman&amp;quot;, times;"&gt;&amp;#160;É como voto.&lt;/span&gt; &lt;/span&gt;&lt;/p&gt;&lt;p style="line-height: 150%; text-indent: 2cm; margin-bottom: 0.21cm;" align="justify"&gt;  &lt;span style="font-size: medium;"&gt;</w:t>
              <w:tab/>
              <w:t>&lt;span style="font-family: &amp;quot;times new roman&amp;quot;, times;"&gt;&amp;#160;</w:t>
              <w:tab/>
              <w:t>&lt;span style="text-indent: 8%;"&gt;Fortaleza/CE, data registrada no sistema.&lt;/span&gt;&lt;/span&gt; &lt;/span&gt;&lt;/p&gt;&lt;p style="text-indent: 8%; text-align: justify;"&gt;  &lt;span style="font-size: small;"&gt;</w:t>
              <w:tab/>
              <w:t>&lt;span style="font-size: medium;"&gt;</w:t>
              <w:tab/>
              <w:t>&lt;span style="font-family: &amp;quot;times new roman&amp;quot;, times;"&gt;</w:t>
              <w:tab/>
              <w:t>&lt;br /&gt;</w:t>
              <w:tab/>
              <w:t>&lt;/span&gt;</w:t>
              <w:tab/>
              <w:tab/>
              <w:t>&lt;/span&gt; &lt;/span&gt;&lt;/p&gt;&lt;p style="text-indent: 8%; text- align: center;"&gt;  &lt;span style="font-size: medium;"&gt;</w:t>
              <w:tab/>
              <w:t>&lt;strong style="font-size: small;"&gt;</w:t>
            </w:r>
          </w:p>
          <w:p>
            <w:pPr>
              <w:pStyle w:val="TableParagraph"/>
              <w:tabs>
                <w:tab w:pos="3016" w:val="left" w:leader="none"/>
                <w:tab w:pos="4240" w:val="left" w:leader="none"/>
                <w:tab w:pos="5297" w:val="left" w:leader="none"/>
                <w:tab w:pos="6234" w:val="left" w:leader="none"/>
                <w:tab w:pos="7201" w:val="left" w:leader="none"/>
              </w:tabs>
              <w:spacing w:line="208" w:lineRule="auto" w:before="0"/>
              <w:ind w:right="400"/>
              <w:rPr>
                <w:sz w:val="20"/>
              </w:rPr>
            </w:pPr>
            <w:r>
              <w:rPr>
                <w:sz w:val="20"/>
              </w:rPr>
              <w:t>&lt;span style="font-family: &amp;quot;times new roman&amp;quot;, times;"&gt;</w:t>
              <w:tab/>
              <w:t>&lt;br /&gt;</w:t>
              <w:tab/>
            </w:r>
            <w:r>
              <w:rPr>
                <w:spacing w:val="-4"/>
                <w:sz w:val="20"/>
              </w:rPr>
              <w:t>&lt;span </w:t>
            </w:r>
            <w:r>
              <w:rPr>
                <w:sz w:val="20"/>
              </w:rPr>
              <w:t>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Fixação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WANDEL ALBERTO PEREIRA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 SILVA PELEGRINO PINTO - (BA59137-A)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ELISABETH CARVALHO CARNEIRO</w:t>
            </w:r>
          </w:p>
          <w:p>
            <w:pPr>
              <w:pStyle w:val="TableParagraph"/>
              <w:spacing w:line="215" w:lineRule="exact" w:before="0"/>
              <w:rPr>
                <w:sz w:val="20"/>
              </w:rPr>
            </w:pPr>
            <w:r>
              <w:rPr>
                <w:sz w:val="20"/>
              </w:rPr>
              <w:t>E. K. C. P.</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3661"/>
              <w:rPr>
                <w:sz w:val="20"/>
              </w:rPr>
            </w:pPr>
            <w:r>
              <w:rPr>
                <w:sz w:val="20"/>
              </w:rPr>
              <w:t>MINISTERIO PUBLICO DO ESTADO DO CEARA ANA PAULA DE CARVALHO SANTOS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&lt;strong&gt;PROCESSO&lt;/strong&gt;:&amp;#160;0205119-10.2023.8.06.0001 -&amp;#160;APELAÇÃO</w:t>
            </w:r>
          </w:p>
          <w:p>
            <w:pPr>
              <w:pStyle w:val="TableParagraph"/>
              <w:tabs>
                <w:tab w:pos="6557" w:val="left" w:leader="none"/>
              </w:tabs>
              <w:spacing w:line="208" w:lineRule="auto" w:before="8"/>
              <w:ind w:right="94"/>
              <w:rPr>
                <w:sz w:val="20"/>
              </w:rPr>
            </w:pPr>
            <w:r>
              <w:rPr>
                <w:sz w:val="20"/>
              </w:rPr>
              <w:t>CÍVEL (198)&lt;/span&gt;  &lt;/span&gt;&lt;/p&gt;&lt;p&gt;  &lt;span style="font-size: small;"&gt;</w:t>
              <w:tab/>
              <w:t>&lt;span style="font-family: &amp;quot;times new roman&amp;quot;, times;"&gt;APELANTE: WANDEL ALBERTO PEREIRA DA SILVA&lt;/span&gt; &lt;/span&gt;&lt;/p&gt;&lt;p&gt; &lt;span style="font-size:</w:t>
            </w:r>
            <w:r>
              <w:rPr>
                <w:spacing w:val="6"/>
                <w:sz w:val="20"/>
              </w:rPr>
              <w:t> </w:t>
            </w:r>
            <w:r>
              <w:rPr>
                <w:spacing w:val="-3"/>
                <w:sz w:val="20"/>
              </w:rPr>
              <w:t>small;"&gt;</w:t>
            </w:r>
          </w:p>
          <w:p>
            <w:pPr>
              <w:pStyle w:val="TableParagraph"/>
              <w:tabs>
                <w:tab w:pos="1216" w:val="left" w:leader="none"/>
                <w:tab w:pos="7300" w:val="left" w:leader="none"/>
              </w:tabs>
              <w:spacing w:line="208" w:lineRule="auto" w:before="0"/>
              <w:ind w:right="206"/>
              <w:rPr>
                <w:sz w:val="20"/>
              </w:rPr>
            </w:pPr>
            <w:r>
              <w:rPr>
                <w:sz w:val="20"/>
              </w:rPr>
              <w:t>&lt;span style="font-family: &amp;quot;times new roman&amp;quot;, times;"&gt;APELADO: ELISABETH CARVALHO CARNEIRO, E. K. C. P.&lt;/span&gt; &lt;/span&gt;&lt;/p&gt;&lt;p&gt; &lt;span style="font-size: medium;"&gt;</w:t>
              <w:tab/>
              <w:t>&lt;span style="font-family: &amp;quot;times new roman&amp;quot;, times;"&gt;</w:t>
              <w:tab/>
              <w:t>&lt;br /&gt;</w:t>
            </w:r>
          </w:p>
          <w:p>
            <w:pPr>
              <w:pStyle w:val="TableParagraph"/>
              <w:spacing w:line="208" w:lineRule="auto" w:before="0"/>
              <w:ind w:right="42"/>
              <w:rPr>
                <w:sz w:val="20"/>
              </w:rPr>
            </w:pPr>
            <w:r>
              <w:rPr>
                <w:sz w:val="20"/>
              </w:rPr>
              <w:t>&lt;/span&gt; &lt;/span&gt;&lt;/p&gt;&lt;p style="line-height: 1.38; text-align: justify; margin-top: 6pt; margin- bottom: 6pt;" dir="ltr"&gt; &lt;span style="font-size: 12pt; font-family: 'Times New Roman',serif; color: #000000; background-color: transparent; font-weight: 400; font-style: italic; font- variant: normal; text-decoration: none; vertical-align: baseline; white-space: pre- wrap;"&gt;Ementa&lt;/span&gt; &lt;span style="font-size: 12pt; font-family: 'Times New Roman',serif; color: #000000; background-color: transparent; font-weight: 400; font-style: normal; font- variant: normal; text-decoration: none; vertical-align: baseline; white-space: pre-wrap;"&gt;: DIREITO CIVIL. APELAÇÃO CÍVEL EM AÇÃO DE OFERTA DE ALIMENTOS C/C GUARDA E REGULAMENTAÇÃO DE VISITAS. INDEFERIMENTO DE AUTORIZAÇÃO DE VIAGEM REVISTA. REDUÇÃO DE ALIMENTOS QUE NÃO MERECE PROSPERAR. RECURSO CONHECIDO E PARCIALMENTE PROVIDO.&lt;/span&gt;&lt;/p&gt;&lt;p style="line-</w:t>
            </w:r>
          </w:p>
          <w:p>
            <w:pPr>
              <w:pStyle w:val="TableParagraph"/>
              <w:spacing w:line="208" w:lineRule="auto" w:before="0"/>
              <w:ind w:right="31"/>
              <w:rPr>
                <w:sz w:val="20"/>
              </w:rPr>
            </w:pPr>
            <w:r>
              <w:rPr>
                <w:sz w:val="20"/>
              </w:rPr>
              <w:t>height: 1.38; text-align: justify; margin-top: 6pt; margin-bottom: 6pt;" dir="ltr"&gt; &lt;span style="font-size: 12pt; font-family: 'Times New Roman',serif; color: #000000; background- color: transparent; font-weight: 700; font-style: normal; font-variant: normal; text-decoration: none; vertical-align: baseline; white-space: pre-wrap;"&gt;I. CASO EM EXAME&lt;/span&gt;&lt;/p&gt;&lt;p style="line-height: 1.38; margin-top: 6pt; margin-bottom: 6pt;" dir="ltr"&gt; &lt;span id="docs- internal-guid-aaca57b8-7fff-853b-3a58-0553ab6c3a3f"&gt;&amp;#160;&lt;/span&gt;&lt;/p&gt;&lt;p style="line- height: 1.38; text-align: justify; margin-top: 6pt; margin-bottom: 6pt;" dir="ltr"&gt; &lt;span style="font-size: 12pt; font-family: 'Times New Roman',serif; color: #000000; background- color: transparent; font-weight: 400; font-style: normal; font-variant: normal; text-decoration: none; vertical-align: baseline; white-space: pre-wrap;"&gt;1. Recurso de Apelação interposto pelo autor/genitor contra sentença proferida em Ação de oferta de alimentos, regulamentação de guarda e visitação, com negativa de autorização de viagem. A sentença julgou parcialmente procedentes os pedidos, fixou alimentos definitivos em 1,5 (um e meio) salário mínimo, deferiu a guarda compartilhada com lar de referência materno, e indeferiu o pedido de deslocamento do menor para outro estado da federação.&lt;/span&gt;&lt;/p&gt;&lt;p style="line-height: 1.38; text-align: justify; margin-top: 6pt; margin-bottom: 6pt;" dir="ltr"&gt; &lt;span style="font-size: 12pt; font-family: 'Times New Roman',serif; color: #000000; background-color: transparent; font-weight: 700; font-style: normal; font-variant: normal; text-decoration: none; vertical-align: baseline; white-space: pre-wrap;"&gt;II. QUESTÃO EM DISCUSSÃO&lt;/span&gt; &lt;span style="font-size: 12pt; font- family: 'Times New Roman',serif; color: #000000; background-color: transparent; font- weight: 400; font-style: normal; font-variant: normal; text-decoration: none; vertical-align: baseline; white-space: pre-wrap;"&gt;&amp;#160;&lt;/span&gt;&lt;/p&gt;&lt;p style="line-height: 1.38; 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align: justify; margin-top: 6pt; margin-bottom: 6pt;" dir="ltr"&gt; &lt;span style="font-size: 12pt; font-family: 'Times New Roman',serif; color: #000000; background-color: transparent; font- weight: 400; font-style: normal; font-variant: normal; text-decoration: none; vertical-align: baseline; white-space: pre-wrap;"&gt;2. A questão em discussão consiste em (i) analisar o trinômio necessidade/possibilidade/proporcionalidade para manter ou reduzir o valor </w:t>
            </w:r>
            <w:r>
              <w:rPr>
                <w:spacing w:val="-3"/>
                <w:sz w:val="20"/>
              </w:rPr>
              <w:t>fixado </w:t>
            </w:r>
            <w:r>
              <w:rPr>
                <w:sz w:val="20"/>
              </w:rPr>
              <w:t>a título de alimentos; e (ii) verificar a legalidade e razoabilidade da proibição de deslocamento do menor para outro estado da federação, na companhia do genitor.&lt;/span&gt;&lt;/p&gt;&lt;p style="line-height: 1.38; text-align: justify; margin-top: 6pt; margin- bottom: 6pt;" dir="ltr"&gt; &lt;span style="font-size: 12pt; font-family: 'Times New Roman',serif; color: #000000; background-color: transparent; font-weight: 700; font-style: normal; font- variant: normal; text-decoration: none; vertical-align: baseline; white-space: pre-wrap;"&gt;III. RAZÕES DE DECIDIR&lt;/span&gt; &lt;span style="font-size: 12pt; font-family: 'Times New Roman',serif; color: #000000; background-color: transparent; font-weight: 400; font-style: normal; font-variant: normal; text-decoration: none; vertical-align: baseline; white-space: pre-wrap;"&gt;&amp;#160;&lt;/span&gt;&lt;/p&gt;&lt;p style="line-height: 1.38; text-align: justify; margin-top: 6pt; margin-bottom: 6pt;" dir="ltr"&gt; &lt;span style="font-size: 12pt; font-family: 'Times New Roman',serif; color: #000000; background-color: transparent; font-weight: 400; font-style: normal; font-variant: normal; text-decoration: none; vertical-align: baseline; white-space: pre-wrap;"&gt;3. O Apelante, engenheiro civil e trabalhador autônomo, não se desincumbiu do ônus de comprovar a impossibilidade financeira de arcar com o valor fixado a título de alimentos. A mera alegação de desemprego, por si só, não exime o genitor do dever de prestar alimentos, mormente quando as necessidades do menor (6 anos) são presumidas e foram demonstradas. O montante de 1,5 (um e meio) salário mínimo atende ao trinômio norteador da obrigação alimentar.&amp;#160;&lt;/span&gt;&lt;/p&gt;&lt;p style="line-height: 1.38; text-align: justify; margin-top: 6pt; margin-bottom: 6pt;" dir="ltr"&gt; &lt;span style="font-size: 12pt; font- family: 'Times New Roman',serif; color: #000000; background-color: transparent; font- weight: 400; font-style: normal; font-variant: normal; text-decoration: none; vertical-align: baseline; white-space: pre-wrap;"&gt;4. O direito à convivência familiar é um direito fundamental da criança, previsto no art. 19 do Estatuto da Criança e do Adolescente (ECA), e visa garantir seu desenvolvimento integral e o estreitamento dos laços familiares.&lt;/span&gt;&lt;/p&gt;&lt;p style="line-height: 1.38; text-align: justify; margin-top: 6pt;</w:t>
            </w:r>
          </w:p>
          <w:p>
            <w:pPr>
              <w:pStyle w:val="TableParagraph"/>
              <w:tabs>
                <w:tab w:pos="4518" w:val="left" w:leader="none"/>
                <w:tab w:pos="5263" w:val="left" w:leader="none"/>
                <w:tab w:pos="6269" w:val="left" w:leader="none"/>
              </w:tabs>
              <w:spacing w:line="208" w:lineRule="auto" w:before="0"/>
              <w:ind w:right="40"/>
              <w:rPr>
                <w:sz w:val="20"/>
              </w:rPr>
            </w:pPr>
            <w:r>
              <w:rPr>
                <w:sz w:val="20"/>
              </w:rPr>
              <w:t>margin-bottom: 6pt;" dir="ltr"&gt; &lt;span style="font-size: 12pt; font-family: 'Times New Roman',serif; color: #000000; background-color: transparent; font-weight: 400; font-style: normal; font-variant: normal; text-decoration: none; vertical-align: baseline; white-space: pre-wrap;"&gt;5. A legislação (art. 83, ECA) não exige autorização judicial para que a criança viaje com um dos pais dentro do território nacional. A restrição imposta na sentença mostra-se desarrazoada e extrapola a exigência legal, dificultando o convívio da criança com a integralidade de sua família, o que contraria o princípio do melhor interesse do menor.&amp;#160;&lt;/span&gt;&lt;/p&gt;&lt;p style="line-height: 1.38; text-align: justify; margin-top: 6pt; margin-bottom: 6pt;" dir="ltr"&gt; &lt;span style="font-size: 12pt; font-family: 'Times New Roman',serif; color: #000000; background-color: transparent; font-weight: 400; font-style: normal; font-variant: normal; text-decoration: none; vertical-align: baseline; white-space: pre-wrap;"&gt;6. Contudo, em atenção à idade do infante (6 anos) e à necessidade de adaptação, acolhe-se a ponderação da Procuradoria de Justiça para que o afastamento </w:t>
            </w:r>
            <w:r>
              <w:rPr>
                <w:spacing w:val="-9"/>
                <w:sz w:val="20"/>
              </w:rPr>
              <w:t>do </w:t>
            </w:r>
            <w:r>
              <w:rPr>
                <w:sz w:val="20"/>
              </w:rPr>
              <w:t>lar materno ocorra de forma gradual, autorizando-se o deslocamento para outro estado após o decurso do prazo de 1 (um) ano, a contar da decisão que estabeleceu o regime de convivência.&lt;/span&gt;&lt;/p&gt;&lt;p style="line-height: 1.38; text-align: justify; margin-top: 6pt; margin-bottom: 6pt;" dir="ltr"&gt; &lt;span style="font-size: 12pt; font-family: 'Times New Roman',serif; color: #000000; background-color: transparent; font-weight: 700; font-style: normal; font-variant: normal; text-decoration: none; vertical-align: baseline; white-space: pre-wrap;"&gt;IV. DISPOSITIVO E TESE&lt;/span&gt;&lt;/p&gt;&lt;p style="line-height: 1.38; text-align: justify; margin-top: 6pt; margin-bottom: 6pt;" dir="ltr"&gt; &lt;span style="font-size: 12pt; font- family: 'Times New Roman',serif; color: #000000; background-color: transparent; font- weight: 400; font-style: normal; font-variant: normal; text-decoration: none; vertical-align: baseline; white-space: pre-wrap;"&gt;7. Recurso conhecido e parcialmente provido.&lt;/span&gt;&lt;/p&gt;&lt;p style="line-height: 1.7999999999999998; text-align: justify; margin- top: 12pt; margin-bottom: 12pt;" dir="ltr"&gt; &lt;span id="docs-internal-guid-086315d5-7fff- f18e-cb93-31097eda411e"&gt; &lt;span style="font-size: 12pt; font-family: &amp;quot;Times New Roman&amp;quot;, serif; background-color: transparent; font-style: italic; font-variant-numeric: normal; font-variant-east-asian: normal; font-variant-alternates: normal; font-variant- position: normal; font-variant-emoji: normal; vertical-align: baseline; white-space-collapse: preserve;"&gt;Dispositivos relevantes citados:&lt;/span&gt; &lt;span style="font-size: 12pt; font- family: &amp;quot;Times New Roman&amp;quot;, serif; background-color: transparent; font-variant- numeric: normal; font-variant-east-asian: normal; font-variant-alternates: normal; font- variant-position: normal; font-variant-emoji: normal; vertical-align: baseline; white-space- collapse: preserve;"&gt;CC/2002, arts. 1.694, § 1º, e 1.695; Lei nº 8.069/1990 (ECA), arts. 19, 22 e 83.&lt;/span&gt;&lt;/span&gt;&lt;/p&gt;&lt;p style="line-height: 100%; orphans: 0; widows: 0; margin- bottom: 0.21cm;" align="justify"&gt;  &lt;span style="font-size: medium;"&gt;</w:t>
              <w:tab/>
              <w:t>&lt;span style="font- family: &amp;quot;times new roman&amp;quot;, times;"&gt;</w:t>
              <w:tab/>
              <w:t>&lt;br /&gt;</w:t>
              <w:tab/>
              <w:t>&lt;/span&gt; &lt;/span&gt;&lt;/p&gt;&lt;p style="line-height: 150%; orphans: 0; widows: 0; margin-bottom: 0.21cm;" align="justify"&gt;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012" w:val="left" w:leader="none"/>
              </w:tabs>
              <w:spacing w:line="208" w:lineRule="auto" w:before="26"/>
              <w:ind w:right="66"/>
              <w:rPr>
                <w:sz w:val="20"/>
              </w:rPr>
            </w:pPr>
            <w:r>
              <w:rPr>
                <w:sz w:val="20"/>
              </w:rPr>
              <w:t>&lt;span style="font-family: &amp;quot;times new roman&amp;quot;, times;"&gt;</w:t>
              <w:tab/>
              <w:t>&lt;span style="font-size: medium;"&gt;ACÓRDÃO: Vistos, relatados e discutidos estes autos, acorda a Quinta </w:t>
            </w:r>
            <w:r>
              <w:rPr>
                <w:spacing w:val="-3"/>
                <w:sz w:val="20"/>
              </w:rPr>
              <w:t>Câmara </w:t>
            </w:r>
            <w:r>
              <w:rPr>
                <w:sz w:val="20"/>
              </w:rPr>
              <w:t>de Direito Privado Tribunal de Justiça do Estado do Ceará, por unanimidade em&amp;#160;</w:t>
            </w:r>
          </w:p>
          <w:p>
            <w:pPr>
              <w:pStyle w:val="TableParagraph"/>
              <w:tabs>
                <w:tab w:pos="4518" w:val="left" w:leader="none"/>
                <w:tab w:pos="5374" w:val="left" w:leader="none"/>
                <w:tab w:pos="6119" w:val="left" w:leader="none"/>
                <w:tab w:pos="6269" w:val="left" w:leader="none"/>
                <w:tab w:pos="6665" w:val="left" w:leader="none"/>
              </w:tabs>
              <w:spacing w:line="208" w:lineRule="auto" w:before="0"/>
              <w:ind w:right="209"/>
              <w:rPr>
                <w:sz w:val="20"/>
              </w:rPr>
            </w:pPr>
            <w:r>
              <w:rPr>
                <w:sz w:val="20"/>
              </w:rPr>
              <w:t>&lt;strong&gt;CONHECER&lt;/strong&gt; do recurso de Apelação, para no mérito</w:t>
              <w:tab/>
            </w:r>
            <w:r>
              <w:rPr>
                <w:spacing w:val="-2"/>
                <w:sz w:val="20"/>
              </w:rPr>
              <w:t>&lt;strong&gt;DAR- </w:t>
            </w:r>
            <w:r>
              <w:rPr>
                <w:sz w:val="20"/>
              </w:rPr>
              <w:t>LHE PARCIAL PROVIMENTO&lt;/strong&gt; nos termos do voto do relator, parte integrante deste.&lt;/span&gt; &lt;/span&gt;&lt;/p&gt;&lt;p style="line-height: 115%; orphans: 0; widows: 0; margin- bottom: 0.21cm;" align="justify"&gt;  &lt;span style="font-size: medium;"&gt;</w:t>
              <w:tab/>
              <w:tab/>
              <w:t>&lt;span style="font- family: &amp;quot;times new roman&amp;quot;, times;"&gt;</w:t>
              <w:tab/>
              <w:t>&lt;br /&gt;</w:t>
              <w:tab/>
              <w:t>&lt;br /&gt;</w:t>
              <w:tab/>
              <w:t>&lt;/span&gt;</w:t>
            </w:r>
          </w:p>
          <w:p>
            <w:pPr>
              <w:pStyle w:val="TableParagraph"/>
              <w:tabs>
                <w:tab w:pos="2438" w:val="left" w:leader="none"/>
                <w:tab w:pos="3507" w:val="left" w:leader="none"/>
                <w:tab w:pos="4709" w:val="left" w:leader="none"/>
                <w:tab w:pos="5130" w:val="left" w:leader="none"/>
                <w:tab w:pos="5798" w:val="left" w:leader="none"/>
              </w:tabs>
              <w:spacing w:line="208" w:lineRule="auto" w:before="0"/>
              <w:ind w:right="20"/>
              <w:rPr>
                <w:sz w:val="20"/>
              </w:rPr>
            </w:pPr>
            <w:r>
              <w:rPr>
                <w:sz w:val="20"/>
              </w:rPr>
              <w:t>&lt;/span&gt;&lt;/p&gt;&lt;p style="line-height: 115%; orphans: 0; widows: 0; margin-bottom: 0.21cm;" align="justify"&gt;  &lt;span style="font-size: medium;"&gt;</w:t>
              <w:tab/>
              <w:t>&lt;span style="font-family: &amp;quot;times new roman&amp;quot;, times;"&gt;F&lt;/span&gt;</w:t>
              <w:tab/>
              <w:t>&lt;span style="font-family: &amp;quot;times new roman&amp;quot;, times;"&gt;ortaleza, data registrada no sistema.&lt;/span&gt; &lt;/span&gt;&lt;/p&gt;&lt;p style="color: #000000; font-family: Arial, Verdana, sans-serif; font-size: 11px; font-style: normal; font-variant-ligatures: normal; font-variant-caps: normal; font-weight: 400; letter- spacing: normal; orphans: 2; text-align: start; text-indent: 0px; text-transform: none; </w:t>
            </w:r>
            <w:r>
              <w:rPr>
                <w:spacing w:val="-3"/>
                <w:sz w:val="20"/>
              </w:rPr>
              <w:t>widows: </w:t>
            </w:r>
            <w:r>
              <w:rPr>
                <w:sz w:val="20"/>
              </w:rPr>
              <w:t>2; word-spacing: 0px; -webkit-text-stroke-width: 0px; white-space: normal; text-decoration- thickness: initial; text-decoration-style: initial; text-decoration-color: initial;"&gt; &lt;span style="font-size: small;"&gt;</w:t>
              <w:tab/>
              <w:t>&lt;span style="font-size: medium;"&gt;</w:t>
              <w:tab/>
              <w:t>&lt;span style="font-family: &amp;quot;times new roman&amp;quot;, times;"&gt;&amp;#160;&lt;/span&gt;</w:t>
              <w:tab/>
              <w:t>&lt;/span&gt;</w:t>
            </w:r>
          </w:p>
          <w:p>
            <w:pPr>
              <w:pStyle w:val="TableParagraph"/>
              <w:tabs>
                <w:tab w:pos="1840" w:val="left" w:leader="none"/>
                <w:tab w:pos="6314" w:val="left" w:leader="none"/>
                <w:tab w:pos="7437" w:val="left" w:leader="none"/>
              </w:tabs>
              <w:spacing w:line="208" w:lineRule="auto" w:before="0"/>
              <w:ind w:right="164"/>
              <w:rPr>
                <w:sz w:val="20"/>
              </w:rPr>
            </w:pPr>
            <w:r>
              <w:rPr>
                <w:sz w:val="20"/>
              </w:rPr>
              <w:t>&lt;/span&gt;&lt;/p&gt;&lt;p&gt;&amp;#160;&lt;/p&gt;&lt;p style="line-height: 100%; orphans: 0; widows: 0; margin- bottom: 0.21cm;" align="center"&gt;  &lt;span style="font-size: medium;"&gt;</w:t>
              <w:tab/>
              <w:t>&lt;strong&gt;</w:t>
              <w:tab/>
            </w:r>
            <w:r>
              <w:rPr>
                <w:spacing w:val="-4"/>
                <w:sz w:val="20"/>
              </w:rPr>
              <w:t>&lt;span </w:t>
            </w:r>
            <w:r>
              <w:rPr>
                <w:sz w:val="20"/>
              </w:rPr>
              <w:t>style="font-family: &amp;quot;times new roman&amp;quot;, times;"&gt;MARIA REGINA OLIVEIRA CÂMARA&lt;/span&gt;</w:t>
              <w:tab/>
              <w:t>&lt;/strong&gt; &lt;/span&gt;&lt;/p&gt;&lt;p style="line-height: 115%; orphans: 0; widows: 0; margin-bottom: 0.21cm;" align="center"&gt; &lt;span style="font-size: medium;"&gt;</w:t>
            </w:r>
          </w:p>
          <w:p>
            <w:pPr>
              <w:pStyle w:val="TableParagraph"/>
              <w:tabs>
                <w:tab w:pos="4518" w:val="left" w:leader="none"/>
                <w:tab w:pos="5374" w:val="left" w:leader="none"/>
                <w:tab w:pos="6119" w:val="left" w:leader="none"/>
                <w:tab w:pos="6314" w:val="left" w:leader="none"/>
              </w:tabs>
              <w:spacing w:line="208" w:lineRule="auto" w:before="0"/>
              <w:ind w:right="143"/>
              <w:rPr>
                <w:sz w:val="20"/>
              </w:rPr>
            </w:pPr>
            <w:r>
              <w:rPr>
                <w:sz w:val="20"/>
              </w:rPr>
              <w:t>&lt;span style="font-family: &amp;quot;times new roman&amp;quot;, times;"&gt;Presidente do Órgão Julgador&lt;/span&gt; &lt;/span&gt;&lt;/p&gt;&lt;p style="line-height: 100%; orphans: 0; widows: 0; </w:t>
            </w:r>
            <w:r>
              <w:rPr>
                <w:spacing w:val="-3"/>
                <w:sz w:val="20"/>
              </w:rPr>
              <w:t>margin- </w:t>
            </w:r>
            <w:r>
              <w:rPr>
                <w:sz w:val="20"/>
              </w:rPr>
              <w:t>bottom: 0.21cm;" align="center"&gt;  &lt;span style="font-size: medium;"&gt;</w:t>
              <w:tab/>
              <w:tab/>
              <w:t>&lt;span style="font- family: &amp;quot;times new roman&amp;quot;, times;"&gt;</w:t>
              <w:tab/>
              <w:t>&lt;br /&gt;</w:t>
              <w:tab/>
              <w:t>&lt;br /&gt;</w:t>
              <w:tab/>
              <w:t>&lt;/span&gt;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4754"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style="line- height: 100%; orphans: 0; widows: 0; margin-bottom: 0.21cm;"</w:t>
            </w:r>
          </w:p>
          <w:p>
            <w:pPr>
              <w:pStyle w:val="TableParagraph"/>
              <w:tabs>
                <w:tab w:pos="1683" w:val="left" w:leader="none"/>
                <w:tab w:pos="7767" w:val="left" w:leader="none"/>
              </w:tabs>
              <w:spacing w:line="208" w:lineRule="auto" w:before="0"/>
              <w:ind w:right="91"/>
              <w:rPr>
                <w:sz w:val="20"/>
              </w:rPr>
            </w:pPr>
            <w:r>
              <w:rPr>
                <w:sz w:val="20"/>
              </w:rPr>
              <w:t>align="center"&gt;&amp;#160;&lt;/p&gt;&lt;p style="line-height: 100%; orphans: 0; widows: 0; margin- bottom: 0.21cm;" align="center"&gt;&amp;#160;&lt;/p&gt;&lt;p style="line-height: 100%; orphans: 0; widows: 0; margin-bottom: 0.21cm;" align="center"&gt;&amp;#160;&lt;/p&gt;&lt;p style="line-height: 100%; orphans: 0; widows: 0; margin-bottom: 0.21cm;" align="center"&gt; &lt;span style="font- size: medium;"&gt;</w:t>
              <w:tab/>
              <w:t>&lt;span style="font-family: &amp;quot;times new roman&amp;quot;, times;"&gt;</w:t>
              <w:tab/>
            </w:r>
            <w:r>
              <w:rPr>
                <w:spacing w:val="-6"/>
                <w:sz w:val="20"/>
              </w:rPr>
              <w:t>&lt;br</w:t>
            </w:r>
          </w:p>
          <w:p>
            <w:pPr>
              <w:pStyle w:val="TableParagraph"/>
              <w:tabs>
                <w:tab w:pos="434" w:val="left" w:leader="none"/>
                <w:tab w:pos="2239" w:val="left" w:leader="none"/>
                <w:tab w:pos="2438" w:val="left" w:leader="none"/>
                <w:tab w:pos="3561" w:val="left" w:leader="none"/>
                <w:tab w:pos="7032" w:val="left" w:leader="none"/>
                <w:tab w:pos="7396" w:val="left" w:leader="none"/>
              </w:tabs>
              <w:spacing w:line="208" w:lineRule="auto" w:before="0"/>
              <w:ind w:right="35"/>
              <w:rPr>
                <w:sz w:val="20"/>
              </w:rPr>
            </w:pPr>
            <w:r>
              <w:rPr>
                <w:sz w:val="20"/>
              </w:rPr>
              <w:t>/&gt;</w:t>
              <w:tab/>
              <w:t>&lt;/span&gt; &lt;/span&gt;&lt;/p&gt;&lt;p align="center"&gt; &lt;span style="font-family: &amp;quot;times new roman&amp;quot;, times;"&gt;</w:t>
              <w:tab/>
              <w:t>&lt;br /&gt; &lt;/span&gt;&lt;/p&gt;&lt;p style="text-align: center;"&gt; &lt;span style="font-size: small;"&gt;</w:t>
              <w:tab/>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42"/>
              <w:rPr>
                <w:sz w:val="20"/>
              </w:rPr>
            </w:pPr>
            <w:r>
              <w:rPr>
                <w:sz w:val="20"/>
              </w:rPr>
              <w:t>&lt;/strong&gt; &lt;/span&gt;&lt;/p&gt;&lt;p style="line-height: 1.7999999999999998; text-indent: 56.692913385826756pt; text-align: justify; margin-top: 6pt; margin-bottom: 6pt;" dir="ltr"&gt;&lt;span style="font-size: 12pt; font-family: 'Times New Roman',serif; color: #000000; background-color: transparent; font-weight: 700; font-style: normal; font-variant: normal; text-decoration: none; vertical-align: baseline; white-space: pre-wrap;"&gt;Wandel Alberto Pereira da Silva&lt;/span&gt; &lt;span style="font-size: 12pt; font-family: 'Times New Roman',serif; color: #000000; background-color: transparent; font-weight: 400; font-style: normal; font- variant: normal; text-decoration: none; vertical-align: baseline; white-space: pre- wrap;"&gt;interpôs&lt;/span&gt; &lt;span style="font-size: 12pt; font-family: 'Times New Roman',serif; color: #000000; background-color: transparent; font-weight: 700; font-style: normal; font- variant: normal; text-decoration: none; vertical-align: baseline; white-space: pre- wrap;"&gt;Recurso de Apelação (id. 19624991)&lt;/span&gt; &lt;span style="font-size: 12pt; font- family: 'Times New Roman',serif; color: #000000; background-color: transparent; font- weight: 400; font-style: normal; font-variant: normal; text-decoration: none; vertical-align: baseline; white-space: pre-wrap;"&gt;visando reformar a sentença (id. 19624983) proferida na&lt;/span&gt; &lt;span style="font-size: 12pt; font-family: 'Times New Roman',serif; color: #000000; background-color: transparent; font-weight: 700; font-style: normal; font-variant: normal; text-decoration: none; vertical-align: baseline; white-space: pre-wrap;"&gt;Ação de oferta de alimentos c/c regulamentação de guarda e autorização de viagem&lt;/span&gt;&lt;span style="font-size: 12pt; font-family: 'Times New Roman',serif; color: #000000; background- color: transparent; font-weight: 400; font-style: normal; font-variant: normal; text-decoration: none; vertical-align: baseline; white-space: pre-wrap;"&gt;, ajuizada pelo Apelante contra seu filho,&lt;/span&gt; &lt;span style="font-size: 12pt; font-family: 'Times New Roman',serif; 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#000000; background-color: transparent; font-weight: 700; font-style: normal; font-variant: normal; text-decoration: none; vertical-align: baseline; white-space: pre-wrap;"&gt;Eduardo Kauai Carneiro Pereira&lt;/span&gt;&lt;span style="font-size: 12pt; font-family: 'Times New Roman',serif; color: #000000; background-color: transparent; font-weight: 400; font-style: normal; font-variant: normal; text-decoration: none; vertical-align: baseline; white-space: pre-wrap;"&gt;, representado por&lt;/span&gt; &lt;span style="font-size: 12pt; font-family: 'Times New Roman',serif; color: #000000; background-color: transparent; font-weight: 700; font-style: normal; font-variant: normal; text-decoration: none; vertical-align: baseline; white-space: pre-wrap;"&gt;Elisabeth Carvalho Carneiro&lt;/span&gt;&lt;span style="font-size: 12pt; font-family: 'Times New Roman',serif; color: #000000; background-color: transparent; font-weight: 400; font-style: normal; font-variant: normal; text-decoration: none; vertical-align: baseline; white- space: pre-wrap;"&gt;. O Apelante requereu, na inicial, a fixação de guarda compartilhada, pensão alimentícia de 65% do salário mínimo, e autorização de viagem com o menor à terra natal dos avós paternos.&lt;/span&gt;&lt;/p&gt;&lt;p style="line-height: 1.7999999999999998;</w:t>
            </w:r>
          </w:p>
          <w:p>
            <w:pPr>
              <w:pStyle w:val="TableParagraph"/>
              <w:spacing w:line="208" w:lineRule="auto" w:before="0"/>
              <w:ind w:right="37"/>
              <w:rPr>
                <w:sz w:val="20"/>
              </w:rPr>
            </w:pPr>
            <w:r>
              <w:rPr>
                <w:sz w:val="20"/>
              </w:rPr>
              <w:t>text-indent: 56.692913385826756pt; text-align: justify; margin-top: 6pt; margin-bottom: </w:t>
            </w:r>
            <w:r>
              <w:rPr>
                <w:spacing w:val="-4"/>
                <w:sz w:val="20"/>
              </w:rPr>
              <w:t>6pt;" </w:t>
            </w:r>
            <w:r>
              <w:rPr>
                <w:sz w:val="20"/>
              </w:rPr>
              <w:t>dir="ltr"&gt;&lt;span style="font-size: 12pt; font-family: 'Times New Roman',serif; color: #000000; background-color: transparent; font-weight: 400; font-style: normal; font-variant: normal; text-decoration: none; vertical-align: baseline; white-space: pre-wrap;"&gt;A sentença julgou parcialmente procedente o pedido da Requerida/Reconvinte para fixar os alimentos definitivos no importe de 1,5 salário mínimo vigente. Deferiu a guarda compartilhada, fixando o lar materno como referência. Regulamentou a convivência paterno-filial (finais de semana e feriados alternados), permitindo levar o filho para a residência do pai na Comarca, mas&lt;/span&gt; &lt;span style="font-size: 12pt; font-family: 'Times New Roman',serif; color: #000000; background-color: transparent; font-weight: 700; font-style: normal; font- variant: normal; text-decoration: none; vertical-align: baseline; white-space: pre-wrap;"&gt;não deferiu o pedido de deslocamento do menor para outro estado&lt;/span&gt;&lt;span style="font- size: 12pt; font-family: 'Times New Roman',serif; color: #000000; background-color: transparent; font-weight: 400; font-style: normal; font-variant: normal; text-decoration: </w:t>
            </w:r>
            <w:r>
              <w:rPr>
                <w:spacing w:val="-3"/>
                <w:sz w:val="20"/>
              </w:rPr>
              <w:t>none; </w:t>
            </w:r>
            <w:r>
              <w:rPr>
                <w:sz w:val="20"/>
              </w:rPr>
              <w:t>vertical-align: baseline; white-space: pre-wrap;"&gt;.&amp;#160;&lt;/span&gt;&lt;/p&gt;&lt;p style="line-height: 1.7999999999999998; text-indent: 56.692913385826756pt; text-align: justify; margin-top: 6pt; margin-bottom: 6pt;" dir="ltr"&gt;&lt;span style="font-size: 12pt; font-family: 'Times New Roman',serif; color: #000000; background-color: transparent; font-weight: 400; font-style: normal; font-variant: normal; text-decoration: none; vertical-align: baseline; white-space: pre-wrap;"&gt;O Apelante busca a reforma da sentença, alegando&lt;/span&gt; &lt;span style="font- size: 12pt; font-family: 'Times New Roman',serif; color: #000000; background-color: transparent; font-weight: 400; font-style: italic; font-variant: normal; text-decoration: none; vertical-align: baseline; white-space: pre-wrap;"&gt;error in judicando&lt;/span&gt; &lt;span style="font-size: 12pt; font-family: 'Times New Roman',serif; color: #000000; background- color: transparent; font-weight: 400; font-style: normal; font-variant: normal; text-decoration: none; vertical-align: baseline; white-space: pre-wrap;"&gt;ao desconsiderar a declaração de imposto de renda e o comprovante de rendas trazidos por ele. Argumenta que está desempregado desde janeiro, realiza atividades&lt;/span&gt; &lt;span style="font-size: 12pt; font- family: 'Times New Roman',serif; color: #000000; background-color: transparent; font- weight: 400; font-style: italic; font-variant: normal; text-decoration: none; vertical-align: baseline; white-space: pre-wrap;"&gt;freelancer&lt;/span&gt;&lt;span style="font-size: 12pt; font- family: 'Times New Roman',serif; color: #000000; background-color: transparent; font- weight: 400; font-style: normal; font-variant: normal; text-decoration: none; vertical-align: baseline; white-space: pre-wrap;"&gt;, e não possui condições financeiras de arcar com 1,5 salário mínimo. Requer, portanto, a concessão do efeito suspensivo e, no mérito, a redução da pensão alimentícia para 65% do salário mínimo e a autorização para viajar com o me&lt;/span&gt;&lt;span style="font-size: 12pt; font-family: 'Times New Roman',serif; color: #000000; background-color: transparent; font-weight: 700; font-style: normal; font-variant: normal; text-decoration: none; vertical-align: baseline; white-space: pre-wrap;"&gt;Wandel Alberto Pereira da Silva&lt;/span&gt; &lt;span style="font-size: 12pt; font-family: 'Times New Roman',serif; color: #000000; background-color: transparent; font-weight: 400; font-style: normal; font-variant: normal; text-decoration: none; vertical-align: baseline; white-space: pre-wrap;"&gt;interpôs&lt;/span&gt; &lt;span style="font-size: 12pt; font-family: 'Times New Roman',serif; color: #000000; background-color: transparent; font-weight: 700; font-style: normal; font-variant: normal; text-decoration: none; vertical-align: baseline; white-space: pre-wrap;"&gt;Recurso de Apelação (id. 19624991)&lt;/span&gt; &lt;span style="font-size: 12pt; font- family: 'Times New Roman',serif; color: #000000; background-color: transparent; font- weight: 400; font-style: normal; font-variant: normal; text-decoration: none; vertical-align: baseline; white-space: pre-wrap;"&gt;visando reformar a sentença (id. 19624983) proferida em&lt;/span&gt; &lt;span style="font-size: 12pt; font-family: 'Times New Roman',serif; color: #000000; background-color: transparent; font-weight: 700; font-style: normal; font-variant: normal; text-decoration: none; vertical-align: baseline; white-space: pre-wrap;"&gt;Ação de oferta de alimentos c/c regulamentação de guarda e autorização de viagem&lt;/span&gt;&lt;span style="font-size: 12pt; font-family: 'Times New Roman',serif; color: #000000; background- color: transparent; font-weight: 400; font-style: normal; font-variant: normal; text-decoration: none; vertical-align: baseline; white-space: pre-wrap;"&gt;, ajuizada pelo Apelante contra seu</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filho,&lt;/span&gt; &lt;span style="font-size: 12pt; font-family: 'Times New Roman',serif; color: #000000; background-color: transparent; font-weight: 700; font-style: normal; font-variant: normal; text-decoration: none; vertical-align: baseline; white-space: pre-wrap;"&gt;Eduardo Kauai Carneiro Pereira&lt;/span&gt;&lt;span style="font-size: 12pt; font-family: 'Times New Roman',serif; color: #000000; background-color: transparent; font-weight: 400; font-style: normal; font-variant: normal; text-decoration: none; vertical-align: baseline; white-space: pre-wrap;"&gt;, representado por&lt;/span&gt; &lt;span style="font-size: 12pt; font-family: 'Times </w:t>
            </w:r>
            <w:r>
              <w:rPr>
                <w:spacing w:val="-5"/>
                <w:sz w:val="20"/>
              </w:rPr>
              <w:t>New </w:t>
            </w:r>
            <w:r>
              <w:rPr>
                <w:sz w:val="20"/>
              </w:rPr>
              <w:t>Roman',serif; color: #000000; background-color: transparent; font-weight: 700; font-style: normal; font-variant: normal; text-decoration: none; vertical-align: baseline; white-space: pre-wrap;"&gt;Elisabeth Carvalho Carneiro&lt;/span&gt;&lt;span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O Apelante requereu, na inicial, a fixação de guarda compartilhada, o estabelecimento de pensão alimentícia em valor equivalente a 65% do salário mínimo, e autorização de viagem com o menor à terra natal dos avós paternos.&lt;/span&gt;&lt;/p&gt;&lt;p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vertical-align: baseline; white-space: pre-wrap;"&gt;A sentença julgou parcialmente procedente o pedido da Requerida/Reconvinte para fixar os alimentos definitivos no importe de 1,5 salário mínimo vigente. Deferiu a guarda compartilhada, fixando o lar materno como referência. Regulamentou a convivência paterno-filial (finais de semana e feriados alternados), permitindo levar o filho para a residência do pai situada na Cidade de Fortaleza, mas&lt;/span&gt; &lt;span style="font-size: 12pt; font-family: 'Times New Roman',serif; color: #000000; background-color: transparent; font-weight: 700; font-style: normal; font-variant: normal; text-decoration: none; vertical- align: baseline; white-space: pre-wrap;"&gt;não deferiu o pedido de deslocamento do menor para outro estado&lt;/span&gt;&lt;span style="font-size: 12pt; font-family: 'Times New Roman',serif; color: #000000; background-color: transparent; font-weight: 400; font-style: normal; font-variant: normal; text-decoration: none; vertical-align: baseline; white-space: pre-wrap;"&gt;.&amp;#160;&lt;/span&gt;&lt;/p&gt;&lt;p style="line-height: 1.7999999999999998; text-indent: 57pt; text-align: justify; margin-top: 6pt; margin-bottom: 6pt;" dir="ltr"&gt;&lt;span style="font- size: 12pt; font-family: 'Times New Roman',serif; color: #000000; background-color: transparent; font-weight: 400; font-style: normal; font-variant: normal; text-decoration: none; vertical-align: baseline; white-space: pre-wrap;"&gt;O Apelante busca a reforma da sentença, alegando&lt;/span&gt; &lt;span style="font-size: 12pt; font-family: 'Times New Roman',serif; color: #000000; background-color: transparent; font-weight: 400; font-style: italic; font-variant: normal; text-decoration: none; vertical-align: baseline; white-space: pre-wrap;"&gt;error in judicando&lt;/span&gt; &lt;span style="font-size: 12pt; font-family: 'Times New Roman',serif; color: #000000; background-color: transparent; font-weight: 400; font-style: normal; font-variant: normal; text-decoration: none; vertical-align: baseline; white-space: pre-wrap;"&gt;ao desconsiderar a declaração de imposto de renda e o comprovante de rendas trazidos por ele. Argumenta que está desempregado desde janeiro, realiza atividades&lt;/span&gt; &lt;span style="font-size: 12pt; font-family: 'Times New Roman',serif; color: #000000; background- color: transparent; font-weight: 400; font-style: italic; font-variant: normal; text-decoration: none; vertical-align: baseline; white-space: pre-wrap;"&gt;freelancer&lt;/span&gt;&lt;span style="font- size: 12pt; font-family: 'Times New Roman',serif; color: #000000; background-color: transparent; font-weight: 400; font-style: normal; font-variant: normal; text-decoration: none; vertical-align: baseline; white-space: pre-wrap;"&gt;, e não possui condições financeiras de arcar com 1,5 salário mínimo. Requer, portanto, a concessão do efeito suspensivo e, no mérito, a redução da pensão alimentícia para 65% do salário mínimo e a autorização para viajar com o menor dentro do território nacional para convivência com a família paterna.&lt;/span&gt;&lt;/p&gt;&lt;p style="line-height: 1.7999999999999998; text-indent: 57pt; text- align: justify; margin-top: 6pt; margin-bottom: 6pt;" dir="ltr"&gt; &lt;span style="font-size: 12pt; font-family: 'Times New Roman',serif; color: #000000; background-color: transparent; font- weight: 400; font-style: normal; font-variant: normal; text-decoration: none; vertical-align: baseline; white-space: pre-wrap;"&gt;Nas Contrarrazões (id. 19624994), a Apelada rechaça a alegação de hipossuficiência do Apelante, requerendo o indeferimento do efeito suspensivo. Apresenta extratos do Cadastro Nacional da Pessoa Jurídica (CNPJ) demonstrando que o Apelante é Sócio-Administrador em três empresas ativas de engenharia. Afirma que o Apelante possui um padrão de vida elevado (reside em área nobre com aluguel estimado em R$ 2.800/mês, mais condomínio e IPTU, totalizando R$ 3.800/mês), além de indícios de movimentação financeira e patrimônio incompatíveis com a renda alegada (estimativa de renda mensal de 7 a 10 salários mínimos e patrimônio de 1 a 5 milhões de reais, segundo plataforma de consulta). Requer a manutenção da sentença e a majoração dos honorários sucumbenciais.&lt;/span&gt;&lt;/p&gt;&lt;p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vertical-align: baseline; white-space: pre-wrap;"&gt;Instada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0"/>
              <w:rPr>
                <w:sz w:val="20"/>
              </w:rPr>
            </w:pPr>
            <w:r>
              <w:rPr>
                <w:sz w:val="20"/>
              </w:rPr>
              <w:t>se manifestar, a douta Procuradoria-Geral de Justiça manifestou-se (id. 25421040) pelo conhecimento e&lt;/span&gt; &lt;span style="font-size: 12pt; font-family: 'Times New </w:t>
            </w:r>
            <w:r>
              <w:rPr>
                <w:spacing w:val="-2"/>
                <w:sz w:val="20"/>
              </w:rPr>
              <w:t>Roman',serif; </w:t>
            </w:r>
            <w:r>
              <w:rPr>
                <w:sz w:val="20"/>
              </w:rPr>
              <w:t>color: #000000; background-color: transparent; font-weight: 700; font-style: normal; font- variant: normal; text-decoration: none; vertical-align: baseline; white-space: pre- wrap;"&gt;provimento parcial&lt;/span&gt; &lt;span style="font-size: 12pt; font-family: 'Times New Roman',serif; color: #000000; background-color: transparent; font-weight: 400; font-style: normal; font-variant: normal; text-decoration: none; vertical-align: baseline; white-space: pre-wrap;"&gt;do Recurso de Apelação, opinando pela manutenção da pensão alimentícia fixada em 1,5 salário mínimo, pois o Apelante não comprovou sua impossibilidade financeira de arcar com o valor. No entanto, opina por reformar parcialmente a sentença para que a proibição de deslocamento do menor para outro estado seja temporária, autorizando a viagem do menor acompanhado do genitor após um ano da decisão que estabeleceu o regime de convivência.&lt;/span&gt;&lt;/p&gt;&lt;p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text-align: center; margin-top: 6pt; margin-bottom: 6pt;" dir="ltr"&gt; &lt;span style="font-size: 12pt; font-family: 'Times New Roman',serif; color: #000000; background-color: transparent; font-weight: 700;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pre-wrap;"&gt;VOTO&lt;/span&gt;&lt;/p&gt;&lt;p style="line-height: 1.7999999999999998; text- indent: 57pt; text-align: justify; margin-top: 6pt; margin-bottom: 6pt;" dir="ltr"&gt; &lt;span style="font-size: 12pt; font-family: 'Times New Roman',serif; color: #000000; background- color: transparent; font-weight: 400; font-style: normal; font-variant: normal; text-decoration: none; vertical-align: baseline; white-space: pre-wrap;"&gt;Presentes os pressupostos de admissibilidade recursal, conheço do apelo e passo à análise do mérito&lt;/span&gt;&lt;/p&gt;&lt;p style="line-height: 1.7999999999999998; text-indent: 57pt; text-align: justify; margin-top: 6pt; margin-bottom: 6pt;" dir="ltr"&gt; &lt;span style="font-size: 12pt; font-family: 'Times New Roman',serif; color: #000000; background-color: transparent; font-weight: 700; font-style: normal; font-variant: normal; text-decoration: none; vertical-align: baseline; white-space: pre-wrap;"&gt;1. Dos Alimentos&lt;/span&gt;&lt;/p&gt;&lt;p style="line-height: 1.7999999999999998; text- indent: 57pt; text-align: justify; margin-top: 6pt; margin-bottom: 6pt;" dir="ltr"&gt; &lt;span style="font-size: 12pt; font-family: 'Times New Roman',serif; color: #000000; background- color: transparent; font-weight: 400; font-style: normal; font-variant: normal; text-decoration: none; vertical-align: baseline; white-space: pre-wrap;"&gt;A obrigação alimentar rege-se pelo trinômio necessidade/possibilidade/proporcionalidade, conforme preceituam os arts. 1.694,</w:t>
            </w:r>
          </w:p>
          <w:p>
            <w:pPr>
              <w:pStyle w:val="TableParagraph"/>
              <w:spacing w:line="208" w:lineRule="auto" w:before="0"/>
              <w:ind w:right="42"/>
              <w:rPr>
                <w:sz w:val="20"/>
              </w:rPr>
            </w:pPr>
            <w:r>
              <w:rPr>
                <w:sz w:val="20"/>
              </w:rPr>
              <w:t>§ 1º, e 1.695 do Código Civil, e o art. 22 do Estatuto da Criança e do Adolescente. A responsabilidade pelo sustento dos filhos menores compete a ambos os pais.&lt;/span&gt;&lt;/p&gt;&lt;p style="line-height: 1.7999999999999998; text-indent: 57pt; text-align: justify; margin-top: 6pt; margin-bottom: 6pt;" dir="ltr"&gt; &lt;span style="font-size: 12pt; font- family: 'Times New Roman',serif; color: #000000; background-color: transparent; font- weight: 400; font-style: normal; font-variant: normal; text-decoration: none; vertical-align: baseline; white-space: pre-wrap;"&gt;Neste ponto, adoto integralmente os fundamentos do parecer ministerial.&lt;/span&gt;&lt;/p&gt;&lt;p style="line-height: 1.7999999999999998; text-indent: 57pt; text-align: justify; margin-top: 6pt; margin-bottom: 6pt;" dir="ltr"&gt; &lt;span style="font- size: 12pt; font-family: 'Times New Roman',serif; color: #000000; background-color: transparent; font-weight: 400; font-style: normal; font-variant: normal; text-decoration: none; vertical-align: baseline; white-space: pre-wrap;"&gt;No caso, as necessidades do menor/apelado são presumidas em razão da idade (6 anos) e foram demonstradas pela genitora, que detalhou despesas mensais básicas que totalizam R$ 5.928,75. Restou comprovado também que a genitora é estudante universitária e conta com auxílio de seus pais para suprir as necessidades do infante.&lt;/span&gt;&lt;/p&gt;&lt;p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pre-wrap;"&gt;O alimentante/apelante, por sua vez, é engenheiro civil e trabalha de forma autônoma.</w:t>
            </w:r>
          </w:p>
          <w:p>
            <w:pPr>
              <w:pStyle w:val="TableParagraph"/>
              <w:spacing w:line="208" w:lineRule="auto" w:before="0"/>
              <w:ind w:right="26"/>
              <w:rPr>
                <w:sz w:val="20"/>
              </w:rPr>
            </w:pPr>
            <w:r>
              <w:rPr>
                <w:sz w:val="20"/>
              </w:rPr>
              <w:t>Embora alegue estar desempregado e realizando atividades de prestação de serviços, o Apelante não se desincumbiu do ônus de comprovar a impossibilidade financeira de suportar a quantia fixada em seu desfavor. A mera alegação de desemprego, por si só, não exime o genitor do dever de prestar alimentos.&lt;/span&gt;&lt;/p&gt;&lt;p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vertical-align: baseline; white-space: pre-wrap;"&gt;Cumpre destacar que o valor foi arbitrado após completa instrução processual, o que confere maior respaldo à decisão. Destarte, o montante fixado em 1,5 (um e meio) salário mínimo atende de forma razoável ao trinômio norteador da obrigação alimentar,&lt;/span&gt; &lt;span </w:t>
            </w:r>
            <w:r>
              <w:rPr>
                <w:spacing w:val="-2"/>
                <w:sz w:val="20"/>
              </w:rPr>
              <w:t>style="font- </w:t>
            </w:r>
            <w:r>
              <w:rPr>
                <w:sz w:val="20"/>
              </w:rPr>
              <w:t>size: 12pt; font-family: &amp;quot;Times New Roman&amp;quot;, serif; color: #000000; 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color: transparent; font-weight: 700; font-style: normal; font-variant: normal; text-decoration- skip-ink: none; vertical-align: baseline; white-space: pre-wrap; text-decoration: underline;"&gt;não merecendo reparo a sentença neste ponto.&lt;/span&gt;&lt;/p&gt;&lt;p style="line- height: 1.7999999999999998; text-indent: 57pt; text-align: justify; margin-top: 6pt; margin- bottom: 6pt;" dir="ltr"&gt; &lt;span style="font-size: 12pt; font-family: 'Times New Roman',serif; color: #000000; background-color: transparent; font-weight: 700; font-style: normal; font- variant: normal; text-decoration: none; vertical-align: baseline; white-space: pre-wrap;"&gt;2. Da Autorização de Viagem&lt;/span&gt;&lt;/p&gt;&lt;p style="line-height: 1.7999999999999998; text- indent: 57pt; text-align: justify; margin-top: 6pt; margin-bottom: 6pt;" dir="ltr"&gt; &lt;span style="font-size: 12pt; font-family: 'Times New Roman',serif; color: #000000; background- color: transparent; font-weight: 400; font-style: normal; font-variant: normal; text-decoration: none; vertical-align: baseline; white-space: pre-wrap;"&gt;O Apelante requer autorização para deslocamento do menor para outro estado da federação, de forma a viabilizar a convivência do infante com sua família paterna.&lt;/span&gt;&lt;/p&gt;&lt;p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pre-wrap;"&gt;A sentença de primeiro grau indeferiu o pedido de deslocamento do menor para outro estado.&amp;#160;&lt;/span&gt;&lt;/p&gt;&lt;p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 align: baseline; white-space: pre-wrap;"&gt;A douta Procuradoria de Justiça, em seu parecer (id. 25421040), também opinou pela reforma da sentença neste ponto, ressaltando que "&lt;/span&gt;&lt;span style="font-size: 12pt; font-family: 'Times New Roman',serif; color: #000000; background-color: transparent; font-weight: 400; font-style: italic; font-variant: normal; text-decoration: none; vertical-align: baseline; white-space: pre-wrap;"&gt;Quanto ao regime de convivência paterna, merece reparo em relação à autorização para deslocamento do menor para outro estado&lt;/span&gt;&lt;span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 e que a criança&lt;/span&gt; &lt;span style="font-size: 12pt; font-family: 'Times New Roman',serif; color: #000000; background-color: transparent; font-weight: 400; font-style: italic; font-variant: normal; text-decoration: none; vertical-align: baseline; white- space: pre-wrap;"&gt;"não pode ser impedida do convívio e estreitamento dos laços familiares paternos&lt;/span&gt;&lt;span style="font-size: 12pt; font-family: 'Times New Roman',serif; color: #000000; background-color: transparent; font-weight: 400; font-style: normal; font-variant: normal; text-decoration: none; vertical-align: baseline; white-space: pre-wrap;"&gt;".&lt;/span&gt;&lt;/p&gt;&lt;p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 align: baseline; white-space: pre-wrap;"&gt;Com efeito,&amp;#160; o direito à convivência familiar não é mera faculdade dos genitores, mas sim um direito fundamental da própria criança, previsto no&lt;/span&gt; &lt;span style="font-size: 12pt; font-family: 'Times New Roman',serif; color: #000000; background-color: transparent; font-weight: 700; font-style: normal; font- variant: normal; text-decoration: none; vertical-align: baseline; white-space: pre-wrap;"&gt;Art. 19 do Estatuto da Criança e do Adolescente (Lei nº 8.069/90)&lt;/span&gt;&lt;span style="font- size: 12pt; font-family: 'Times New Roman',serif; color: #000000; background-color: transparent; font-weight: 400; font-style: normal; font-variant: normal; text-decoration: none; vertical-align: baseline; white-space: pre-wrap;"&gt;, que assegura o direito de ser criado e educado no seio de sua família, garantindo seu desenvolvimento integral.&lt;/span&gt;&lt;/p&gt;&lt;p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pre-wrap;"&gt;Sendo que, em nenhum momento dos autos ficou evidenciado que a criança, atualmente com 6 (seis) anos, estaria em situação de risco quando sob os cuidados do pai.&lt;/span&gt;&lt;/p&gt;&lt;p style="line-height: 1.7999999999999998; text-indent: 57pt; text-align: justify; margin-top: 6pt; margin-bottom: 6pt;" dir="ltr"&gt;&lt;span style="font-size: 12pt; font- family: 'Times New Roman',serif; color: #000000; background-color: transparent; font- weight: 400; font-style: normal; font-variant: normal; text-decoration: none; vertical-align: baseline; white-space: pre-wrap;"&gt;Ademais, a própria legislação pertinente, notadamente o Estatuto da Criança e do Adolescente (Lei nº 8.069/90), em seu art. 83, estabelece que nenhuma criança ou adolescente menor de 16 (dezesseis) anos poderá viajar para fora da comarca onde reside&lt;/span&gt; &lt;span style="font-size: 12pt; font-family: 'Times New Roman',serif; color: #000000; background-color: transparent; font-weight: 700; font-style: normal; font-variant: normal; text-decoration: none; vertical-align: baseline; white-space: pre-wrap;"&gt;desacompanhado dos pais ou responsáveis, sem expressa autorização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judicial.&lt;/span&gt;&lt;/p&gt;&lt;p style="line-height: 1.7999999999999998; text-indent: 57pt; text- align: justify; margin-top: 6pt; margin-bottom: 6pt;" dir="ltr"&gt;&lt;span style="font-size: 12pt; font-family: 'Times New Roman',serif; color: #000000; background-color: transparent; font- weight: 400; font-style: normal; font-variant: normal; text-decoration: none; vertical-align: baseline; white-space: pre-wrap;"&gt;A interpretação pacífica de referido dispositivo é que a autorização judicial&lt;/span&gt; &lt;span style="font-size: 12pt; font-family: 'Times New Roman',serif; color: #000000; background-color: transparent; font-weight: 700; font-style: normal; font-variant: normal; text-decoration: none; vertical-align: baseline; white-space: pre-wrap;"&gt;não é necessária&lt;/span&gt; &lt;span style="font-size: 12pt; font-family: 'Times New Roman',serif; color: #000000; background-color: transparent; font-weight: 400; font-style: normal; font-variant: normal; text-decoration: none; vertical-align: baseline; white-space: pre-wrap;"&gt;para a criança viajar com o pai (ou a mãe) dentro do Brasil. A exigência de autorização aplica-se apenas a viagens internacionais ou a viagens nacionais quando o menor está desacompanhado de ambos os genitores (ou responsáveis), e quando viajar na companhia de um dos pais, deverá haver autorização expressa pelo outro genitor através de documento com firma reconhecida.&lt;/span&gt;&lt;/p&gt;&lt;p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pre-wrap;"&gt;No presente caso, foi deferida a guarda compartilhada e o genitor está em pleno exercício de seu poder familiar. A restrição imposta pela sentença — de não poder deslocar-se com o filho para outro estado onde reside a família paterna — mostra-se, portanto, desarrazoada, extrapolando a exigência legal e dificultando o convívio da criança com a integralidade de sua família, o que contraria o princípio do melhor interesse do menor.&lt;/span&gt;&lt;/p&gt;&lt;p style="line-height: 1.7999999999999998; text-indent: 57pt; text-align: justify; margin-top: 6pt; margin-bottom: 6pt;" dir="ltr"&gt; &lt;span style="font-size: 12pt; font-family: 'Times New Roman',serif; color: #000000; background-color: transparent; font-weight: 400; font-style: normal; font-variant: normal; text-decoration: none; vertical-align: baseline; white-space: pre-wrap;"&gt;Contudo, conforme prudentemente ponderado pela Procuradoria de Justiça, deve-se considerar a atual idade do infante, 6 (seis) anos, o que demanda que o afastamento do lar materno (definido como referência) ocorra de forma gradual. O parecer sugere que a proibição seja temporária, "&lt;/span&gt; &lt;span style="font-size: 12pt; font-family: 'Times New Roman',serif; color: #000000; background-color: transparent; font-weight: 400; font-style: italic; font-variant: normal; text-decoration: none; vertical-align: baseline; white- space: pre-wrap;"&gt;até que o menor se adapte à nova rotina compartilhada dos pais&lt;/span&gt; &lt;span style="font-size: 12pt; font-family: 'Times New Roman',serif; color: #000000; background-color: transparent; font-weight: 400; font-style: normal; font-variant: normal; text-decoration: none; vertical-align: baseline; white-space: pre-wrap;"&gt;", visando preservar seu bem-estar emocional.&lt;/span&gt;&lt;/p&gt;&lt;p style="line-height: 1.7999999999999998; text-indent: 57pt; text-align: justify; margin-top: 6pt; margin-bottom: 6pt;" dir="ltr"&gt;&lt;span style="font-size: 12pt; font-family: 'Times New Roman',serif; color: #000000; background-color: transparent; font-weight: 400; font-style: normal; font-variant: normal; text-decoration: none; vertical-align: baseline; white-space: pre-wrap;"&gt;Assim, acolho integralmente a sugestão do&lt;/span&gt; &lt;span style="font-size: 12pt; font-family: 'Times New Roman',serif; color: #000000; background-color: transparent; font-weight: 400; font-style: italic; font-variant: normal; text-decoration: none; vertical-align: baseline; white- space: pre-wrap;"&gt;Parquet&lt;/span&gt;&lt;span style="font-size: 12pt; font-family: 'Times New Roman',serif; color: #000000; background-color: transparent; font-weight: 400; font-style: normal; font-variant: normal; text-decoration: none; vertical-align: baseline; white-space: pre-wrap;"&gt;, que representa o equilíbrio ideal entre o direito de convivência e o princípio do melhor interesse do menor. A sentença deve ser reformada para que a proibição de deslocamento para outro estado seja temporária, autorizando-se o deslocamento do menor, acompanhado de seu genitor,&lt;/span&gt;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pre-wrap;"&gt;após o decurso do prazo de 1 (um) ano, a contar da decisão que estabeleceu o regime de convivência&lt;/span&gt;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pre-wrap;"&gt;(id. 19624983).&lt;/span&gt;&lt;/p&gt;&lt;p style="line-height: 1.7999999999999998; text-align: center; margin-top: 6pt; margin-bottom: 6pt;" dir="ltr"&gt; &lt;span style="font-size: 12pt; font-family: 'Times New Roman',serif; color: #000000; background-color: transparent; font-weight: 700; font-style: normal; font-variant: normal; text-decoration: none; vertical- align: baseline; white-space: pre-wrap;"&gt;DISPOSITIVO&lt;/span&gt;&lt;/p&gt;&lt;p style="line-height: 1.7999999999999998; text-indent: 56.692913385826756pt; text-align: justify; margin-top: 6pt; margin-bottom: 6pt;" dir="ltr"&gt;&lt;span style="font-size: 12pt; font-family: 'Times New Roman',serif; color: #000000; background-color: transparent; font-weight: 400; font-style: normal; font-variant: normal; text-decoration: none; vertical-align: baseline; white-space: pre-wrap;"&gt;Ante todo o exposto e fundamentado, em consonância com o parecer da douta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0205119-10.2023.8.06.0001</w:t>
            </w:r>
          </w:p>
        </w:tc>
      </w:tr>
      <w:tr>
        <w:trPr>
          <w:trHeight w:val="12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
              <w:rPr>
                <w:sz w:val="20"/>
              </w:rPr>
            </w:pPr>
            <w:r>
              <w:rPr>
                <w:sz w:val="20"/>
              </w:rPr>
              <w:t>Procuradoria-Geral de Justiça (id. 25421040),&lt;/span&gt; &lt;span style="font-size: 12pt; font- family: 'Times New Roman',serif; color: #000000; background-color: transparent; font- weight: 700; font-style: normal; font-variant: normal; text-decoration: none; vertical-align: baseline; white-space: pre-wrap;"&gt;conheço do Recurso de Apelação para dar-lhe parcial provimento&lt;/span&gt;&lt;span style="font-size: 12pt; font-family: 'Times New Roman',serif; color: #000000; background-color: transparent; font-weight: 400; font-style: normal; font- variant: normal; text-decoration: none; vertical-align: baseline; white-space: pre- wrap;"&gt;.&lt;/span&gt;&lt;/p&gt;&lt;p style="line-height: 1.7999999999999998; text-indent: 56.692913385826756pt; text-align: justify; margin-top: 6pt; margin-bottom: 6pt;" dir="ltr"&gt;&lt;span style="font-size: 12pt; font-family: 'Times New Roman',serif; color: #000000; background-color: transparent; font-weight: 700; font-style: normal; font-variant: normal; text-decoration: none; vertical-align: baseline; white-space: pre-wrap;"&gt;Reformo parcialmente a sentença vergastada, unicamente para estabelecer que a proibição de deslocamento do menor para outro estado da federação seja temporária&lt;/span&gt;&lt;span style="font-size: 12pt; font-family: 'Times New Roman',serif; color: #000000; background- color: transparent; font-weight: 400; font-style: normal; font-variant: normal; text-decoration: none; vertical-align: baseline; white-space: pre-wrap;"&gt;, ficando o genitor/Apelante autorizado a realizar tais viagens com o filho,&lt;/span&gt; &lt;span style="font-size: 12pt; font- family: 'Times New Roman',serif; color: #000000; background-color: transparent; font- weight: 700; font-style: normal; font-variant: normal; text-decoration: none; vertical-align: baseline; white-space: pre-wrap;"&gt;após o decurso do prazo de 1 (um) ano, a contar da decisão objeto do presente recurso&lt;/span&gt; &lt;span style="font-size: 12pt; font-family: </w:t>
            </w:r>
            <w:r>
              <w:rPr>
                <w:spacing w:val="-3"/>
                <w:sz w:val="20"/>
              </w:rPr>
              <w:t>'Times </w:t>
            </w:r>
            <w:r>
              <w:rPr>
                <w:sz w:val="20"/>
              </w:rPr>
              <w:t>New Roman',serif; color: #000000; background-color: transparent; font-weight: 400; font- style: normal; font-variant: normal; text-decoration: none; vertical-align: baseline; white- space: pre-wrap;"&gt;(ID 19624983).&lt;/span&gt;&lt;/p&gt;&lt;p style="line-height: 1.7999999999999998; text-indent: 56.692913385826756pt; text-align: justify; margin-top: 6pt; margin-bottom: 6pt;" dir="ltr"&gt; &lt;span style="font-size: 12pt; font-family: 'Times New Roman',serif; color: #000000; background-color: transparent; font-weight: 400; font-style: normal; font-variant: normal; text-decoration: none; vertical-align: baseline; white-space: pre-wrap;"&gt;No mais, mantenho inalterada a sentença, inclusive quanto ao valor da pensão alimentícia fixada </w:t>
            </w:r>
            <w:r>
              <w:rPr>
                <w:spacing w:val="-9"/>
                <w:sz w:val="20"/>
              </w:rPr>
              <w:t>em </w:t>
            </w:r>
            <w:r>
              <w:rPr>
                <w:sz w:val="20"/>
              </w:rPr>
              <w:t>1,5 (um e meio) salário mínimo.&lt;/span&gt;&lt;/p&gt;&lt;p style="line-height: 1.7999999999999998; text-indent: 56.692913385826756pt; text-align: justify; margin-top: 6pt; margin-bottom: 6pt;" dir="ltr"&gt; &lt;span style="font-size: 12pt; font-family: 'Times New Roman',serif; color: #000000; background-color: transparent; font-weight: 400; font-style: normal; font-variant: normal; text-decoration: none; vertical-align: baseline; white-space: pre-wrap;"&gt;Em razão do provimento parcial do recurso, deixo de majorar os honorários advocatícios sucumbenciais em grau recursal.&lt;/span&gt; &lt;span style="text-indent: 56.6929pt;"&gt;&amp;#160;&lt;/span&gt;&lt;/p&gt;&lt;p style="line-height: 1.7999999999999998; text-indent: 56.692913385826756pt; text-align: justify; margin-top: 6pt; margin-bottom: 6pt;" dir="ltr"&gt;</w:t>
            </w:r>
          </w:p>
          <w:p>
            <w:pPr>
              <w:pStyle w:val="TableParagraph"/>
              <w:spacing w:line="208" w:lineRule="auto" w:before="0"/>
              <w:ind w:right="262"/>
              <w:rPr>
                <w:sz w:val="20"/>
              </w:rPr>
            </w:pPr>
            <w:r>
              <w:rPr>
                <w:sz w:val="20"/>
              </w:rPr>
              <w:t>&lt;span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text-indent: 56.692913385826756pt; text-align: justify; margin-top: 6pt; margin-bottom: 6pt;"</w:t>
            </w:r>
            <w:r>
              <w:rPr>
                <w:spacing w:val="-18"/>
                <w:sz w:val="20"/>
              </w:rPr>
              <w:t> </w:t>
            </w:r>
            <w:r>
              <w:rPr>
                <w:sz w:val="20"/>
              </w:rPr>
              <w:t>dir="ltr"&gt;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pre-wrap;"&gt;&amp;#160;&lt;/span&gt;</w:t>
            </w:r>
          </w:p>
          <w:p>
            <w:pPr>
              <w:pStyle w:val="TableParagraph"/>
              <w:tabs>
                <w:tab w:pos="1327" w:val="left" w:leader="none"/>
                <w:tab w:pos="5232" w:val="left" w:leader="none"/>
                <w:tab w:pos="7522" w:val="left" w:leader="none"/>
              </w:tabs>
              <w:spacing w:line="208" w:lineRule="auto" w:before="0"/>
              <w:ind w:right="107"/>
              <w:rPr>
                <w:sz w:val="20"/>
              </w:rPr>
            </w:pPr>
            <w:r>
              <w:rPr>
                <w:sz w:val="20"/>
              </w:rPr>
              <w:t>&lt;span style="font-family: &amp;quot;times new roman&amp;quot;, times; font-size: medium; text- indent: 8%;"&gt;Fortaleza/CE, data registrada no sistema.&lt;/span&gt;&lt;/p&gt;&lt;p style="text-indent: 8%; text-align: justify;"&gt;  &lt;span style="font-size: small;"&gt;</w:t>
              <w:tab/>
              <w:t>&lt;span style="font-size: medium;"&gt;</w:t>
              <w:tab/>
              <w:t>&lt;span style="font-family: &amp;quot;times new roman&amp;quot;, times;"&gt;</w:t>
              <w:tab/>
              <w:t>&lt;br</w:t>
            </w:r>
            <w:r>
              <w:rPr>
                <w:spacing w:val="1"/>
                <w:sz w:val="20"/>
              </w:rPr>
              <w:t> </w:t>
            </w:r>
            <w:r>
              <w:rPr>
                <w:spacing w:val="-9"/>
                <w:sz w:val="20"/>
              </w:rPr>
              <w:t>/&gt;</w:t>
            </w:r>
          </w:p>
          <w:p>
            <w:pPr>
              <w:pStyle w:val="TableParagraph"/>
              <w:tabs>
                <w:tab w:pos="985" w:val="left" w:leader="none"/>
                <w:tab w:pos="2682" w:val="left" w:leader="none"/>
                <w:tab w:pos="3995" w:val="left" w:leader="none"/>
                <w:tab w:pos="4963" w:val="left" w:leader="none"/>
                <w:tab w:pos="5920" w:val="left" w:leader="none"/>
              </w:tabs>
              <w:spacing w:line="208" w:lineRule="auto" w:before="0"/>
              <w:ind w:right="49"/>
              <w:rPr>
                <w:sz w:val="20"/>
              </w:rPr>
            </w:pPr>
            <w:r>
              <w:rPr>
                <w:sz w:val="20"/>
              </w:rPr>
              <w:t>&lt;/span&gt;</w:t>
              <w:tab/>
              <w:t>&lt;/span&gt; &lt;/span&gt;&lt;/p&gt;&lt;p style="text-indent: 8%; text-align: center;"&gt; &lt;span style="font-size: medium;"&gt;</w:t>
              <w:tab/>
              <w:t>&lt;strong style="font-size: small;"&gt;</w:t>
              <w:tab/>
              <w:t>&lt;span style="font-family: &amp;quot;times new roman&amp;quot;, times;"&gt;</w:t>
              <w:tab/>
              <w:t>&lt;br /&gt;</w:t>
              <w:tab/>
              <w:t>&lt;span style="font-size: 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Jorge Ricardo Arcelino Gomes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&lt;strong&gt;PROCESSO&lt;/strong&gt;:&amp;#160;0202415-11.2023.8.06.0070 -&amp;#160;APELAÇÃO</w:t>
            </w:r>
          </w:p>
          <w:p>
            <w:pPr>
              <w:pStyle w:val="TableParagraph"/>
              <w:tabs>
                <w:tab w:pos="6557" w:val="left" w:leader="none"/>
                <w:tab w:pos="7280" w:val="left" w:leader="none"/>
              </w:tabs>
              <w:spacing w:line="208" w:lineRule="auto" w:before="8"/>
              <w:ind w:right="146"/>
              <w:rPr>
                <w:sz w:val="20"/>
              </w:rPr>
            </w:pPr>
            <w:r>
              <w:rPr>
                <w:sz w:val="20"/>
              </w:rPr>
              <w:t>CÍVEL (198)&lt;/span&gt;  &lt;/span&gt;&lt;/p&gt;&lt;p&gt;  &lt;span style="font-size: small;"&gt;</w:t>
              <w:tab/>
              <w:t>&lt;span style="font-family: &amp;quot;times new roman&amp;quot;, times;"&gt;APELANTE: JORGE </w:t>
            </w:r>
            <w:r>
              <w:rPr>
                <w:spacing w:val="-3"/>
                <w:sz w:val="20"/>
              </w:rPr>
              <w:t>RICARDO </w:t>
            </w:r>
            <w:r>
              <w:rPr>
                <w:sz w:val="20"/>
              </w:rPr>
              <w:t>ARCELINO GOMES&lt;/span&gt;  &lt;/span&gt;&lt;/p&gt;&lt;p&gt;  &lt;span style="font-size: small;"&gt;</w:t>
              <w:tab/>
              <w:t>&lt;span style="font-family: &amp;quot;times new roman&amp;quot;, times;"&gt;APELADO: PROCURADORIA GERAL DE JUSTICA&lt;/span&gt; &lt;/span&gt;&lt;/p&gt;&lt;p&gt; &lt;span style="font-size: 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spacing w:line="208" w:lineRule="auto" w:before="9"/>
              <w:ind w:right="55"/>
              <w:rPr>
                <w:sz w:val="20"/>
              </w:rPr>
            </w:pPr>
            <w:r>
              <w:rPr>
                <w:sz w:val="20"/>
              </w:rPr>
              <w:t>&lt;/span&gt;&lt;/p&gt;&lt;p style="line-height:1.38;text-align: justify;margin-top:4pt;margin-bottom:0pt;" dir="ltr"&gt; &lt;span style="font-size:12pt;font-family:'Times New Roman',serif;color:#131314;background-color:#ffffff;font-weight:400;font-style:normal;font- variant:normal;text-decoration:none;vertical-align:baseline;white-space:pre;white- space:pre-wrap;"&gt;Ementa: DIREITO DA CRIANÇA E DO ADOLESCENTE. APELAÇÃO CÍVEL. ATO INFRACIONAL ANÁLOGO AO TRÁFICO DE DROGAS. BUSCA PESSOAL </w:t>
            </w:r>
            <w:r>
              <w:rPr>
                <w:spacing w:val="-18"/>
                <w:sz w:val="20"/>
              </w:rPr>
              <w:t>E </w:t>
            </w:r>
            <w:r>
              <w:rPr>
                <w:sz w:val="20"/>
              </w:rPr>
              <w:t>DOMICILIAR. ALEGAÇÃO DE NULIDADE DA PROVA. FUNDADA SUSPEITA. LEGALIDADE DA ABORDAGEM. MEDIDA SOCIOEDUCATIVA DE LIBERDADE ASSISTIDA. DESCLASSIFICAÇÃO PARA USO PESSOAL REJEITADA. RECURSO</w:t>
            </w:r>
          </w:p>
          <w:p>
            <w:pPr>
              <w:pStyle w:val="TableParagraph"/>
              <w:spacing w:line="208" w:lineRule="auto" w:before="0"/>
              <w:ind w:right="21"/>
              <w:rPr>
                <w:sz w:val="20"/>
              </w:rPr>
            </w:pPr>
            <w:r>
              <w:rPr>
                <w:sz w:val="20"/>
              </w:rPr>
              <w:t>CONHECIDO E DESPROVIDO.&lt;/span&gt;&lt;/p&gt;&lt;p style="line-height:1.38;text-align: justify;margin-top:4pt;margin-bottom:0pt;" dir="ltr"&gt; &lt;span style="font-size:12pt;font- family:'Times New Roman',serif;color:#131314;background-color:#ffffff;font-weight:700;font- style:normal;font-variant:normal;text-decoration:none;vertical-align:baseline;white- space:pre;white-space:pre-wrap;"&gt;I. Caso em Exame:&lt;/span&gt;&lt;/p&gt;&lt;p style="line- height:1.38;text-align: justify;margin-top:4pt;margin-bottom:0pt;" dir="ltr"&gt; &lt;span style="font-size:12pt;font-family:'Times New Roman',serif;color:#131314;background- color:#ffffff;font-weight:400;font-style:normal;font-variant:normal;text- decoration:none;vertical-align:baseline;white-space:pre;white-space:pre-wrap;"&gt;1.</w:t>
            </w:r>
          </w:p>
          <w:p>
            <w:pPr>
              <w:pStyle w:val="TableParagraph"/>
              <w:spacing w:line="208" w:lineRule="auto" w:before="0"/>
              <w:ind w:right="21"/>
              <w:rPr>
                <w:sz w:val="20"/>
              </w:rPr>
            </w:pPr>
            <w:r>
              <w:rPr>
                <w:sz w:val="20"/>
              </w:rPr>
              <w:t>Apelação Cível contra sentença que julgou representação por ato infracional análogo ao tráfico de drogas, impondo medida socioeducativa de liberdade assistida por 06 meses. A defesa busca a nulidade do processo, alegando ilicitude das provas obtidas por buscas pessoal e domiciliar sem mandado. Subsidiariamente, pleiteia a desclassificação para conduta tipificada como uso pessoal.&lt;/span&gt;&lt;/p&gt;&lt;p style="line-height:1.38;text-align: justify;margin-top:4pt;margin-bottom:0pt;" dir="ltr"&gt; &lt;span style="font-size:12pt;font- family:'Times New Roman',serif;color:#131314;background-color:#ffffff;font-weight:700;font- style:normal;font-variant:normal;text-decoration:none;vertical-align:baseline;white- space:pre;white-space:pre-wrap;"&gt;II. Questão em Discussão:&lt;/span&gt;&lt;/p&gt;&lt;p style="line- height:1.38;text-align: justify;margin-top:4pt;margin-bottom:0pt;" dir="ltr"&gt; &lt;span style="font-size:12pt;font-family:'Times New Roman',serif;color:#131314;background- color:#ffffff;font-weight:400;font-style:normal;font-variant:normal;text- decoration:none;vertical-align:baseline;white-space:pre;white-space:pre-wrap;"&gt;2. A questão em discussão consiste em (i) verificar a nulidade da busca pessoal e domiciliar realizada sem mandado; (ii) avaliar a adequação da medida socioeducativa aplicada e (iii) examinar a possibilidade de desclassificação da conduta para uso pessoal.&lt;/span&gt;&lt;/p&gt;&lt;p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25"/>
              <w:rPr>
                <w:sz w:val="20"/>
              </w:rPr>
            </w:pPr>
            <w:r>
              <w:rPr>
                <w:sz w:val="20"/>
              </w:rPr>
              <w:t>style="line-height:1.38;text-align: justify;margin-top:4pt;margin-bottom:0pt;" dir="ltr"&gt; </w:t>
            </w:r>
            <w:r>
              <w:rPr>
                <w:spacing w:val="-4"/>
                <w:sz w:val="20"/>
              </w:rPr>
              <w:t>&lt;span </w:t>
            </w:r>
            <w:r>
              <w:rPr>
                <w:sz w:val="20"/>
              </w:rPr>
              <w:t>style="font-size: 12pt; font-family: &amp;quot;Times New Roman&amp;quot;, serif; color: #131314; background-color: #ffffff; font-style: normal; font-variant: normal; text-decoration: none; vertical-align: baseline; white-space: pre-wrap;"&gt;</w:t>
              <w:tab/>
              <w:t>&lt;strong&gt;III. Razões de Decidir:&lt;/strong&gt; &lt;/span&gt;&lt;/p&gt;&lt;p style="line-height:1.38;text-align: justify;margin- top:4pt;margin-bottom:0pt;" dir="ltr"&gt; &lt;span style="font-size:12pt;font-family:'Times New Roman',serif;color:#131314;background-color:#ffffff;font-weight:400;font-style:normal;font- variant:normal;text-decoration:none;vertical-align:baseline;white-space:pre;white- space:pre-wrap;"&gt;3. A busca pessoal fundada em denúncia anônima e fundada suspeita, como nervosismo do representado, é considerada válida. Precedentes do STF autorizam a diligência com base em fundada suspeita (CF/1988, art. 5º, inc. XI; STJ, HC nº 929.860/SP; STJ, AgRg no HC nº 965.555/SP). Já a busca domiciliar foi autorizada pela genitora do representado.&lt;/span&gt;&lt;/p&gt;&lt;p style="line-height:1.38;text-align: justify;margin- top:4pt;margin-bottom:0pt;" dir="ltr"&gt; &lt;span style="font-size:12pt;font-family:'Times New Roman',serif;color:#131314;background-color:#ffffff;font-weight:400;font-style:normal;font- variant:normal;text-decoration:none;vertical-align:baseline;white-space:pre;white- space:pre-wrap;"&gt;4. A materialidade e autoria do ato infracional, análogo ao tráfico de drogas, estão demonstradas pelas provas, não cabendo desclassificação para uso pessoal, dada a apreensão de objetos como balança de precisão e quantidade de droga.&lt;/span&gt;&lt;/p&gt;&lt;p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space:pre-wrap;"&gt;5. A medida socioeducativa de liberdade assistida é adequada para a reintegração social do adolescente, conforme orientação do ECA (Lei nº 8.069/1990, art.</w:t>
            </w:r>
          </w:p>
          <w:p>
            <w:pPr>
              <w:pStyle w:val="TableParagraph"/>
              <w:spacing w:line="208" w:lineRule="auto" w:before="0"/>
              <w:ind w:right="370"/>
              <w:rPr>
                <w:sz w:val="20"/>
              </w:rPr>
            </w:pPr>
            <w:r>
              <w:rPr>
                <w:sz w:val="20"/>
              </w:rPr>
              <w:t>118).&lt;/span&gt;&lt;/p&gt;&lt;p style="line-height:1.38;text-align: justify;margin-top:4pt;margin- bottom:0pt;" dir="ltr"&gt; &lt;span style="font-size: 12pt; font-family: &amp;quot;Times New Roman&amp;quot;, serif; color: #131314; background-color: #ffffff; font-style: normal; font- variant: normal; text-decoration: none; vertical-align: baseline; white-space: pre-wrap;"&gt;</w:t>
            </w:r>
          </w:p>
          <w:p>
            <w:pPr>
              <w:pStyle w:val="TableParagraph"/>
              <w:spacing w:line="208" w:lineRule="auto" w:before="0"/>
              <w:ind w:right="21"/>
              <w:rPr>
                <w:sz w:val="20"/>
              </w:rPr>
            </w:pPr>
            <w:r>
              <w:rPr>
                <w:sz w:val="20"/>
              </w:rPr>
              <w:t>&lt;strong&gt;IV. Dispositivo e Tese:&lt;/strong&gt; &lt;/span&gt;&lt;/p&gt;&lt;p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space:pre;white-space:pre-wrap;"&gt;6. Recurso conhecido e desprovido.&lt;/span&gt;&lt;/p&gt;&lt;p style="line-height:1.38;text-align: justify;margin-top:4pt;margin-bottom:0pt;" dir="ltr"&gt;&lt;span style="font-size: 12pt; font-family: &amp;quot;Times New Roman&amp;quot;, serif; color: #131314; background-color: #ffffff; font-style: normal; font-variant: normal; text-decoration: none; vertical-align: baseline; white-space: pre-wrap;"&gt; &lt;strong&gt;Tese de julgamento:&lt;/strong&gt;&lt;/span&gt; &lt;span style="font-size:12pt;font-family:'Times New Roman',serif;color:#131314;background-color:#ffffff;font-weight:400;font-style:normal;font- variant:normal;text-decoration:none;vertical-align:baseline;white-space:pre;white- space:pre-wrap;"&gt;"A busca pessoal e domiciliar realizada com base em fundada suspeita e autorização expressa de responsável é válida, e a medida socioeducativa de liberdade assistida é adequada em caso de ato infracional análogo ao tráfico de drogas."&lt;/span&gt;&lt;/p&gt;&lt;p style="line-height:1.38;text-align: justify;margin-top:4pt;margin- bottom:0pt;" dir="ltr"&gt; &lt;span style="font-size:12pt;font-family:'Times New Roman',serif;color:#131314;background-color:#ffffff;font-weight:400;font-style:normal;font- variant:normal;text-decoration:none;vertical-align:baseline;white-space:pre;white- space:pre-wrap;"&gt;Dispositivos relevantes citados: CF/1988, art. 5º, inc. XI; Lei nº 8.069/1990, art. 118; STJ, HC nº 929.860/SP; STJ, AgRg no HC nº 965.555/SP; STJ,</w:t>
            </w:r>
          </w:p>
          <w:p>
            <w:pPr>
              <w:pStyle w:val="TableParagraph"/>
              <w:spacing w:line="208" w:lineRule="auto" w:before="0"/>
              <w:ind w:right="21"/>
              <w:rPr>
                <w:sz w:val="20"/>
              </w:rPr>
            </w:pPr>
            <w:r>
              <w:rPr>
                <w:sz w:val="20"/>
              </w:rPr>
              <w:t>REsp nº 1.123.971/PR.&lt;/span&gt;&lt;/p&gt;&lt;p style="line-height: 100%; orphans: 0; widows: 0; margin-bottom: 0.21cm;" align="justify"&gt; &lt;span id="docs-internal-guid-e9f049ba-7fff-939e- b3e4-4419f27152c1"&gt;&amp;#160;&lt;/span&gt;&lt;/p&gt;&lt;p style="line-height:1.38;text-align: justify;margin-top:4pt;margin-bottom:0pt;" dir="ltr"&gt; &lt;span style="font-size:12pt;font- family:'Times New Roman',serif;color:#131314;background-color:#ffffff;font-weight:400;font- style:normal;font-variant:normal;text-decoration:none;vertical-align:baseline;white- space:pre;white-space:pre-wrap;"&gt;Jurisprudência relevante citada: STJ, HC nº 929.860/SP; STJ, AgRg no HC nº 965.555/SP.&lt;/span&gt;&lt;/p&gt;&lt;p style="line-height: 150%; orphans: 0; widows: 0; margin-bottom: 0.21cm;" align="justify"&gt; &lt;span id="docs-internal- guid-defc07e1-7fff-86a0-dd79-a450336caafe"&gt;&amp;#160;&lt;/span&gt;&lt;/p&gt;&lt;p style="line-height: 1.7999999999999998; text-align: justify; margin-top: 4pt; margin-bottom: 0pt;" dir="ltr"&gt;</w:t>
            </w:r>
          </w:p>
          <w:p>
            <w:pPr>
              <w:pStyle w:val="TableParagraph"/>
              <w:spacing w:line="208" w:lineRule="auto" w:before="0"/>
              <w:ind w:right="97"/>
              <w:rPr>
                <w:sz w:val="20"/>
              </w:rPr>
            </w:pPr>
            <w:r>
              <w:rPr>
                <w:sz w:val="20"/>
              </w:rPr>
              <w:t>&lt;span style="font-size: 12pt; font-family: 'Times New Roman',serif; color: #131314; background-color: #ffffff; font-weight: 400; font-style: normal; font-variant: normal; text- decoration: none; vertical-align: baseline; white-space: pre-wrap;"&gt;ACÓRDÃO: Vistos, relatados e discutidos estes autos, acorda a Quinta Câmara de Direito Privado Tribunal </w:t>
            </w:r>
            <w:r>
              <w:rPr>
                <w:spacing w:val="-9"/>
                <w:sz w:val="20"/>
              </w:rPr>
              <w:t>de </w:t>
            </w:r>
            <w:r>
              <w:rPr>
                <w:sz w:val="20"/>
              </w:rPr>
              <w:t>Justiça do Estado do Ceará, por unanimidade em CONHECER do recurso de apelação para NEGAR-LHE PROVIMENTO,&amp;#160; nos termos do voto do relator, parte integrante deste.&lt;/span&gt;&lt;/p&gt;&lt;p style="line-height: 100%; orphans: 0; widows: 0; margin-bottom:</w:t>
            </w:r>
          </w:p>
          <w:p>
            <w:pPr>
              <w:pStyle w:val="TableParagraph"/>
              <w:tabs>
                <w:tab w:pos="6947" w:val="left" w:leader="none"/>
              </w:tabs>
              <w:spacing w:line="208" w:lineRule="auto" w:before="0"/>
              <w:ind w:right="402"/>
              <w:rPr>
                <w:sz w:val="20"/>
              </w:rPr>
            </w:pPr>
            <w:r>
              <w:rPr>
                <w:sz w:val="20"/>
              </w:rPr>
              <w:t>0.21cm;" align="justify"&gt;&amp;#160;&lt;/p&gt;&lt;p style="line-height: 115%; orphans: 0; widows: </w:t>
            </w:r>
            <w:r>
              <w:rPr>
                <w:spacing w:val="-9"/>
                <w:sz w:val="20"/>
              </w:rPr>
              <w:t>0; </w:t>
            </w:r>
            <w:r>
              <w:rPr>
                <w:sz w:val="20"/>
              </w:rPr>
              <w:t>margin-bottom: 0.21cm;" align="justify"&gt;  &lt;span style="font-size: medium;"&gt;</w:t>
              <w:tab/>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251" w:val="left" w:leader="none"/>
              </w:tabs>
              <w:spacing w:line="208" w:lineRule="auto" w:before="26"/>
              <w:ind w:right="113"/>
              <w:rPr>
                <w:sz w:val="20"/>
              </w:rPr>
            </w:pPr>
            <w:r>
              <w:rPr>
                <w:sz w:val="20"/>
              </w:rPr>
              <w:t>style="font-family: &amp;quot;times new roman&amp;quot;, times;"&gt;F&lt;/span&gt;</w:t>
              <w:tab/>
              <w:t>&lt;span style="font- family: &amp;quot;times new roman&amp;quot;, times;"&gt;ortaleza, data registrada no sistema.&lt;/span&gt; &lt;/span&gt;&lt;/p&gt;&lt;p style="line-height: 115%; orphans: 0; widows: 0; margin- bottom: 0.21cm;" align="center"&gt; &lt;span style="font-family: &amp;quot;times new </w:t>
            </w:r>
            <w:r>
              <w:rPr>
                <w:spacing w:val="-2"/>
                <w:sz w:val="20"/>
              </w:rPr>
              <w:t>roman&amp;quot;, </w:t>
            </w:r>
            <w:r>
              <w:rPr>
                <w:sz w:val="20"/>
              </w:rPr>
              <w:t>times; font-size: medium; text-align: start;"&gt;&amp;#160;&lt;/span&gt;&lt;/p&gt;&lt;p&gt;&amp;#160;&lt;/p&gt;&lt;p style="line-height: 100%; orphans: 0; widows: 0; margin-bottom: 0.21cm;" align="center"&gt;</w:t>
            </w:r>
          </w:p>
          <w:p>
            <w:pPr>
              <w:pStyle w:val="TableParagraph"/>
              <w:tabs>
                <w:tab w:pos="3288" w:val="left" w:leader="none"/>
                <w:tab w:pos="4411" w:val="left" w:leader="none"/>
                <w:tab w:pos="6307" w:val="left" w:leader="none"/>
              </w:tabs>
              <w:spacing w:line="208" w:lineRule="auto" w:before="0"/>
              <w:ind w:right="23"/>
              <w:rPr>
                <w:sz w:val="20"/>
              </w:rPr>
            </w:pPr>
            <w:r>
              <w:rPr>
                <w:sz w:val="20"/>
              </w:rPr>
              <w:t>&lt;span style="font-size: medium;"&gt;</w:t>
              <w:tab/>
              <w:t>&lt;strong&gt;</w:t>
              <w:tab/>
              <w:t>&lt;span style="font-family: &amp;quot;times </w:t>
            </w:r>
            <w:r>
              <w:rPr>
                <w:spacing w:val="-6"/>
                <w:sz w:val="20"/>
              </w:rPr>
              <w:t>new </w:t>
            </w:r>
            <w:r>
              <w:rPr>
                <w:sz w:val="20"/>
              </w:rPr>
              <w:t>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times;"&gt;Presidente do Órgão Julgador&lt;/span&gt; &lt;/span&gt;&lt;/p&gt;&lt;p style="line-height: 100%; orphans: 0; widows: 0; margin-bottom: 0.21cm;" align="center"&gt;</w:t>
            </w:r>
          </w:p>
          <w:p>
            <w:pPr>
              <w:pStyle w:val="TableParagraph"/>
              <w:tabs>
                <w:tab w:pos="1683" w:val="left" w:leader="none"/>
                <w:tab w:pos="2350" w:val="left" w:leader="none"/>
                <w:tab w:pos="3206" w:val="left" w:leader="none"/>
                <w:tab w:pos="3288" w:val="left" w:leader="none"/>
                <w:tab w:pos="3951" w:val="left" w:leader="none"/>
                <w:tab w:pos="7767" w:val="left" w:leader="none"/>
              </w:tabs>
              <w:spacing w:line="208" w:lineRule="auto" w:before="0"/>
              <w:ind w:right="91"/>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style="font- size: medium;"&gt;</w:t>
              <w:tab/>
              <w:t>&lt;span style="font-family: &amp;quot;times new roman&amp;quot;, times;"&gt;</w:t>
              <w:tab/>
            </w:r>
            <w:r>
              <w:rPr>
                <w:spacing w:val="-6"/>
                <w:sz w:val="20"/>
              </w:rPr>
              <w:t>&lt;br</w:t>
            </w:r>
          </w:p>
          <w:p>
            <w:pPr>
              <w:pStyle w:val="TableParagraph"/>
              <w:tabs>
                <w:tab w:pos="545" w:val="left" w:leader="none"/>
                <w:tab w:pos="1290" w:val="left" w:leader="none"/>
                <w:tab w:pos="6992" w:val="left" w:leader="none"/>
              </w:tabs>
              <w:spacing w:line="208" w:lineRule="auto" w:before="0"/>
              <w:ind w:right="370"/>
              <w:rPr>
                <w:sz w:val="20"/>
              </w:rPr>
            </w:pPr>
            <w:r>
              <w:rPr>
                <w:sz w:val="20"/>
              </w:rPr>
              <w:t>/&gt;</w:t>
              <w:tab/>
              <w:t>&lt;br /&gt;</w:t>
              <w:tab/>
              <w:t>&lt;/span&gt; &lt;/span&gt;&lt;/p&gt;&lt;p style="line-height: 100%; orphans: 0; widows: </w:t>
            </w:r>
            <w:r>
              <w:rPr>
                <w:spacing w:val="-6"/>
                <w:sz w:val="20"/>
              </w:rPr>
              <w:t>0; </w:t>
            </w:r>
            <w:r>
              <w:rPr>
                <w:sz w:val="20"/>
              </w:rPr>
              <w:t>margin-bottom: 0.21cm;" align="center"&gt;  &lt;span style="font-size: medium;"&gt;</w:t>
              <w:tab/>
            </w:r>
            <w:r>
              <w:rPr>
                <w:spacing w:val="-3"/>
                <w:sz w:val="20"/>
              </w:rPr>
              <w:t>&lt;strong&gt;</w:t>
            </w:r>
          </w:p>
          <w:p>
            <w:pPr>
              <w:pStyle w:val="TableParagraph"/>
              <w:tabs>
                <w:tab w:pos="1216" w:val="left" w:leader="none"/>
                <w:tab w:pos="2905" w:val="left" w:leader="none"/>
                <w:tab w:pos="2973" w:val="left" w:leader="none"/>
                <w:tab w:pos="3029" w:val="left" w:leader="none"/>
                <w:tab w:pos="3918" w:val="left" w:leader="none"/>
                <w:tab w:pos="5406" w:val="left" w:leader="none"/>
                <w:tab w:pos="5476" w:val="left" w:leader="none"/>
                <w:tab w:pos="6599" w:val="left" w:leader="none"/>
              </w:tabs>
              <w:spacing w:line="208" w:lineRule="auto" w:before="0"/>
              <w:ind w:right="21"/>
              <w:rPr>
                <w:sz w:val="20"/>
              </w:rPr>
            </w:pPr>
            <w:r>
              <w:rPr>
                <w:sz w:val="20"/>
              </w:rPr>
              <w:t>&lt;span style="font-family: &amp;quot;times new roman&amp;quot;, times;"&gt;FRANCISCO LUCÍDIO DE QUEIROZ JUNIOR&lt;/span&gt;</w:t>
              <w:tab/>
              <w:tab/>
              <w:tab/>
              <w:t>&lt;/strong&gt; &lt;/span&gt;&lt;/p&gt;&lt;p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 &lt;/span&gt;&lt;/p&gt;&lt;p style="text-align: center;"&gt;  &lt;span style="font-size: small;"&gt;</w:t>
              <w:tab/>
              <w:tab/>
              <w:t>&lt;strong&gt;</w:t>
              <w:tab/>
              <w:t>&lt;span style="font-size: medium;"&gt;</w:t>
              <w:tab/>
              <w:t>&lt;span style="font-family: &amp;quot;times new roman&amp;quot;, times;"&gt;RELATÓRIO&lt;/span&gt;</w:t>
              <w:tab/>
              <w:tab/>
              <w:t>&lt;/span&gt;</w:t>
              <w:tab/>
              <w:t>&lt;/strong&gt; &lt;/span&gt;&lt;/p&gt;&lt;p style="text-align: center;"&gt;&amp;#160;&lt;/p&gt;&lt;p style="text-align: center;"&gt;&amp;#160;&lt;/p&gt;&lt;p style="line- height:2.16;text-indent: 57pt;text-align: justify;margin-top:4pt;margin-bottom:0pt;" dir="ltr"&gt;&lt;span style="font-size:12pt;font-family:'Times New Roman',serif;color:#131314;background-color:#ffffff;font-weight:400;font-style:normal;font- variant:normal;text-decoration:none;vertical-align:baseline;white-space:pre;white- space:pre-wrap;"&gt;Cuida-se de&lt;/span&gt; &lt;span style="font-size:12pt;font-family:'Times New Roman',serif;color:#131314;background-color:#ffffff;font-weight:700;font-style:normal;font- variant:normal;text-decoration:none;vertical-align:baseline;white-space:pre;white- space:pre-wrap;"&gt;Apelação Cível&lt;/span&gt; &lt;span style="font-size:12pt;font-family:'Times New Roman',serif;color:#131314;background-color:#ffffff;font-weight:400;font- style:normal;font-variant:normal;text-decoration:none;vertical-align:baseline;white- space:pre;white-space:pre-wrap;"&gt;interposta por&lt;/span&gt; &lt;span style="font-size:12pt;font- family:'Times New Roman',serif;color:#131314;background-color:#ffffff;font-weight:700;font- style:normal;font-variant:normal;text-decoration:none;vertical-align:baseline;white- space:pre;white-space:pre-wrap;"&gt;Jorge Ricardo Arcelino Gomes&lt;/span&gt; &lt;span style="font-size:12pt;font-family:'Times New Roman',serif;color:#131314;background- color:#ffffff;font-weight:400;font-style:normal;font-variant:normal;text- decoration:none;vertical-align:baseline;white-space:pre;white-space:pre-wrap;"&gt;se insurgindo contra a sentença proferida pelo Juízo da 2ª Vara Cível da Comarca de Crateús, quando do julgamento de&lt;/span&gt; &lt;span style="font-size:12pt;font-family:'Times New Roman',serif;color:#131314;background-color:#ffffff;font-weight:700;font- style:normal;font-variant:normal;text-decoration:none;vertical-align:baseline;white- space:pre;white-space:pre-wrap;"&gt;Representação por Ato Infracional&lt;/span&gt; &lt;span style="font-size:12pt;font-family:'Times New Roman',serif;color:#131314;background- color:#ffffff;font-weight:400;font-style:normal;font-variant:normal;text- decoration:none;vertical-align:baseline;white-space:pre;white-space:pre-wrap;"&gt;oferecida pelo&lt;/span&gt; &lt;span style="font-size:12pt;font-family:'Times New Roman',serif;color:#131314;background-color:#ffffff;font-weight:700;font-style:normal;font- variant:normal;text-decoration:none;vertical-align:baseline;white-space:pre;white- space:pre-wrap;"&gt;Ministério Público do Estado do Ceará&lt;/span&gt;&lt;span style="font- size:12pt;font-family:'Times New Roman',serif;color:#131314;background-color:#ffffff;font- weight:400;font-style:normal;font-variant:normal;text-decoration:none;vertical- align:baseline;white-space:pre;white-space:pre-wrap;"&gt;.&lt;/span&gt;&lt;/p&gt;&lt;p style="line- height:2.16;text-indent: 57pt;text-align: justify;margin-top:4pt;margin-bottom:0pt;" dir="ltr"&gt;&lt;span style="font-size:12pt;font-family:'Times New Roman',serif;color:#131314;background-color:#ffffff;font-weight:400;font-style:normal;font- variant:normal;text-decoration:none;vertical-align:baseline;white-space:pre;white- space:pre-wrap;"&gt;O Juízo singular, após análise das provas de autoria e materialidade do ato infracional análogo ao crime de tráfico de drogas (Art. 33 da Lei 11.343/06), aplicou ao Representado a&lt;/span&gt; &lt;span style="font-size:12pt;font-family:'Times New Roman',serif;color:#131314;background-color:#ffffff;font-weight:700;font-style:normal;font- variant:normal;text-decoration:none;vertical-align:baseline;white-space:pre;white- space:pre-wrap;"&gt;Medida Socioeducativa de Liberdade Assistida por 06 meses&lt;/span&gt;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0"/>
              <w:rPr>
                <w:sz w:val="20"/>
              </w:rPr>
            </w:pPr>
            <w:r>
              <w:rPr>
                <w:sz w:val="20"/>
              </w:rPr>
              <w:t>&lt;span style="font-size:12pt;font-family:'Times New Roman',serif;color:#131314;background-color:#ffffff;font-weight:400;font-style:normal;font- variant:normal;text-decoration:none;vertical-align:baseline;white-space:pre;white- space:pre-wrap;"&gt;(ID 22721322).&lt;/span&gt;&lt;/p&gt;&lt;p style="line-height:2.16;text-indent: 57pt;text-align: justify;margin-top:4pt;margin-bottom:0pt;" dir="ltr"&gt; &lt;span style="font- size:12pt;font-family:'Times New Roman',serif;color:#131314;background-color:#ffffff;font- weight:400;font-style:normal;font-variant:normal;text-decoration:none;vertical- align:baseline;white-space:pre;white-space:pre-wrap;"&gt;Em suas razões recursais, o apelante requereu, em síntese, a anulação do processo desde o recebimento da denúncia, alegando carência de justa causa. A defesa sustenta que as provas foram obtidas por busca pessoal ilegal, baseada apenas em denúncias anônimas e nervosismo, e que a busca domiciliar subsequente, realizada sem mandado, seria ilícita. Subsidiariamente, pugnou pela desclassificação da conduta para aquela prevista no art. 28 da Lei nº 11.343/06 (uso pessoal).&lt;/span&gt;&lt;/p&gt;&lt;p style="line-height:2.16;text-indent: 57pt;text-align: justify;margin-top:4pt;margin-bottom:0pt;" dir="ltr"&gt; &lt;span style="font-size:12pt;font-</w:t>
            </w:r>
          </w:p>
          <w:p>
            <w:pPr>
              <w:pStyle w:val="TableParagraph"/>
              <w:spacing w:line="208" w:lineRule="auto" w:before="0"/>
              <w:ind w:right="21"/>
              <w:rPr>
                <w:sz w:val="20"/>
              </w:rPr>
            </w:pPr>
            <w:r>
              <w:rPr>
                <w:sz w:val="20"/>
              </w:rPr>
              <w:t>family:'Times New Roman',serif;color:#131314;background-color:#ffffff;font-weight:400;font- style:normal;font-variant:normal;text-decoration:none;vertical-align:baseline;white- space:pre;white-space:pre-wrap;"&gt;O Ministério Público, por seu Promotor de Justiça, apresentou contrarrazões pleiteando o desprovimento do recurso (ID 22721305).&lt;/span&gt;&lt;/p&gt;&lt;p style="line-height:2.16;text-indent: 57pt;text-align:</w:t>
            </w:r>
          </w:p>
          <w:p>
            <w:pPr>
              <w:pStyle w:val="TableParagraph"/>
              <w:spacing w:line="208" w:lineRule="auto" w:before="0"/>
              <w:ind w:right="21"/>
              <w:rPr>
                <w:sz w:val="20"/>
              </w:rPr>
            </w:pPr>
            <w:r>
              <w:rPr>
                <w:sz w:val="20"/>
              </w:rPr>
              <w:t>justify;margin-top:4pt;margin-bottom:0pt;" dir="ltr"&gt;&lt;span style="font-size:12pt;font- family:'Times New Roman',serif;color:#131314;background-color:#ffffff;font-weight:400;font- style:normal;font-variant:normal;text-decoration:none;vertical-align:baseline;white- space:pre;white-space:pre-wrap;"&gt;Instada a se manifestar, a Procuradoria Geral de Justiça opinou pelo&lt;/span&gt; &lt;span style="font-size:12pt;font-family:'Times New Roman',serif;color:#131314;background-color:#ffffff;font-weight:700;font-style:normal;font- variant:normal;text-decoration:none;vertical-align:baseline;white-space:pre;white- space:pre-wrap;"&gt;conhecimento e desprovimento do recurso&lt;/span&gt;&lt;span style="font- size:12pt;font-family:'Times New Roman',serif;color:#131314;background-color:#ffffff;font- weight:400;font-style:normal;font-variant:normal;text-decoration:none;vertical- align:baseline;white-space:pre;white-space:pre-wrap;"&gt;, mantendo-se a sentença recorrida em sua integralidade.&amp;#160;&lt;/span&gt;&lt;/p&gt;&lt;p style="line-height:2.16;text-indent: 57pt;text- align: justify;margin-top:4pt;margin-bottom:0pt;" dir="ltr"&gt; &lt;span style="font-size:12pt;font- family:'Times New Roman',serif;color:#131314;background-color:#ffffff;font-weight:400;font- style:normal;font-variant:normal;text-decoration:none;vertical-align:baseline;white- space:pre;white-space:pre-wrap;"&gt;É o relatório.&lt;/span&gt;&lt;/p&gt;&lt;p style="text-align: center;"&gt;</w:t>
            </w:r>
          </w:p>
          <w:p>
            <w:pPr>
              <w:pStyle w:val="TableParagraph"/>
              <w:tabs>
                <w:tab w:pos="1750" w:val="left" w:leader="none"/>
              </w:tabs>
              <w:spacing w:line="208" w:lineRule="auto" w:before="0"/>
              <w:ind w:right="21"/>
              <w:rPr>
                <w:sz w:val="20"/>
              </w:rPr>
            </w:pPr>
            <w:r>
              <w:rPr>
                <w:sz w:val="20"/>
              </w:rPr>
              <w:t>&lt;strong id="docs-internal-guid-67d4f798-7fff-9319-c03a-ead2a9283924" style="font- weight:normal;"&gt;</w:t>
              <w:tab/>
              <w:t>&lt;br /&gt; &lt;/strong&gt;&lt;/p&gt;&lt;p style="line-height: 1.8; text-align: center; margin-top: 4pt; margin-bottom: 0pt;" dir="ltr"&gt; &lt;span style="font-size:12pt;font- family:'Times New Roman',serif;color:#131314;background-color:#ffffff;font-weight:700;font- style:normal;font-variant:normal;text-decoration:none;vertical-align:baseline;white- space:pre;white-space:pre-wrap;"&gt;VOTO&lt;/span&gt;&lt;/p&gt;&lt;p style="line- height:1.7999999999999998;text-indent: 49.60629921259842pt;text-align: justify;margin- top:4pt;margin-bottom:0pt;" dir="ltr"&gt; &lt;span style="font-size:12pt;font-family:'Times New Roman',serif;color:#131314;background-color:#ffffff;font-weight:700;font-style:normal;font- variant:normal;text-decoration:none;vertical-align:baseline;white-space:pre;white- space:pre-wrap;"&gt;- Admissibilidade:&lt;/span&gt;&lt;/p&gt;&lt;p style="line- height:1.7999999999999998;text-indent: 49.60629921259842pt;text-align: justify;margin- top:4pt;margin-bottom:0pt;" dir="ltr"&gt;&lt;span style="font-size:12pt;font-family:'Times New Roman',serif;color:#131314;background-color:#ffffff;font-weight:400;font-style:normal;font- variant:normal;text-decoration:none;vertical-align:baseline;white-space:pre;white- space:pre-wrap;"&gt;O recurso preenche os requisitos intrínsecos e extrínsecos de admissibilidade, razão pela qual&lt;/span&gt; &lt;span style="font-size:12pt;font-family:'Times New Roman',serif;color:#131314;background-color:#ffffff;font-weight:700;font- style:normal;font-variant:normal;text-decoration:none;vertical-align:baseline;white- space:pre;white-space:pre-wrap;"&gt;o Apelo deve ser conhecido&lt;/span&gt;&lt;span style="font- size:12pt;font-family:'Times New Roman',serif;color:#131314;background-color:#ffffff;font- weight:400;font-style:normal;font-variant:normal;text-decoration:none;vertical- align:baseline;white-space:pre;white-space:pre-wrap;"&gt;. Passo à análise das preliminares e, em seguida, ao mérito.&lt;/span&gt;&lt;/p&gt;&lt;p style="line-height:1.7999999999999998;text- indent: 49.60629921259842pt;text-align: justify;margin-top:4pt;margin-bottom:0pt;" dir="ltr"&gt; &lt;span style="font-size:12pt;font-family:'Times New Roman',serif;color:#131314;background-color:#ffffff;font-weight:700;font-style:normal;font- variant:normal;text-decoration:none;vertical-align:baseline;white-space:pre;white- space:pre-wrap;"&gt;&amp;#160;- Preliminar de Nulidade por ilicitude da busca pessoal e da busca domiciliar:&lt;/span&gt;&lt;/p&gt;&lt;p style="line-height:1.7999999999999998;text-indent: 56.692913385826756pt;text-align: justify;margin-top:4pt;margin-bottom:0pt;"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883" w:val="left" w:leader="none"/>
              </w:tabs>
              <w:spacing w:line="208" w:lineRule="auto" w:before="26"/>
              <w:ind w:right="21"/>
              <w:rPr>
                <w:sz w:val="20"/>
              </w:rPr>
            </w:pPr>
            <w:r>
              <w:rPr>
                <w:sz w:val="20"/>
              </w:rPr>
              <w:t>space:pre-wrap;"&gt;A defesa do representado argui a nulidade do processo sob o fundamento de que a busca pessoal e domiciliar careceram de justa causa.&lt;/span&gt;&lt;/p&gt;&lt;p style="line-height:1.7999999999999998;text-indent: 56.692913385826756pt;text-align: justify;margin-top:4pt;margin-bottom:0pt;" dir="ltr"&gt;&lt;span style="font-size:12pt;font- family:'Times New Roman',serif;color:#131314;background-color:#ffffff;font-weight:400;font- style:normal;font-variant:normal;text-decoration:none;vertical-align:baseline;white- space:pre;white-space:pre-wrap;"&gt;Entretanto, analisando os autos, verifica-se que o feito se encontra&lt;/span&gt; &lt;span style="font-size:12pt;font-family:'Times New Roman',serif;color:#131314;background-color:#ffffff;font-weight:700;font-style:normal;font- variant:normal;text-decoration:none;vertical-align:baseline;white-space:pre;white- space:pre-wrap;"&gt;em ordem, não eivado de quaisquer vícios que possam importar nulidade&lt;/span&gt;&lt;span style="font-size:12pt;font-family:'Times New Roman',serif;color:#131314;background-color:#ffffff;font-weight:400;font-style:normal;font- variant:normal;text-decoration:none;vertical-align:baseline;white-space:pre;white- space:pre-wrap;"&gt;. A jurisprudência dos Tribunais Superiores é firme no sentido de que a busca pessoal se justifica quando lastreada em&lt;/span&gt; &lt;span style="font-size:12pt;font- family:'Times New Roman',serif;color:#131314;background-color:#ffffff;font-weight:700;font- style:normal;font-variant:normal;text-decoration:none;vertical-align:baseline;white- space:pre;white-space:pre-wrap;"&gt;fundada suspeita&lt;/span&gt;&lt;span style="font- size:12pt;font-family:'Times New Roman',serif;color:#131314;background-color:#ffffff;font- weight:400;font-style:normal;font-variant:normal;text-decoration:none;vertical- align:baseline;white-space:pre;white-space:pre-wrap;"&gt;, sendo esta inclusive comprovada pela denúncia encaminhada à autoridade competente.&lt;/span&gt;&lt;/p&gt;&lt;p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space:pre-wrap;"&gt;A justa causa para a revista pessoal não exige a certeza da ocorrência de delito, mas, sim, fundadas razões a respeito. Elementos como a recebimento de denúncia, atitude suspeita do acusado e o nervosismo do adolescente mostram-se&amp;#160; suficientes para comprovar a existência de justa causa para a diligência.&lt;/span&gt;&lt;/p&gt;&lt;p style="line-height:1.7999999999999998;text-indent: 56.692913385826756pt;text-align: justify;margin-top:4pt;margin-bottom:0pt;" dir="ltr"&gt; &lt;span style="font-size:12pt;font- family:'Times New Roman',serif;color:#131314;background-color:#ffffff;font-weight:400;font- style:normal;font-variant:normal;text-decoration:none;vertical-align:baseline;white- space:pre;white-space:pre-wrap;"&gt;Em sentido semelhante:&lt;/span&gt;&lt;/p&gt;&lt;p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w:t>
              <w:tab/>
              <w:t>&lt;br /&gt; &lt;/span&gt;&lt;/p&gt;&lt;p style="line-height:1.38;margin-left: 113.38582677165354pt;text-align: justify;margin-top:0pt;margin-bottom:0pt;" dir="ltr"&gt;</w:t>
            </w:r>
          </w:p>
          <w:p>
            <w:pPr>
              <w:pStyle w:val="TableParagraph"/>
              <w:spacing w:line="208" w:lineRule="auto" w:before="0"/>
              <w:ind w:right="122"/>
              <w:rPr>
                <w:sz w:val="20"/>
              </w:rPr>
            </w:pPr>
            <w:r>
              <w:rPr>
                <w:sz w:val="20"/>
              </w:rPr>
              <w:t>&lt;span style="font-size:11pt;font-family:'Times New Roman',serif;color:#131314;background-color:#ffffff;font-weight:400;font-style:normal;font- variant:normal;text-decoration:none;vertical-align:baseline;white-space:pre;white- space:pre-wrap;"&gt;PROCESSUAL PENAL. HABEAS CORPUS. ATO INFRACIONAL ANÁLOGO AO CRIME DE TRÁFICO DE DROGAS. NULIDADE. BUSCA PESSOAL REALIZADA POR GUARDAS MUNICIPAIS. TEMA N. 656 DO STF. APLICABILIDADE. FUNDADA SUSPEITA. EXISTÊNCIA. CONSTRANGIMENTO ILEGAL. AUSÊNCIA. MEDIDA SOCIOEDUCATIVA DE INTERNAÇÃO. INAPLICABILIDADE. CONCESSÃO DE LIBERDADE ASSISTIDA AO MENOR INFRATOR PELO JUIZ DA EXECUÇÃO. ANÁLISE</w:t>
            </w:r>
          </w:p>
          <w:p>
            <w:pPr>
              <w:pStyle w:val="TableParagraph"/>
              <w:spacing w:line="208" w:lineRule="auto" w:before="0"/>
              <w:ind w:right="540"/>
              <w:rPr>
                <w:sz w:val="20"/>
              </w:rPr>
            </w:pPr>
            <w:r>
              <w:rPr>
                <w:sz w:val="20"/>
              </w:rPr>
              <w:t>DA QUESTÃO PREJUDICADA.&lt;/span&gt;&lt;/p&gt;&lt;p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w:t>
            </w:r>
          </w:p>
          <w:p>
            <w:pPr>
              <w:pStyle w:val="TableParagraph"/>
              <w:spacing w:line="208" w:lineRule="auto" w:before="0"/>
              <w:ind w:right="19"/>
              <w:rPr>
                <w:sz w:val="20"/>
              </w:rPr>
            </w:pPr>
            <w:r>
              <w:rPr>
                <w:sz w:val="20"/>
              </w:rPr>
              <w:t>space:pre-wrap;"&gt;1. A impetração busca a anulação da condenação, alegando nulidade da busca pessoal realizada por guardas municipais, sob o argumento de que a abordagem foi ostensiva e excedeu as atribuições constitucionais das guardas municipais.&lt;/span&gt;&lt;/p&gt;&lt;p style="line-height:1.38;margin-left: 113.38582677165354pt;text-align: justify;margin- top:0pt;margin-bottom:0pt;" dir="ltr"&gt; &lt;span style="font-size:11pt;font-family:'Times New Roman',serif;color:#131314;background-color:#ffffff;font-weight:400;font-style:normal;font- variant:normal;text-decoration:none;vertical-align:baseline;white-space:pre;white- space:pre-wrap;"&gt;2. O Supremo Tribunal Federal, no Tema 656, reconheceu a constitucionalidade da atuação das guardas municipais em ações de segurança urbana, incluindo policiamento ostensivo, desde que respeitadas as atribuições dos demais órgãos de segurança pública.&lt;/span&gt;&lt;/p&gt;&lt;p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883" w:val="left" w:leader="none"/>
              </w:tabs>
              <w:spacing w:line="208" w:lineRule="auto" w:before="26"/>
              <w:ind w:right="197"/>
              <w:rPr>
                <w:sz w:val="20"/>
              </w:rPr>
            </w:pPr>
            <w:r>
              <w:rPr>
                <w:sz w:val="20"/>
              </w:rPr>
              <w:t>variant:normal;text-decoration:none;vertical-align:baseline;white-space:pre;white- space:pre-wrap;"&gt;</w:t>
              <w:tab/>
              <w:t>&lt;strong&gt;3. A abordagem foi considerada idônea, pois havia </w:t>
            </w:r>
            <w:r>
              <w:rPr>
                <w:spacing w:val="-3"/>
                <w:sz w:val="20"/>
              </w:rPr>
              <w:t>fundada </w:t>
            </w:r>
            <w:r>
              <w:rPr>
                <w:sz w:val="20"/>
              </w:rPr>
              <w:t>suspeita, justificada pela tentativa de fuga do adolescente ao notar a aproximação dos guardas municipais.&lt;/strong&gt; &lt;/span&gt;&lt;/p&gt;&lt;p style="line-height:1.38;margin-left: 113.38582677165354pt;text-align: justify;margin-top:0pt;margin-bottom:0pt;" dir="ltr"&gt;</w:t>
            </w:r>
          </w:p>
          <w:p>
            <w:pPr>
              <w:pStyle w:val="TableParagraph"/>
              <w:spacing w:line="208" w:lineRule="auto" w:before="0"/>
              <w:ind w:right="75"/>
              <w:rPr>
                <w:sz w:val="20"/>
              </w:rPr>
            </w:pPr>
            <w:r>
              <w:rPr>
                <w:sz w:val="20"/>
              </w:rPr>
              <w:t>&lt;span style="font-size:11pt;font-family:'Times New Roman',serif;color:#131314;background-color:#ffffff;font-weight:400;font-style:normal;font- variant:normal;text-decoration:none;vertical-align:baseline;white-space:pre;white- space:pre-wrap;"&gt;4. A superveniente substituição da medida socioeducativa de internação por liberdade assistida torna prejudicada a análise da inaplicabilidade da internação pelas instâncias ordinárias.&lt;/span&gt;&lt;/p&gt;&lt;p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space:pre-wrap;"&gt;5. Ordem denegada.&lt;/span&gt;&lt;/p&gt;&lt;p style="line-height:1.38;margin-left: 113.38582677165354pt;text-align: justify;margin-top:0pt;margin-bottom:0pt;" dir="ltr"&gt;</w:t>
            </w:r>
          </w:p>
          <w:p>
            <w:pPr>
              <w:pStyle w:val="TableParagraph"/>
              <w:tabs>
                <w:tab w:pos="4388" w:val="left" w:leader="none"/>
              </w:tabs>
              <w:spacing w:line="208" w:lineRule="auto" w:before="0"/>
              <w:ind w:right="66"/>
              <w:rPr>
                <w:sz w:val="20"/>
              </w:rPr>
            </w:pPr>
            <w:r>
              <w:rPr>
                <w:sz w:val="20"/>
              </w:rPr>
              <w:t>&lt;span style="font-size:11pt;font-family:'Times New Roman',serif;color:#131314;background-color:#ffffff;font-weight:400;font-style:normal;font- variant:normal;text-decoration:none;vertical-align:baseline;white-space:pre;white- space:pre-wrap;"&gt;(HC n. 929.860/SP, relator Ministro Sebastião Reis Júnior, Sexta </w:t>
            </w:r>
            <w:r>
              <w:rPr>
                <w:spacing w:val="-3"/>
                <w:sz w:val="20"/>
              </w:rPr>
              <w:t>Turma, </w:t>
            </w:r>
            <w:r>
              <w:rPr>
                <w:sz w:val="20"/>
              </w:rPr>
              <w:t>julgado em 4/6/2025, DJEN de 10/6/2025.) (destacamos)&lt;/span&gt;&lt;/p&gt;&lt;p style="text-align: center;"&gt;  &lt;strong style="font-weight:normal;"&gt;</w:t>
              <w:tab/>
              <w:t>&lt;br /&gt; &lt;/strong&gt;&lt;/p&gt;&lt;p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space:pre-wrap;"&gt;AGRAVO REGIMENTAL EM HABEAS CORPUS. ATO INFRACIONAL ANÁLOGO A TRÁFICO DE DROGAS. BUSCA PESSOAL. FUNDADA SUSPEITA CONFIGURADA. MEDIDA SOCIOEDUCATIVA DE INTERNAÇÃO. APLICAÇÃO DEVIDAMENTE FUNDAMENTADA. AGRAVO DESPROVIDO. I. CASO EM</w:t>
            </w:r>
          </w:p>
          <w:p>
            <w:pPr>
              <w:pStyle w:val="TableParagraph"/>
              <w:spacing w:line="208" w:lineRule="auto" w:before="0"/>
              <w:ind w:right="19"/>
              <w:rPr>
                <w:sz w:val="20"/>
              </w:rPr>
            </w:pPr>
            <w:r>
              <w:rPr>
                <w:sz w:val="20"/>
              </w:rPr>
              <w:t>EXAME&lt;/span&gt;&lt;/p&gt;&lt;p style="line-height:1.38;margin-left: 113.38582677165354pt;text- align: justify;margin-top:0pt;margin-bottom:0pt;" dir="ltr"&gt; &lt;span style="font-size:11pt;font- family:'Times New Roman',serif;color:#131314;background-color:#ffffff;font-weight:400;font- style:normal;font-variant:normal;text-decoration:none;vertical-align:baseline;white- space:pre;white-space:pre-wrap;"&gt;1. Agravo regimental interposto por adolescente contra decisão monocrática da Ministra Daniela Teixeira, que não conheceu de habeas corpus substitutivo de recurso próprio. A defesa sustentou a nulidade da busca pessoal realizada por policiais, alegando ausência de fundada suspeita nos termos do art. 244 do CPP, e requereu a concessão da ordem para absolvição ou substituição da medida socioeducativa de internação por medida menos gravosa. A decisão impugnada entendeu inexistente flagrante ilegalidade, mantendo a validade das provas e a adequação da internação diante da gravidade concreta da infração e da reincidência do paciente. II. QUESTÃO EM DISCUSSÃO&lt;/span&gt;&lt;/p&gt;&lt;p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w:t>
            </w:r>
          </w:p>
          <w:p>
            <w:pPr>
              <w:pStyle w:val="TableParagraph"/>
              <w:tabs>
                <w:tab w:pos="3351" w:val="left" w:leader="none"/>
              </w:tabs>
              <w:spacing w:line="208" w:lineRule="auto" w:before="0"/>
              <w:ind w:right="21"/>
              <w:rPr>
                <w:sz w:val="20"/>
              </w:rPr>
            </w:pPr>
            <w:r>
              <w:rPr>
                <w:sz w:val="20"/>
              </w:rPr>
              <w:t>space:pre-wrap;"&gt;2. Há duas questões em discussão: (i) definir se houve ilicitude na busca pessoal realizada por policiais militares; e (ii) estabelecer se a medida socioeducativa de internação é adequada e proporcional à situação do adolescente. III. RAZÕES DE DECIDIR&lt;/span&gt;&lt;/p&gt;&lt;p style="line-height:1.38;margin-left: 113.38582677165354pt;text- align: justify;margin-top:0pt;margin-bottom:0pt;" dir="ltr"&gt; &lt;span style="font-size:11pt;font- family:'Times New Roman',serif;color:#131314;background-color:#ffffff;font-weight:400;font- style:normal;font-variant:normal;text-decoration:none;vertical-align:baseline;white- space:pre;white-space:pre-wrap;"&gt;3.&lt;/span&gt; &lt;span style="font-size:11pt;font- family:'Times New Roman',serif;color:#131314;background-color:#ffffff;font-weight:400;font- style:normal;font-variant:normal;text-decoration:none;vertical-align:baseline;white- space:pre;white-space:pre-wrap;"&gt;</w:t>
              <w:tab/>
              <w:t>&lt;strong&gt;A realização da busca pessoal está justificada por fundada suspeita decorrente de conduta objetiva do paciente - tentativa de fuga ao avistar a viatura, ocultação de objeto e localização em área conhecida por tráfico - em conformidade com o art. 244 do CPP e a jurisprudência do STJ.&lt;/strong&gt;</w:t>
            </w:r>
          </w:p>
          <w:p>
            <w:pPr>
              <w:pStyle w:val="TableParagraph"/>
              <w:spacing w:line="208" w:lineRule="auto" w:before="0"/>
              <w:ind w:right="21"/>
              <w:rPr>
                <w:sz w:val="20"/>
              </w:rPr>
            </w:pPr>
            <w:r>
              <w:rPr>
                <w:sz w:val="20"/>
              </w:rPr>
              <w:t>&lt;/span&gt;&lt;/p&gt;&lt;p style="line-height:1.38;margin-left: 113.38582677165354pt;text-align: justify;margin-top:0pt;margin-bottom:0pt;" dir="ltr"&gt; &lt;span style="font-size:11pt;font- family:'Times New Roman',serif;color:#131314;background-color:#ffffff;font-weight:400;font- style:normal;font-variant:normal;text-decoration:none;vertical-align:baseline;white- space:pre;white-space:pre-wrap;"&gt;4. A jurisprudência do STJ é firme no sentido de que fundada suspeita exige elementos objetivos e concretos, os quais estavam presentes no caso, afastando a alegada nulidade da prova.&lt;/span&gt;&lt;/p&gt;&lt;p style="line- height:1.38;margin-left: 113.38582677165354pt;text-align: justify;margin-top:0pt;margin-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bottom:0pt;" dir="ltr"&gt; &lt;span style="font-size:11pt;font-family:'Times New Roman',serif;color:#131314;background-color:#ffffff;font-weight:400;font-style:normal;font- variant:normal;text-decoration:none;vertical-align:baseline;white-space:pre;white- space:pre-wrap;"&gt;5. A medida socioeducativa de internação mostra-se adequada diante da reincidência específica do adolescente, que já cumpria medida em meio aberto por ato infracional idêntico, e da avaliação psicossocial que indicou necessidade de intervenção mais incisiva para fins de proteção e ressocialização.&lt;/span&gt;&lt;/p&gt;&lt;p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space:pre-wrap;"&gt;6. A reiteração na prática de ato infracional é hipótese autorizadora da internação, nos termos do art. 122, II, do ECA, e foi corretamente reconhecida pelo acórdão impugnado com base em fundamentação concreta. IV. DISPOSITIVO E TESE&lt;/span&gt;&lt;/p&gt;&lt;p style="line-height:1.38;margin-left: 113.38582677165354pt;text-align: justify;margin-top:0pt;margin-bottom:0pt;" dir="ltr"&gt; &lt;span style="font-size:11pt;font- family:'Times New Roman',serif;color:#131314;background-color:#ffffff;font-weight:400;font- style:normal;font-variant:normal;text-decoration:none;vertical-align:baseline;white- space:pre;white-space:pre-wrap;"&gt;7. Agravo regimental desprovido.&lt;/span&gt;&lt;/p&gt;&lt;p style="line-height:1.38;margin-left: 113.38582677165354pt;text-align: justify;margin- top:0pt;margin-bottom:0pt;" dir="ltr"&gt; &lt;span style="font-size:11pt;font-family:'Times New Roman',serif;color:#131314;background-color:#ffffff;font-weight:400;font-style:normal;font- variant:normal;text-decoration:none;vertical-align:baseline;white-space:pre;white- space:pre-wrap;"&gt;Tese de julgamento:&lt;/span&gt;&lt;/p&gt;&lt;p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space:pre-wrap;"&gt;1. A busca pessoal realizada com base em conduta objetivamente</w:t>
            </w:r>
          </w:p>
          <w:p>
            <w:pPr>
              <w:pStyle w:val="TableParagraph"/>
              <w:spacing w:line="208" w:lineRule="auto" w:before="0"/>
              <w:ind w:right="18"/>
              <w:rPr>
                <w:sz w:val="20"/>
              </w:rPr>
            </w:pPr>
            <w:r>
              <w:rPr>
                <w:sz w:val="20"/>
              </w:rPr>
              <w:t>suspeita, em local conhecido por tráfico, é válida e atende ao requisito da fundada </w:t>
            </w:r>
            <w:r>
              <w:rPr>
                <w:spacing w:val="-3"/>
                <w:sz w:val="20"/>
              </w:rPr>
              <w:t>suspeita </w:t>
            </w:r>
            <w:r>
              <w:rPr>
                <w:sz w:val="20"/>
              </w:rPr>
              <w:t>previsto no art. 244 do CPP.&lt;/span&gt;&lt;/p&gt;&lt;p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space:pre-wrap;"&gt;2. A medida socioeducativa de internação pode ser aplicada em razão da gravidade concreta da infração e da reincidência específica do adolescente, conforme autoriza o art. 122, II, do ECA.&lt;/span&gt;&lt;/p&gt;&lt;p style="line-height:1.38;margin-left: 113.38582677165354pt;text-align: justify;margin-top:0pt;margin-bottom:0pt;" dir="ltr"&gt;</w:t>
            </w:r>
          </w:p>
          <w:p>
            <w:pPr>
              <w:pStyle w:val="TableParagraph"/>
              <w:tabs>
                <w:tab w:pos="1750" w:val="left" w:leader="none"/>
              </w:tabs>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space:pre-wrap;"&gt;(AgRg no HC n. 965.555/SP, relator Ministro Carlos Cini Marchionatti (Desembargador Convocado TJRS), Quinta Turma, julgado em 20/5/2025, DJEN de 26/5/2025.) (destacamos)&lt;/span&gt;&lt;/p&gt;&lt;p style="text-align: center;"&gt; &lt;strong style="font- weight:normal;"&gt;</w:t>
              <w:tab/>
              <w:t>&lt;br /&gt; &lt;/strong&gt;&lt;/p&gt;&lt;p style="line-height:1.7999999999999998;text- 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space:pre-wrap;"&gt;No caso em análise, pelo que dos autos consta, os policiais estavam realizando patrulhamento em local dominado por facção e que, segundo informações, o</w:t>
            </w:r>
          </w:p>
          <w:p>
            <w:pPr>
              <w:pStyle w:val="TableParagraph"/>
              <w:spacing w:line="208" w:lineRule="auto" w:before="0"/>
              <w:ind w:right="30"/>
              <w:rPr>
                <w:sz w:val="20"/>
              </w:rPr>
            </w:pPr>
            <w:r>
              <w:rPr>
                <w:sz w:val="20"/>
              </w:rPr>
              <w:t>representado trabalharia para um traficante. Restou demonstrado, ainda, que a genitora </w:t>
            </w:r>
            <w:r>
              <w:rPr>
                <w:spacing w:val="-9"/>
                <w:sz w:val="20"/>
              </w:rPr>
              <w:t>do </w:t>
            </w:r>
            <w:r>
              <w:rPr>
                <w:sz w:val="20"/>
              </w:rPr>
              <w:t>adolescente autorizou a entrada dos agentes de segurança em sua residência. Em que pese a defesa sustentar que referida autorização não fora válida, inexistem nos autos provas nesse sentido.&lt;/span&gt;&lt;/p&gt;&lt;p style="line-height:1.7999999999999998;text-indent: 56.692913385826756pt;text-align: justify;margin-top:4pt;margin-bottom:0pt;"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space:pre-wrap;"&gt;Destaco trecho do parecer lavrado pela Procuradoria Geral de Justiça:&amp;#160;&lt;/span&gt;&lt;/p&gt;&lt;p style="line-height:1.7999999999999998;text-indent: 56.692913385826756pt;text-align: justify;margin-top:4pt;margin-bottom:0pt;" dir="ltr"&gt;</w:t>
            </w:r>
          </w:p>
          <w:p>
            <w:pPr>
              <w:pStyle w:val="TableParagraph"/>
              <w:tabs>
                <w:tab w:pos="1883" w:val="left" w:leader="none"/>
              </w:tabs>
              <w:spacing w:line="208" w:lineRule="auto" w:before="0"/>
              <w:ind w:right="159"/>
              <w:rPr>
                <w:sz w:val="20"/>
              </w:rPr>
            </w:pPr>
            <w:r>
              <w:rPr>
                <w:sz w:val="20"/>
              </w:rPr>
              <w:t>&lt;span style="font-size:12pt;font-family:'Times New Roman',serif;color:#131314;background-color:#ffffff;font-weight:400;font-style:normal;font- variant:normal;text-decoration:none;vertical-align:baseline;white-space:pre;white- space:pre-wrap;"&gt;</w:t>
              <w:tab/>
              <w:t>&lt;br /&gt; &lt;/span&gt;&lt;/p&gt;&lt;p style="line-height:1.38;margin-left: 113.38582677165354pt;text-align: justify;margin-top:4pt;margin-bottom:0pt;" dir="ltr"&gt;</w:t>
            </w:r>
          </w:p>
          <w:p>
            <w:pPr>
              <w:pStyle w:val="TableParagraph"/>
              <w:spacing w:line="208" w:lineRule="auto" w:before="0"/>
              <w:ind w:right="159"/>
              <w:rPr>
                <w:sz w:val="20"/>
              </w:rPr>
            </w:pPr>
            <w:r>
              <w:rPr>
                <w:sz w:val="20"/>
              </w:rPr>
              <w:t>&lt;span style="font-size:12pt;font-family:'Times New Roman',serif;color:#131314;background-color:#ffffff;font-weight:400;font-style:normal;font-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883" w:val="left" w:leader="none"/>
              </w:tabs>
              <w:spacing w:line="208" w:lineRule="auto" w:before="26"/>
              <w:ind w:right="157"/>
              <w:rPr>
                <w:sz w:val="20"/>
              </w:rPr>
            </w:pPr>
            <w:r>
              <w:rPr>
                <w:sz w:val="20"/>
              </w:rPr>
              <w:t>variant:normal;text-decoration:none;vertical-align:baseline;white-space:pre;white- space:pre-wrap;"&gt;</w:t>
              <w:tab/>
              <w:t>&lt;em&gt;No que pertine a arguida nulidade do procedimento, apomos a legalidade da abordagem policial vergastada, vez que lastreada em denúncia encaminhada à autoridade competente e ressonante com o entendimento do Pretório Excelso que autoriza a abordagem com base em fundada suspeita&lt;/em&gt; </w:t>
            </w:r>
            <w:r>
              <w:rPr>
                <w:spacing w:val="-2"/>
                <w:sz w:val="20"/>
              </w:rPr>
              <w:t>&lt;/span&gt;&lt;/p&gt;&lt;p </w:t>
            </w:r>
            <w:r>
              <w:rPr>
                <w:sz w:val="20"/>
              </w:rPr>
              <w:t>style="line-height:1.38;margin-left: 113.38582677165354pt;text-align: justify;margin- top:4pt;margin-bottom:0pt;" dir="ltr"&gt; &lt;span style="font-size:12pt;font-family:'Times New Roman',serif;color:#131314;background-color:#ffffff;font-weight:400;font-style:normal;font- variant:normal;text-decoration:none;vertical-align:baseline;white-space:pre;white- space:pre-wrap;"&gt;</w:t>
              <w:tab/>
              <w:t>&lt;em&gt;(...)&lt;/em&gt; &lt;/span&gt;&lt;/p&gt;&lt;p style="line-height:1.38;margin-left: 113.38582677165354pt;text-align: justify;margin-top:4pt;margin-bottom:0pt;" dir="ltr"&gt;</w:t>
            </w:r>
          </w:p>
          <w:p>
            <w:pPr>
              <w:pStyle w:val="TableParagraph"/>
              <w:tabs>
                <w:tab w:pos="1883" w:val="left" w:leader="none"/>
              </w:tabs>
              <w:spacing w:line="208" w:lineRule="auto" w:before="0"/>
              <w:ind w:right="130"/>
              <w:rPr>
                <w:sz w:val="20"/>
              </w:rPr>
            </w:pPr>
            <w:r>
              <w:rPr>
                <w:sz w:val="20"/>
              </w:rPr>
              <w:t>&lt;span style="font-size:12pt;font-family:'Times New Roman',serif;color:#131314;background-color:#ffffff;font-weight:400;font-style:normal;font- variant:normal;text-decoration:none;vertical-align:baseline;white-space:pre;white- space:pre-wrap;"&gt;</w:t>
              <w:tab/>
              <w:t>&lt;em&gt;Ademais, não há qualquer comprovação de irregularidade na busca residencial, pois autorizada pela genitora do Representado (cujo consentimento </w:t>
            </w:r>
            <w:r>
              <w:rPr>
                <w:spacing w:val="-5"/>
                <w:sz w:val="20"/>
              </w:rPr>
              <w:t>foi, </w:t>
            </w:r>
            <w:r>
              <w:rPr>
                <w:sz w:val="20"/>
              </w:rPr>
              <w:t>inclusive, filmado), portanto, realizada sem qualquer abuso ou ilegalidade.&lt;/em&gt;</w:t>
            </w:r>
          </w:p>
          <w:p>
            <w:pPr>
              <w:pStyle w:val="TableParagraph"/>
              <w:tabs>
                <w:tab w:pos="3351" w:val="left" w:leader="none"/>
              </w:tabs>
              <w:spacing w:line="208" w:lineRule="auto" w:before="0"/>
              <w:ind w:right="20"/>
              <w:rPr>
                <w:sz w:val="20"/>
              </w:rPr>
            </w:pPr>
            <w:r>
              <w:rPr>
                <w:sz w:val="20"/>
              </w:rPr>
              <w:t>&lt;/span&gt;&lt;/p&gt;&lt;p style="line-height:1.38;margin-left: 113.38582677165354pt;text-align: justify;margin-top:4pt;margin-bottom:0pt;" dir="ltr"&gt; &lt;span style="font-size:12pt;font- family:'Times New Roman',serif;color:#131314;background-color:#ffffff;font-weight:400;font- style:normal;font-variant:normal;text-decoration:none;vertical-align:baseline;white- space:pre;white-space:pre-wrap;"&gt;</w:t>
              <w:tab/>
              <w:t>&lt;br /&gt; &lt;/span&gt;&lt;/p&gt;&lt;p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space:pre-wrap;"&gt;Não merece guarida, portanto,&lt;/span&gt; &lt;span style="font-size:12pt;font- family:'Times New Roman',serif;color:#131314;background-color:#ffffff;font-weight:700;font- style:normal;font-variant:normal;text-decoration:none;vertical-align:baseline;white- space:pre;white-space:pre-wrap;"&gt;a preliminar&lt;/span&gt; &lt;span style="font-size:12pt;font- family:'Times New Roman',serif;color:#131314;background-color:#ffffff;font-weight:400;font- style:normal;font-variant:normal;text-decoration:none;vertical-align:baseline;white- space:pre;white-space:pre-wrap;"&gt;de nulidade processual por ilicitude da prova, razão </w:t>
            </w:r>
            <w:r>
              <w:rPr>
                <w:spacing w:val="-5"/>
                <w:sz w:val="20"/>
              </w:rPr>
              <w:t>pela </w:t>
            </w:r>
            <w:r>
              <w:rPr>
                <w:sz w:val="20"/>
              </w:rPr>
              <w:t>qual a&lt;/span&gt; &lt;span style="font-size:12pt;font-family:'Times New Roman',serif;color:#131314;background-color:#ffffff;font-weight:700;font-style:normal;font- variant:normal;text-decoration:none;vertical-align:baseline;white-space:pre;white- space:pre-wrap;"&gt;rejeito&lt;/span&gt;&lt;span style="font-size:12pt;font-family:'Times New Roman',serif;color:#131314;background-color:#ffffff;font-weight:400;font-style:normal;font- variant:normal;text-decoration:none;vertical-align:baseline;white-space:pre;white- space:pre-wrap;"&gt;.&lt;/span&gt;&lt;/p&gt;&lt;p style="line-height:1.7999999999999998;text-indent: 56.692913385826756pt;text-align: justify;margin-top:4pt;margin-bottom:0pt;" dir="ltr"&gt;</w:t>
            </w:r>
          </w:p>
          <w:p>
            <w:pPr>
              <w:pStyle w:val="TableParagraph"/>
              <w:spacing w:line="208" w:lineRule="auto" w:before="0"/>
              <w:ind w:right="129"/>
              <w:rPr>
                <w:sz w:val="20"/>
              </w:rPr>
            </w:pPr>
            <w:r>
              <w:rPr>
                <w:sz w:val="20"/>
              </w:rPr>
              <w:t>&lt;span style="font-size:12pt;font-family:'Times New Roman',serif;color:#131314;background-color:#ffffff;font-weight:700;font-style:normal;font- variant:normal;text-decoration:none;vertical-align:baseline;white-space:pre;white- space:pre-wrap;"&gt;- Mérito. Análise do pedido de desclassificação e da adequação da medida socioeducativa aplicada.&lt;/span&gt;&lt;/p&gt;&lt;p style="line- height:1.7999999999999998;text-indent: 56.692913385826756pt;text-align: </w:t>
            </w:r>
            <w:r>
              <w:rPr>
                <w:spacing w:val="-2"/>
                <w:sz w:val="20"/>
              </w:rPr>
              <w:t>justify;margin- </w:t>
            </w:r>
            <w:r>
              <w:rPr>
                <w:sz w:val="20"/>
              </w:rPr>
              <w:t>top:4pt;margin-bottom:0pt;" dir="ltr"&gt; &lt;span style="font-size:12pt;font-family:'Times New Roman',serif;color:#131314;background-color:#ffffff;font-weight:400;font-style:normal;font- variant:normal;text-decoration:none;vertical-align:baseline;white-space:pre;white- space:pre-wrap;"&gt;O Juízo de primeiro grau considerou comprovada a materialidade e autoria do ato infracional análogo ao crime de tráfico de drogas (Art. 33, Lei 11.343/06). O</w:t>
            </w:r>
          </w:p>
          <w:p>
            <w:pPr>
              <w:pStyle w:val="TableParagraph"/>
              <w:spacing w:line="208" w:lineRule="auto" w:before="0"/>
              <w:ind w:right="19"/>
              <w:rPr>
                <w:sz w:val="20"/>
              </w:rPr>
            </w:pPr>
            <w:r>
              <w:rPr>
                <w:sz w:val="20"/>
              </w:rPr>
              <w:t>pedido subsidiário de desclassificação para uso (Art. 28) não encontra respaldo nos fatos </w:t>
            </w:r>
            <w:r>
              <w:rPr>
                <w:spacing w:val="-18"/>
                <w:sz w:val="20"/>
              </w:rPr>
              <w:t>e </w:t>
            </w:r>
            <w:r>
              <w:rPr>
                <w:sz w:val="20"/>
              </w:rPr>
              <w:t>provas da representação, não merecendo acolhimento.&amp;#160;&lt;/span&gt;&lt;/p&gt;&lt;p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space:pre-wrap;"&gt;Conforme se constata dos autos, foram apreendidos em poder do adolescente, na sua residência, uma balança de precisão, saquinhos de plástico, 44 gramas de maconha e uma trouxinha com substância de cor branca, a qual, conforme laudo pericial, tratava-se apenas de sulfato de cálcio.&lt;/span&gt;&lt;/p&gt;&lt;p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space:pre-wrap;"&gt;Diante de tudo o que foi apurado na representação, portanto, conclui-se que o ato infracional assemelha-se ao crime previsto no art. 33 da Lei nº 11.343/06 e não </w:t>
            </w:r>
            <w:r>
              <w:rPr>
                <w:spacing w:val="-14"/>
                <w:sz w:val="20"/>
              </w:rPr>
              <w:t>a </w:t>
            </w:r>
            <w:r>
              <w:rPr>
                <w:sz w:val="20"/>
              </w:rPr>
              <w:t>posse para consumo (art. 28 da norma citada)&lt;/span&gt;&lt;/p&gt;&lt;p style="line- height:1.7999999999999998;text-indent: 56.692913385826756pt;text-align: justify;margin-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0202415-11.2023.8.06.0070</w:t>
            </w:r>
          </w:p>
        </w:tc>
      </w:tr>
      <w:tr>
        <w:trPr>
          <w:trHeight w:val="126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443" w:val="left" w:leader="none"/>
              </w:tabs>
              <w:spacing w:line="208" w:lineRule="auto" w:before="26"/>
              <w:ind w:right="21"/>
              <w:rPr>
                <w:sz w:val="20"/>
              </w:rPr>
            </w:pPr>
            <w:r>
              <w:rPr>
                <w:sz w:val="20"/>
              </w:rPr>
              <w:t>top:4pt;margin-bottom:0pt;" dir="ltr"&gt; &lt;span style="font-size:12pt;font-family:'Times New Roman',serif;color:#131314;background-color:#ffffff;font-weight:400;font-style:normal;font- variant:normal;text-decoration:none;vertical-align:baseline;white-space:pre;white- space:pre-wrap;"&gt;Considerando a gravidade da conduta do adolescente, análoga ao tráfico de drogas, dada as circunstâncias apuradas, não há que se falar na desclassificação pretendida.&lt;/span&gt;&lt;/p&gt;&lt;p style="line-height:1.7999999999999998;text- indent: 56.692913385826756pt;text-align: justify;margin-top:4pt;margin-bottom:0pt;" dir="ltr"&gt; &lt;span style="font-size:12pt;font-family:'Times New Roman',serif;color:#131314;background-color:#ffffff;font-weight:400;font-style:normal;font- variant:normal;text-decoration:none;vertical-align:baseline;white-space:pre;white- space:pre-wrap;"&gt;Em razão da conduta do adolescente foi-lhe aplicada medida socioeducativa de liberdade assistida por 06 (seis) meses. Referida medida mostra-se adequada para acompanhar, auxiliar e orientar o adolescente, ao buscar a reintegração social através de um plano individualizado de atendimento e orientação próxima (nos termos do art. 118 do ECA).&lt;/span&gt;&lt;/p&gt;&lt;p style="line-height:1.7999999999999998;text- indent: 56.692913385826756pt;text-align: justify;margin-top:4pt;margin-bottom:0pt;" dir="ltr"&gt; &lt;span style="font-size:12pt;font-family:'Times New Roman',serif;color:#131314;background-color:#ffffff;font-weight:700;font-style:normal;font- variant:normal;text-decoration:none;vertical-align:baseline;white-space:pre;white- space:pre-wrap;"&gt;Dispositivo:&lt;/span&gt;&lt;/p&gt;&lt;p style="line-height:1.7999999999999998;text- 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space:pre-wrap;"&gt;Por todo exposto e fundamentado, e em consonância com o Parecer Ministerial,&lt;/span&gt; &lt;span style="font-size:12pt;font-family:'Times New Roman',serif;color:#131314;background-color:#ffffff;font-weight:700;font-style:normal;font- variant:normal;text-decoration:none;vertical-align:baseline;white-space:pre;white- space:pre-wrap;"&gt;CONHEÇO&lt;/span&gt; &lt;span style="font-size:12pt;font-family:'Times New Roman',serif;color:#131314;background-color:#ffffff;font-weight:400;font-style:normal;font- variant:normal;text-decoration:none;vertical-align:baseline;white-space:pre;white- space:pre-wrap;"&gt;do Recurso de Apelação, para&lt;/span&gt; &lt;span style="font-size:12pt;font- family:'Times New Roman',serif;color:#131314;background-color:#ffffff;font-weight:700;font- style:normal;font-variant:normal;text-decoration:none;vertical-align:baseline;white- space:pre;white-space:pre-wrap;"&gt;NEGAR-LHE PROVIMENTO&lt;/span&gt;&lt;span style="font- size:12pt;font-family:'Times New Roman',serif;color:#131314;background-color:#ffffff;font- weight:400;font-style:normal;font-variant:normal;text-decoration:none;vertical- align:baseline;white-space:pre;white-space:pre-wrap;"&gt;, mantendo-se incólume a sentença de primeiro grau que aplicou ao Representado a Medida Socioeducativa de Liberdade Assistida pelo prazo de 06 (seis) meses.&lt;/span&gt;&lt;/p&gt;&lt;p style="line- height:1.7999999999999998;text-indent: 56.692913385826756pt;text-align: justify;margin- top:4pt;margin-bottom:0pt;" dir="ltr"&gt; &lt;span style="font-size:12pt;font-family:'Times New Roman',serif;color:#131314;background-color:#ffffff;font-weight:400;font-style:normal;font- variant:normal;text-decoration:none;vertical-align:baseline;white-space:pre;white- space:pre-wrap;"&gt;&amp;#160;&lt;/span&gt; &lt;span style="font-family: &amp;quot;times new roman&amp;quot;, times; font-size: medium; text-indent: 8%;"&gt;É como voto.&lt;/span&gt;&lt;/p&gt;&lt;p style="line- height:1.7999999999999998;text-indent: 56.692913385826756pt;text-align: justify;margin- top:4pt;margin-bottom:0pt;" dir="ltr"&gt; &lt;span style="font-family: &amp;quot;times new roman&amp;quot;, times; font-size: medium; text-indent: 8%;"&gt;&amp;#160;&lt;/span&gt; &lt;span style="font-family: &amp;quot;times new roman&amp;quot;, times; font-size: medium; text-indent: 8%;"&gt;Fortaleza/CE, data registrada no sistema.&lt;/span&gt;&lt;/p&gt;&lt;p style="text-indent: 8%; text- align: justify;"&gt;  &lt;span style="font-size: small;"&gt;</w:t>
              <w:tab/>
              <w:t>&lt;span style="font-size: medium;"&gt;</w:t>
            </w:r>
          </w:p>
          <w:p>
            <w:pPr>
              <w:pStyle w:val="TableParagraph"/>
              <w:tabs>
                <w:tab w:pos="6234" w:val="left" w:leader="none"/>
                <w:tab w:pos="7090" w:val="left" w:leader="none"/>
              </w:tabs>
              <w:spacing w:line="186" w:lineRule="exact" w:before="0"/>
              <w:rPr>
                <w:sz w:val="20"/>
              </w:rPr>
            </w:pPr>
            <w:r>
              <w:rPr>
                <w:sz w:val="20"/>
              </w:rPr>
              <w:t>&lt;span style="font-family: &amp;quot;times new roman&amp;quot;, times;"&gt;</w:t>
              <w:tab/>
              <w:t>&lt;br /&gt;</w:t>
              <w:tab/>
              <w:t>&lt;/span&gt;</w:t>
            </w:r>
          </w:p>
          <w:p>
            <w:pPr>
              <w:pStyle w:val="TableParagraph"/>
              <w:tabs>
                <w:tab w:pos="1683" w:val="left" w:leader="none"/>
                <w:tab w:pos="3995" w:val="left" w:leader="none"/>
                <w:tab w:pos="4921" w:val="left" w:leader="none"/>
                <w:tab w:pos="4963" w:val="left" w:leader="none"/>
              </w:tabs>
              <w:spacing w:line="208" w:lineRule="auto" w:before="10"/>
              <w:ind w:right="163"/>
              <w:rPr>
                <w:sz w:val="20"/>
              </w:rPr>
            </w:pPr>
            <w:r>
              <w:rPr>
                <w:sz w:val="20"/>
              </w:rPr>
              <w:t>&lt;/span&gt; &lt;/span&gt;&lt;/p&gt;&lt;p style="text-indent: 8%; text-align: center;"&gt; &lt;span style="font- size: medium;"&gt;</w:t>
              <w:tab/>
              <w:t>&lt;strong style="font-size: small;"&gt;</w:t>
              <w:tab/>
              <w:t>&lt;span style="font-family: &amp;quot;times new roman&amp;quot;, times;"&gt;</w:t>
              <w:tab/>
              <w:t>&lt;br /&gt;</w:t>
              <w:tab/>
              <w:tab/>
              <w:t>&lt;span style="font-size:</w:t>
            </w:r>
            <w:r>
              <w:rPr>
                <w:spacing w:val="-16"/>
                <w:sz w:val="20"/>
              </w:rPr>
              <w:t> </w:t>
            </w:r>
            <w:r>
              <w:rPr>
                <w:sz w:val="20"/>
              </w:rPr>
              <w:t>medium;"&gt;</w:t>
            </w:r>
          </w:p>
          <w:p>
            <w:pPr>
              <w:pStyle w:val="TableParagraph"/>
              <w:tabs>
                <w:tab w:pos="2073" w:val="left" w:leader="none"/>
                <w:tab w:pos="2905" w:val="left" w:leader="none"/>
                <w:tab w:pos="3130" w:val="left" w:leader="none"/>
                <w:tab w:pos="3951" w:val="left" w:leader="none"/>
                <w:tab w:pos="4075" w:val="left" w:leader="none"/>
                <w:tab w:pos="4896" w:val="left" w:leader="none"/>
                <w:tab w:pos="7192" w:val="left" w:leader="none"/>
              </w:tabs>
              <w:spacing w:line="208" w:lineRule="auto" w:before="0"/>
              <w:ind w:right="248"/>
              <w:rPr>
                <w:sz w:val="20"/>
              </w:rPr>
            </w:pPr>
            <w:r>
              <w:rPr>
                <w:sz w:val="20"/>
              </w:rPr>
              <w:t>&lt;strong style="font-size: medium;"&gt;FRANCISCO LUCÍDIO DE QUEIROZ JÚNIOR&lt;/strong&gt;</w:t>
              <w:tab/>
              <w:t>&lt;/span&gt;</w:t>
              <w:tab/>
              <w:tab/>
              <w:t>&lt;/span&gt;</w:t>
              <w:tab/>
              <w:tab/>
              <w:t>&lt;/strong&gt; &lt;/span&gt;&lt;/p&gt;&lt;p style="text-align: center;"&gt;  &lt;span style="font-size: small;"&gt;</w:t>
              <w:tab/>
              <w:t>&lt;strong style="font-size: small;"&gt;</w:t>
              <w:tab/>
              <w:t>&lt;span style="font-size: medium;"&gt;</w:t>
              <w:tab/>
              <w:t>&lt;span style="font-family: &amp;quot;times new roman&amp;quot;, times;"&gt;Desembargador Relator&lt;/span&gt;</w:t>
              <w:tab/>
              <w:t>&lt;/span&gt;</w:t>
              <w:tab/>
              <w:t>&lt;/strong&gt;</w:t>
            </w:r>
          </w:p>
          <w:p>
            <w:pPr>
              <w:pStyle w:val="TableParagraph"/>
              <w:tabs>
                <w:tab w:pos="4199" w:val="left" w:leader="none"/>
              </w:tabs>
              <w:spacing w:line="208" w:lineRule="auto" w:before="0"/>
              <w:ind w:right="57"/>
              <w:rPr>
                <w:sz w:val="20"/>
              </w:rPr>
            </w:pPr>
            <w:r>
              <w:rPr>
                <w:sz w:val="20"/>
              </w:rPr>
              <w:t>&lt;/span&gt;&lt;/p&gt;&lt;p&gt;&amp;#160;&lt;/p&gt;&lt;br /&gt;&lt;br /&gt;&lt;p&gt;&amp;#160;&lt;/p&gt;&lt;p&gt;&amp;#160;&lt;/p&gt;&lt;p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0623474-35.2025.8.06.0000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0623474-35.2025.8.06.0000</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HUGO LOPES MENDONCA JUNIOR</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967"/>
              <w:rPr>
                <w:sz w:val="20"/>
              </w:rPr>
            </w:pPr>
            <w:r>
              <w:rPr>
                <w:sz w:val="20"/>
              </w:rPr>
              <w:t>ANA LIVIA SANTOS GURGEL - (CE17241-A) RAIMUNDA FERREIRA SANTOS GURGEL -</w:t>
            </w:r>
            <w:r>
              <w:rPr>
                <w:spacing w:val="-17"/>
                <w:sz w:val="20"/>
              </w:rPr>
              <w:t> </w:t>
            </w:r>
            <w:r>
              <w:rPr>
                <w:sz w:val="20"/>
              </w:rPr>
              <w:t>(CE4527-A)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605"/>
              <w:rPr>
                <w:sz w:val="20"/>
              </w:rPr>
            </w:pPr>
            <w:r>
              <w:rPr>
                <w:sz w:val="20"/>
              </w:rPr>
              <w:t>MARIA DE FATIMA GOMES MACEDO VICENTE JANDER IVO MACEDO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5061"/>
              <w:rPr>
                <w:sz w:val="20"/>
              </w:rPr>
            </w:pPr>
            <w:r>
              <w:rPr>
                <w:sz w:val="20"/>
              </w:rPr>
              <w:t>YACY MENDONCA DE ALMEIDA JOSIAS DE SOUSA REGIS</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TEREZINHA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HAPVIDA ASSISTENCIA MEDICA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&lt;strong&gt;PROCESSO&lt;/strong&gt;:&amp;#160;0201485-74.2023.8.06.0043 -&amp;#160;APELAÇÃO</w:t>
            </w:r>
          </w:p>
          <w:p>
            <w:pPr>
              <w:pStyle w:val="TableParagraph"/>
              <w:tabs>
                <w:tab w:pos="5517" w:val="left" w:leader="none"/>
                <w:tab w:pos="6262" w:val="left" w:leader="none"/>
                <w:tab w:pos="6380" w:val="left" w:leader="none"/>
                <w:tab w:pos="6557" w:val="left" w:leader="none"/>
                <w:tab w:pos="6913" w:val="left" w:leader="none"/>
              </w:tabs>
              <w:spacing w:line="208" w:lineRule="auto" w:before="8"/>
              <w:ind w:right="167"/>
              <w:rPr>
                <w:sz w:val="20"/>
              </w:rPr>
            </w:pPr>
            <w:r>
              <w:rPr>
                <w:sz w:val="20"/>
              </w:rPr>
              <w:t>CÍVEL (198)&lt;/span&gt;  &lt;/span&gt;&lt;/p&gt;&lt;p&gt;  &lt;span style="font-size: small;"&gt;</w:t>
              <w:tab/>
              <w:tab/>
              <w:t>&lt;span style="font-family: &amp;quot;times new roman&amp;quot;, times;"&gt;APELANTE: TEREZINHA DE OLIVEIRA&lt;/span&gt;  &lt;/span&gt;&lt;/p&gt;&lt;p&gt;  &lt;span style="font-size: small;"&gt;</w:t>
              <w:tab/>
              <w:tab/>
              <w:t>&lt;span </w:t>
            </w:r>
            <w:r>
              <w:rPr>
                <w:spacing w:val="-2"/>
                <w:sz w:val="20"/>
              </w:rPr>
              <w:t>style="font- </w:t>
            </w:r>
            <w:r>
              <w:rPr>
                <w:sz w:val="20"/>
              </w:rPr>
              <w:t>family: &amp;quot;times new roman&amp;quot;, times;"&gt;APELADO: HAPVIDA ASSISTENCIA MEDICA S.A.&lt;/span&gt;  &lt;/span&gt;&lt;/p&gt;&lt;p&gt;  &lt;span style="font-size: medium;"&gt;</w:t>
              <w:tab/>
              <w:t>&lt;span style="font-family: &amp;quot;times new roman&amp;quot;, times;"&gt;</w:t>
              <w:tab/>
              <w:t>&lt;br /&gt;</w:t>
              <w:tab/>
              <w:t>&lt;/span&gt;</w:t>
            </w:r>
          </w:p>
          <w:p>
            <w:pPr>
              <w:pStyle w:val="TableParagraph"/>
              <w:spacing w:line="208" w:lineRule="auto" w:before="0"/>
              <w:rPr>
                <w:sz w:val="20"/>
              </w:rPr>
            </w:pPr>
            <w:r>
              <w:rPr>
                <w:sz w:val="20"/>
              </w:rPr>
              <w:t>&lt;/span&gt;&lt;/p&gt;&lt;p style="line-height: 1.38; text-align: justify; margin-top: 6pt; margin-bottom: 6pt;" dir="ltr"&gt; &lt;span style="font-size: 12pt; font-family: 'Times New Roman',serif; color: #000000; background-color: transparent; font-weight: 400; font-style: italic; font-variant: normal; text-decoration: none; vertical-align: baseline; white-space: pre- wrap;"&gt;Ementa&lt;/span&gt; &lt;span style="font-size: 12pt; font-family: 'Times New </w:t>
            </w:r>
            <w:r>
              <w:rPr>
                <w:spacing w:val="-2"/>
                <w:sz w:val="20"/>
              </w:rPr>
              <w:t>Roman',serif; </w:t>
            </w:r>
            <w:r>
              <w:rPr>
                <w:sz w:val="20"/>
              </w:rPr>
              <w:t>color: #000000; background-color: transparent; font-weight: 400; font-style: normal; font- variant: normal; text-decoration: none; vertical-align: baseline; white-space: pre-wrap;"&gt;: DIREITO CIVIL E CONSUMIDOR. APELAÇÃO CÍVEL. AÇÃO DE OBRIGAÇÃO DE FAZER. PLANO DE SAÚDE. NEGATIVA DE COBERTURA DE PROCEDIMENTO CIRÚRGICO. DANO MORAL. DESCUMPRIMENTO DE ORDEM JUDICIAL. NECESSIDADE DE AJUSTE NO VALOR ATRIBUIDO AO DANO MORAL. RECURSO</w:t>
            </w:r>
          </w:p>
          <w:p>
            <w:pPr>
              <w:pStyle w:val="TableParagraph"/>
              <w:spacing w:line="208" w:lineRule="auto" w:before="0"/>
              <w:ind w:right="42"/>
              <w:rPr>
                <w:sz w:val="20"/>
              </w:rPr>
            </w:pPr>
            <w:r>
              <w:rPr>
                <w:sz w:val="20"/>
              </w:rPr>
              <w:t>CONHECIDO E PARCIALMENTE PROVIDO.&lt;/span&gt;&lt;/p&gt;&lt;p style="line-height: 1.38; text- align: justify; margin-top: 6pt; margin-bottom: 6pt;" dir="ltr"&gt; &lt;span style="font-size: 12pt; font-family: 'Times New Roman',serif; color: #000000; background-color: transparent; font- weight: 700; font-style: normal; font-variant: normal; text-decoration: none; vertical-align: baseline; white-space: pre-wrap;"&gt;I. CASO EM EXAME&lt;/span&gt;&lt;/p&gt;&lt;p style="line-height: 1.38; text-align: justify; margin-top: 6pt; margin-bottom: 6pt;" dir="ltr"&gt;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pre-wrap;"&gt;1. Recurso de Apelação interposto em face de sentença que julgou parcialmente procedentes os pedidos em Ação de Obrigação de Fazer c/c Danos Morais. A decisão recorrida condenou a operadora de saúde ao pagamento de R$ 30.000,00 por danos morais, reconhecendo o caráter abusivo da negativa de cobertura para o procedimento cirúrgico de artrodese de coluna lombar, prescrito por médico da rede credenciada.&lt;/span&gt;&lt;/p&gt;&lt;p style="line-height: 1.38; text- align: justify; margin-top: 6pt; margin-bottom: 6pt;" dir="ltr"&gt; &lt;span style="font-size: 12pt; font-family: 'Times New Roman',serif; color: #000000; background-color: transparent; font- weight: 700; font-style: normal; font-variant: normal; text-decoration: none; vertical-align: baseline; white-space: pre-wrap;"&gt;II. QUESTÃO EM DISCUSSÃO&amp;#160;&lt;/span&gt;&lt;/p&gt;&lt;p style="line-height: 1.38; text-align: justify; margin-top: 6pt; margin-bottom: 6pt;" dir="ltr"&gt;</w:t>
            </w:r>
          </w:p>
          <w:p>
            <w:pPr>
              <w:pStyle w:val="TableParagraph"/>
              <w:spacing w:line="208" w:lineRule="auto" w:before="0"/>
              <w:ind w:right="163"/>
              <w:rPr>
                <w:sz w:val="20"/>
              </w:rPr>
            </w:pPr>
            <w:r>
              <w:rPr>
                <w:sz w:val="20"/>
              </w:rPr>
              <w:t>&lt;span style="font-size: 12pt; font-family: 'Times New Roman',serif; color: #000000; background-color: transparent; font-weight: 400; font-style: normal; font-variant: normal; text-decoration: none; vertical-align: baseline; white-space: pre-wrap;"&gt;2. A questão em discussão consiste em (i) analisar a legalidade da negativa de cobertura do procedimento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cirúrgico prescrito pelo médico assistente, mesmo após parecer contrário de junta médica;</w:t>
            </w:r>
          </w:p>
          <w:p>
            <w:pPr>
              <w:pStyle w:val="TableParagraph"/>
              <w:spacing w:line="208" w:lineRule="auto" w:before="9"/>
              <w:ind w:right="31"/>
              <w:rPr>
                <w:sz w:val="20"/>
              </w:rPr>
            </w:pPr>
            <w:r>
              <w:rPr>
                <w:sz w:val="20"/>
              </w:rPr>
              <w:t>(ii) verificar a configuração do dano moral e a adequação do valor indenizatório, considerando o descumprimento de ordem judicial liminar; e (iii) definir o termo inicial dos juros de mora e da correção monetária.&lt;/span&gt;&lt;/p&gt;&lt;p style="line-height: 1.38; text-align: justify; margin-top: 6pt; margin-bottom: 6pt;" dir="ltr"&gt; &lt;span style="font-size: 12pt; font- family: 'Times New Roman',serif; color: #000000; background-color: transparent; font- weight: 700; font-style: normal; font-variant: normal; text-decoration: none; vertical-align: baseline; white-space: pre-wrap;"&gt;III. RAZÕES DE DECIDIR&lt;/span&gt; &lt;span style="font- size: 12pt; font-family: 'Times New Roman',serif; color: #000000; background-color: transparent; font-weight: 400; font-style: normal; font-variant: normal; text-decoration: none; vertical-align: baseline; white-space: pre-wrap;"&gt;&amp;#160;&lt;/span&gt;&lt;/p&gt;&lt;p style="line-height: 1.38; text-align: justify; margin-top: 6pt; margin-bottom: 6pt;" dir="ltr"&gt; &lt;span style="font- size: 12pt; font-family: 'Times New Roman',serif; color: #000000; background-color: transparent; font-weight: 400; font-style: normal; font-variant: normal; text-decoration: none; vertical-align: baseline; white-space: pre-wrap;"&gt;3. A jurisprudência é pacífica no sentido de que o plano de saúde pode estabelecer as doenças cobertas, mas não o tratamento adequado, cabendo essa decisão exclusivamente ao médico assistente que acompanha o paciente. A recusa baseada em parecer de auditoria ou junta médica, contrariando a prescrição do especialista da rede, é abusiva.&lt;/span&gt;&lt;/p&gt;&lt;p style="line-height: 1.38; text- align: justify; margin-top: 6pt; margin-bottom: 6pt;" dir="ltr"&gt; &lt;span style="font-size: 12pt; font-family: 'Times New Roman',serif; color: #000000; background-color: transparent; font- weight: 400; font-style: normal; font-variant: normal; text-decoration: none; vertical-align: baseline; white-space: pre-wrap;"&gt;4. A conduta ilícita da operadora foi agravada pelo reiterado descumprimento da ordem judicial liminar que determinava a autorização da cirurgia, demonstrando descaso e forçando a beneficiária a buscar tratamento no Sistema Único de Saúde.&lt;/span&gt;&lt;/p&gt;&lt;p style="line-height: 1.38; text-align: justify; margin-top: 6pt; margin-bottom: 6pt;" dir="ltr"&gt; &lt;span style="font-size: 12pt; font-family: 'Times New Roman',serif; color: #000000; background-color: transparent; font-weight: 400; font-style: normal; font-variant: normal; text-decoration: none; vertical-align: baseline; white-space: pre-wrap;"&gt;5. O valor da indenização por danos morais deve ser reduzido de R$ 30.000,00 para R$ 15.000,00. Embora o descumprimento da ordem judicial justifique um valor superior à média usualmente fixada por esta E. Corte, o montante reduzido atende melhor aos princípios da razoabilidade e proporcionalidade.&lt;/span&gt;&lt;/p&gt;&lt;p style="line-height: 1.38; text-align: justify; margin-top: 6pt; margin-bottom: 6pt;" dir="ltr"&gt; &lt;span style="font- size: 12pt; font-family: 'Times New Roman',serif; color: #000000; background-color: transparent; font-weight: 400; font-style: normal; font-variant: normal; text-decoration: none; vertical-align: baseline; white-space: pre-wrap;"&gt;6. Em se tratando de responsabilidade contratual, os juros de mora sobre os danos morais incidem desde a citação (Art. 405, CC). A correção monetária, contudo, incide a partir da data do arbitramento (Súmula 362/STJ), que, em razão da reforma do valor, passa a ser a data deste acórdão.&lt;/span&gt;&lt;/p&gt;&lt;p style="line-height: 1.38; text-align: justify; margin-top: 6pt; margin- bottom: 6pt;" dir="ltr"&gt; &lt;span style="font-size: 12pt; font-family: 'Times New Roman',serif; color: #000000; background-color: transparent; font-weight: 700; font-style: normal; font- variant: normal; text-decoration: none; vertical-align: baseline; white-space: pre-wrap;"&gt;IV. DISPOSITIVO E TESE&lt;/span&gt;&lt;/p&gt;&lt;p style="line-height: 1.38; text-align: justify; margin- top: 6pt; margin-bottom: 6pt;" dir="ltr"&gt; &lt;span style="font-size: 12pt; font-family: 'Times New Roman',serif; color: #000000; background-color: transparent; font-weight: 400; font- style: normal; font-variant: normal; text-decoration: none; vertical-align: baseline; white- space: pre-wrap;"&gt;7. Recurso conhecido e parcialmente provido.&lt;/span&gt;&lt;/p&gt;&lt;p</w:t>
            </w:r>
          </w:p>
          <w:p>
            <w:pPr>
              <w:pStyle w:val="TableParagraph"/>
              <w:spacing w:line="208" w:lineRule="auto" w:before="0"/>
              <w:ind w:right="42"/>
              <w:rPr>
                <w:sz w:val="20"/>
              </w:rPr>
            </w:pPr>
            <w:r>
              <w:rPr>
                <w:sz w:val="20"/>
              </w:rPr>
              <w:t>style="line-height: 1.38; text-align: justify; margin-top: 6pt; margin-bottom: 6pt;"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pre-wrap;"&gt;Tese de julgamento: "1.&lt;/span&gt; &lt;span style="font-size: 12pt; font-family: &amp;quot;Times New Roman&amp;quot;, serif; color: #000000; background-color: transparent; font-weight: 400; font- variant: normal; text-decoration: none; vertical-align: baseline; white-space: pre-wrap;"&gt;</w:t>
            </w:r>
          </w:p>
          <w:p>
            <w:pPr>
              <w:pStyle w:val="TableParagraph"/>
              <w:spacing w:line="208" w:lineRule="auto" w:before="0"/>
              <w:ind w:right="41"/>
              <w:rPr>
                <w:sz w:val="20"/>
              </w:rPr>
            </w:pPr>
            <w:r>
              <w:rPr>
                <w:sz w:val="20"/>
              </w:rPr>
              <w:t>&lt;em&gt;É abusiva a negativa de cobertura de procedimento cirúrgico pelo plano de saúde, quando baseada em parecer de junta médica que contraria a indicação do médico assistente, a quem cabe a decisão sobre o tratamento. 2. O descumprimento deliberado de decisão judicial liminar que determina a cobertura agrava a conduta da operadora e justifica a fixação do dano moral em patamar superior aos usualmente praticados. 3. Em dano moral decorrente de responsabilidade contratual, os juros de mora fluem da citação </w:t>
            </w:r>
            <w:r>
              <w:rPr>
                <w:spacing w:val="-18"/>
                <w:sz w:val="20"/>
              </w:rPr>
              <w:t>e </w:t>
            </w:r>
            <w:r>
              <w:rPr>
                <w:sz w:val="20"/>
              </w:rPr>
              <w:t>a correção monetária da data do arbitramento, considerando-se como tal a data do acórdão que altera o valor.&lt;/em&gt;&lt;/span&gt;&lt;span style="font-size: 12pt; font-family: 'Times New Roman',serif; color: #000000; background-color: transparent; font-weight: 400; font- style: normal; font-variant: normal; text-decoration: none; vertical-align: baseline; white- space: pre-wrap;"&gt;"&lt;/span&gt;&lt;/p&gt;&lt;p style="line-height: 100%; orphans: 0; widows: 0;</w:t>
            </w:r>
          </w:p>
          <w:p>
            <w:pPr>
              <w:pStyle w:val="TableParagraph"/>
              <w:spacing w:line="208" w:lineRule="auto" w:before="0"/>
              <w:ind w:right="158"/>
              <w:rPr>
                <w:sz w:val="20"/>
              </w:rPr>
            </w:pPr>
            <w:r>
              <w:rPr>
                <w:sz w:val="20"/>
              </w:rPr>
              <w:t>margin-bottom: 0.21cm;" align="justify"&gt; &lt;span id="docs-internal-guid-64f56cf0-7fff-13b1- de75-99b1a865b38a"&gt;&amp;#160;&lt;/span&gt;&lt;/p&gt;&lt;p style="line-height: 1.38; text-align: justify; margin-top: 6pt; margin-bottom: 6pt;" dir="ltr"&gt; &lt;span style="font-size: 12pt; font-family: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'Times New Roman',serif; color: #000000; background-color: transparent; font-weight: 400; font-style: normal; font-variant: normal; text-decoration: none; vertical-align: baseline; </w:t>
            </w:r>
            <w:r>
              <w:rPr>
                <w:spacing w:val="-3"/>
                <w:sz w:val="20"/>
              </w:rPr>
              <w:t>white- </w:t>
            </w:r>
            <w:r>
              <w:rPr>
                <w:sz w:val="20"/>
              </w:rPr>
              <w:t>space: pre-wrap;"&gt;Dispositivos relevantes citados: CC, art. 405.&lt;/span&gt;&lt;/p&gt;&lt;p style="line- height: 1.38; text-align: justify; margin-top: 6pt; margin-bottom: 6pt;" dir="ltr"&gt; &lt;span style="font-size: 12pt; font-family: 'Times New Roman',serif; color: #000000; background- color: transparent; font-weight: 400; font-style: normal; font-variant: normal; text-decoration: none; vertical-align: baseline; white-space: pre-wrap;"&gt;Jurisprudência relevante citada: STJ, Súmula 362; STJ, AgInt no REsp n. 1.765.668/DF, Rel. Min. Marco Aurélio Bellizze, Terceira Turma, j. 29.04.2019.&lt;/span&gt;&lt;/p&gt;&lt;p style="line-height: 100%; orphans: 0; widows: 0; margin-bottom: 0.21cm;" align="justify"&gt; &lt;span style="font-size: 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tabs>
                <w:tab w:pos="1796" w:val="left" w:leader="none"/>
                <w:tab w:pos="7432" w:val="left" w:leader="none"/>
              </w:tabs>
              <w:spacing w:line="208" w:lineRule="auto" w:before="10"/>
              <w:ind w:right="64"/>
              <w:rPr>
                <w:sz w:val="20"/>
              </w:rPr>
            </w:pPr>
            <w:r>
              <w:rPr>
                <w:sz w:val="20"/>
              </w:rPr>
              <w:t>&lt;/span&gt;&lt;/p&gt;&lt;p style="line-height: 150%; orphans: 0; widows: 0; margin-bottom: 0.21cm;" align="justify"&gt;  &lt;span style="font-family: &amp;quot;times new roman&amp;quot;, times;"&gt;</w:t>
              <w:tab/>
              <w:t>&lt;span style="font-size: medium;"&gt;ACÓRDÃO: Vistos, relatados e discutidos estes autos, acorda a Quinta Câmara de Direito Privado Tribunal de Justiça do Estado do Ceará, por unanimidade em</w:t>
              <w:tab/>
              <w:t>&lt;strong&gt;CONHECER&lt;/strong&gt; do recurso de Apelação para no </w:t>
            </w:r>
            <w:r>
              <w:rPr>
                <w:spacing w:val="-3"/>
                <w:sz w:val="20"/>
              </w:rPr>
              <w:t>mérito</w:t>
            </w:r>
          </w:p>
          <w:p>
            <w:pPr>
              <w:pStyle w:val="TableParagraph"/>
              <w:tabs>
                <w:tab w:pos="5517" w:val="left" w:leader="none"/>
                <w:tab w:pos="6373" w:val="left" w:leader="none"/>
                <w:tab w:pos="6947" w:val="left" w:leader="none"/>
                <w:tab w:pos="7118" w:val="left" w:leader="none"/>
              </w:tabs>
              <w:spacing w:line="208" w:lineRule="auto" w:before="0"/>
              <w:ind w:right="65"/>
              <w:rPr>
                <w:sz w:val="20"/>
              </w:rPr>
            </w:pPr>
            <w:r>
              <w:rPr>
                <w:sz w:val="20"/>
              </w:rPr>
              <w:t>&lt;strong&gt;DAR-LHE PARCIAL PROVIMENTO&lt;/strong&gt; nos termos do voto do relator, </w:t>
            </w:r>
            <w:r>
              <w:rPr>
                <w:spacing w:val="-4"/>
                <w:sz w:val="20"/>
              </w:rPr>
              <w:t>parte </w:t>
            </w:r>
            <w:r>
              <w:rPr>
                <w:sz w:val="20"/>
              </w:rPr>
              <w:t>integrante deste.&lt;/span&gt; &lt;/span&gt;&lt;/p&gt;&lt;p style="line-height: 115%; orphans: 0; widows: 0; margin-bottom: 0.21cm;" align="justify"&gt;  &lt;span style="font-size: medium;"&gt;</w:t>
              <w:tab/>
              <w:t>&lt;span style="font-family: &amp;quot;times new roman&amp;quot;, times;"&gt;</w:t>
              <w:tab/>
              <w:t>&lt;br /&gt;</w:t>
              <w:tab/>
              <w:t>&lt;br /&gt;</w:t>
              <w:tab/>
              <w:tab/>
              <w:t>&lt;/span&gt;</w:t>
            </w:r>
          </w:p>
          <w:p>
            <w:pPr>
              <w:pStyle w:val="TableParagraph"/>
              <w:tabs>
                <w:tab w:pos="2438" w:val="left" w:leader="none"/>
                <w:tab w:pos="3507" w:val="left" w:leader="none"/>
                <w:tab w:pos="4709" w:val="left" w:leader="none"/>
                <w:tab w:pos="5130" w:val="left" w:leader="none"/>
                <w:tab w:pos="5798" w:val="left" w:leader="none"/>
              </w:tabs>
              <w:spacing w:line="208" w:lineRule="auto" w:before="0"/>
              <w:ind w:right="20"/>
              <w:rPr>
                <w:sz w:val="20"/>
              </w:rPr>
            </w:pPr>
            <w:r>
              <w:rPr>
                <w:sz w:val="20"/>
              </w:rPr>
              <w:t>&lt;/span&gt;&lt;/p&gt;&lt;p style="line-height: 115%; orphans: 0; widows: 0; margin-bottom: 0.21cm;" align="justify"&gt;  &lt;span style="font-size: medium;"&gt;</w:t>
              <w:tab/>
              <w:t>&lt;span style="font-family: &amp;quot;times new roman&amp;quot;, times;"&gt;F&lt;/span&gt;</w:t>
              <w:tab/>
              <w:t>&lt;span style="font-family: &amp;quot;times new roman&amp;quot;, times;"&gt;ortaleza, data registrada no sistema.&lt;/span&gt; &lt;/span&gt;&lt;/p&gt;&lt;p style="color: #000000; font-family: Arial, Verdana, sans-serif; font-size: 11px; font-style: normal; font-variant-ligatures: normal; font-variant-caps: normal; font-weight: 400; letter- spacing: normal; orphans: 2; text-align: start; text-indent: 0px; text-transform: none; </w:t>
            </w:r>
            <w:r>
              <w:rPr>
                <w:spacing w:val="-3"/>
                <w:sz w:val="20"/>
              </w:rPr>
              <w:t>widows: </w:t>
            </w:r>
            <w:r>
              <w:rPr>
                <w:sz w:val="20"/>
              </w:rPr>
              <w:t>2; word-spacing: 0px; -webkit-text-stroke-width: 0px; white-space: normal; text-decoration- thickness: initial; text-decoration-style: initial; text-decoration-color: initial;"&gt; &lt;span style="font-size: small;"&gt;</w:t>
              <w:tab/>
              <w:t>&lt;span style="font-size: medium;"&gt;</w:t>
              <w:tab/>
              <w:t>&lt;span style="font-family: &amp;quot;times new roman&amp;quot;, times;"&gt;&amp;#160;&lt;/span&gt;</w:t>
              <w:tab/>
              <w:t>&lt;/span&gt;</w:t>
            </w:r>
          </w:p>
          <w:p>
            <w:pPr>
              <w:pStyle w:val="TableParagraph"/>
              <w:tabs>
                <w:tab w:pos="1840" w:val="left" w:leader="none"/>
                <w:tab w:pos="6314" w:val="left" w:leader="none"/>
                <w:tab w:pos="7437" w:val="left" w:leader="none"/>
              </w:tabs>
              <w:spacing w:line="208" w:lineRule="auto" w:before="0"/>
              <w:ind w:right="164"/>
              <w:rPr>
                <w:sz w:val="20"/>
              </w:rPr>
            </w:pPr>
            <w:r>
              <w:rPr>
                <w:sz w:val="20"/>
              </w:rPr>
              <w:t>&lt;/span&gt;&lt;/p&gt;&lt;p&gt;&amp;#160;&lt;/p&gt;&lt;p style="line-height: 100%; orphans: 0; widows: 0; margin- bottom: 0.21cm;" align="center"&gt;  &lt;span style="font-size: medium;"&gt;</w:t>
              <w:tab/>
              <w:t>&lt;strong&gt;</w:t>
              <w:tab/>
            </w:r>
            <w:r>
              <w:rPr>
                <w:spacing w:val="-4"/>
                <w:sz w:val="20"/>
              </w:rPr>
              <w:t>&lt;span </w:t>
            </w:r>
            <w:r>
              <w:rPr>
                <w:sz w:val="20"/>
              </w:rPr>
              <w:t>style="font-family: &amp;quot;times new roman&amp;quot;, times;"&gt;MARIA REGINA OLIVEIRA CÂMARA&lt;/span&gt;</w:t>
              <w:tab/>
              <w:t>&lt;/strong&gt; &lt;/span&gt;&lt;/p&gt;&lt;p style="line-height: 115%; orphans: 0; widows: 0; margin-bottom: 0.21cm;" align="center"&gt; &lt;span style="font-size: medium;"&gt;</w:t>
            </w:r>
          </w:p>
          <w:p>
            <w:pPr>
              <w:pStyle w:val="TableParagraph"/>
              <w:tabs>
                <w:tab w:pos="4518" w:val="left" w:leader="none"/>
                <w:tab w:pos="5374" w:val="left" w:leader="none"/>
                <w:tab w:pos="6119" w:val="left" w:leader="none"/>
                <w:tab w:pos="6314" w:val="left" w:leader="none"/>
              </w:tabs>
              <w:spacing w:line="208" w:lineRule="auto" w:before="0"/>
              <w:ind w:right="143"/>
              <w:rPr>
                <w:sz w:val="20"/>
              </w:rPr>
            </w:pPr>
            <w:r>
              <w:rPr>
                <w:sz w:val="20"/>
              </w:rPr>
              <w:t>&lt;span style="font-family: &amp;quot;times new roman&amp;quot;, times;"&gt;Presidente do Órgão Julgador&lt;/span&gt; &lt;/span&gt;&lt;/p&gt;&lt;p style="line-height: 100%; orphans: 0; widows: 0; </w:t>
            </w:r>
            <w:r>
              <w:rPr>
                <w:spacing w:val="-3"/>
                <w:sz w:val="20"/>
              </w:rPr>
              <w:t>margin- </w:t>
            </w:r>
            <w:r>
              <w:rPr>
                <w:sz w:val="20"/>
              </w:rPr>
              <w:t>bottom: 0.21cm;" align="center"&gt;  &lt;span style="font-size: medium;"&gt;</w:t>
              <w:tab/>
              <w:tab/>
              <w:t>&lt;span style="font- family: &amp;quot;times new roman&amp;quot;, times;"&gt;</w:t>
              <w:tab/>
              <w:t>&lt;br /&gt;</w:t>
              <w:tab/>
              <w:t>&lt;br /&gt;</w:t>
              <w:tab/>
              <w:t>&lt;/span&gt;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2239" w:val="left" w:leader="none"/>
                <w:tab w:pos="2438" w:val="left" w:leader="none"/>
                <w:tab w:pos="3561" w:val="left" w:leader="none"/>
                <w:tab w:pos="4754" w:val="left" w:leader="none"/>
                <w:tab w:pos="7032" w:val="left" w:leader="none"/>
                <w:tab w:pos="7396" w:val="left" w:leader="none"/>
              </w:tabs>
              <w:spacing w:line="208" w:lineRule="auto" w:before="0"/>
              <w:ind w:right="35"/>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align="center"&gt;&amp;#160;&lt;/p&gt;&lt;p align="center"&gt;&amp;#160;&lt;/p&gt;&lt;p align="center"&gt;&amp;#160;&lt;/p&gt;&lt;p align="center"&gt;&amp;#160;&lt;/p&gt;&lt;p align="center"&gt; &lt;span style="font-family: &amp;quot;times new roman&amp;quot;, times;"&gt;</w:t>
              <w:tab/>
              <w:t>&lt;br /&gt; &lt;/span&gt;&lt;/p&gt;&lt;p style="text-align: center;"&gt; &lt;span style="font-size: small;"&gt;</w:t>
              <w:tab/>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21"/>
              <w:rPr>
                <w:sz w:val="20"/>
              </w:rPr>
            </w:pPr>
            <w:r>
              <w:rPr>
                <w:sz w:val="20"/>
              </w:rPr>
              <w:t>&lt;/strong&gt; &lt;/span&gt;&lt;/p&gt;&lt;p style="line-height: 1.7999999999999998; text-indent: 56.692913385826756pt; text-align: justify; margin-top: 12pt; margin-bottom: 12pt;" dir="ltr"&gt;&lt;span style="font-size: 12pt; font-family: 'Times New Roman',serif; color: #000000; background-color: transparent; font-weight: 700; font-style: normal; font-variant: normal; text-decoration: none; vertical-align: baseline; white-space: pre-wrap;"&gt;Hapvida Assistência Médica S.A&lt;/span&gt; &lt;span style="font-size: 12pt; font-family: 'Times New Roman',serif; color: #000000; background-color: transparent; font-weight: 400; font-style: normal; font- variant: normal; text-decoration: none; vertical-align: baseline; white-space: pre- wrap;"&gt;interpôs o presente&lt;/span&gt; &lt;span style="font-size: 12pt; font-family: 'Times New Roman',serif; color: #000000; background-color: transparent; font-weight: 700; font-style: normal; font-variant: normal; text-decoration: none; vertical-align: baseline; white-space: pre-wrap;"&gt;Recurso de Apelação&lt;/span&gt; &lt;span style="font-size: 12pt; font-family: 'Times New Roman',serif; color: #000000; background-color: transparent; font-weight: 400; font- style: normal; font-variant: normal; text-decoration: none; vertical-align: baseline; white- space: pre-wrap;"&gt;visando reformar a sentença (id. 24750351) proferida nos autos da&lt;/span&gt; &lt;span style="font-size: 12pt; font-family: 'Times New Roman',serif; 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#000000; background-color: transparent; font-weight: 700; font-style: normal; font-variant: normal; text-decoration: none; vertical-align: baseline; white-space: pre-wrap;"&gt;Ação de Obrigação de Fazer com Pedido de Tutela de Urgência e Indenização por Danos Morais&lt;/span&gt;&lt;span style="font-size: 12pt; font-family: 'Times New Roman',serif; color: #000000; background-color: transparent; font-weight: 400; font-style: normal; font-variant: normal; text-decoration: none; vertical-align: baseline; white-space: pre-wrap;"&gt;, ajuizada por&lt;/span&gt; &lt;span style="font-size: 12pt; font-family: 'Times New Roman',serif; color: #000000; background-color: transparent; font-weight: 700; font-style: normal; font-variant: normal; text-decoration: none; vertical-align: baseline; white-space: pre-wrap;"&gt;Terezinha De Oliveira&lt;/span&gt; &lt;span style="font-size: 12pt; font-family: 'Times New Roman',serif; color: #000000; background-color: transparent; font-weight: 400; font-style: normal; font- variant: normal; text-decoration: none; vertical-align: baseline; white-space: pre- wrap;"&gt;contra a recorrente.&lt;/span&gt;&lt;/p&gt;&lt;p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pre-wrap;"&gt;Na referida decisão, o juízo de primeiro grau julgou parcialmente procedentes os pedidos para condenar a promovida ao pagamento de R$ 30.000,00 a título de compensação por danos morais, com correção monetária pelo INPC e juros de mora de 1% ao mês desde a citação. A decisão foi fundamentada no reconhecimento do caráter abusivo da negativa de cobertura para o procedimento cirúrgico de artrodese de coluna lombar, que havia sido prescrito à autora por médico da própria rede credenciada.&lt;/span&gt;&lt;/p&gt;&lt;p style="line- 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pre-wrap;"&gt;Inconformada, a empresa recorrente (id. 24750355) alega que a negativa de cobertura foi lícita, baseada em divergência da auditoria médica quanto à indicação cirúrgica para o quadro de fratura em L4 da autora, que, segundo a operadora, não apresentava deformidade significativa ou compressão radicular que justificasse a intervenção.&amp;#160;&lt;/span&gt;&lt;/p&gt;&lt;p style="line-height: 1.7999999999999998; text-indent: 56.692913385826756pt; text-align: justify; margin-top: 12pt; margin-bottom: 12pt;"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pre-wrap;"&gt;Como fundamento jurídico, sustenta que agiu em conformidade com a Resolução Normativa nº 424/2017 da ANS ao instaurar uma junta médica para dirimir o impasse, cujo parecer concluiu pela não indicação do procedimento cirúrgico e recomendou tratamento conservador com acompanhamento clínico, fisioterapia e consulta com especialista , os quais teriam sido agendados, mas a beneficiária não compareceu. A recorrente cita ainda a Resolução CFM 1.614/2001, o Parecer CFM 11/16 e o Enunciado nº 24 do Conselho Nacional de Justiça para legitimar a auditoria e a junta médica. Afirma que não houve violação ao Código de Defesa do Consumidor, pois o contrato prevê cláusulas limitativas de direito de forma clara, e que a conduta não configurou ato ilícito, conforme o art. 188, I, do Código Civil, não havendo, portanto, dano moral a ser indenizado.&amp;#160;&lt;/span&gt;&lt;/p&gt;&lt;p style="line- 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pre-wrap;"&gt;Ao final, pede o recebimento do recurso com efeito suspensivo e devolutivo; a reforma total da sentença para julgar os pedidos improcedentes; alternativamente, o afastamento da condenação por danos morais ou a redução do valor indenizatório para patamares razoáveis e proporcionais; e, por fim, que os juros de mora e a correção monetária sobre os danos morais incidam a partir do arbitramento.&lt;/span&gt;&lt;/p&gt;&lt;p style="line-height: 1.7999999999999998; text-indent: 56.692913385826756pt; text-align: justify; margin-top: 12pt; margin-bottom: 12pt;" dir="ltr"&gt;</w:t>
            </w:r>
          </w:p>
          <w:p>
            <w:pPr>
              <w:pStyle w:val="TableParagraph"/>
              <w:spacing w:line="208" w:lineRule="auto" w:before="0"/>
              <w:ind w:right="63"/>
              <w:rPr>
                <w:sz w:val="20"/>
              </w:rPr>
            </w:pPr>
            <w:r>
              <w:rPr>
                <w:sz w:val="20"/>
              </w:rPr>
              <w:t>&lt;span style="font-size: 12pt; font-family: 'Times New Roman',serif; color: #000000; background-color: transparent; font-weight: 400; font-style: normal; font-variant: normal; text-decoration: none; vertical-align: baseline; white-space: pre-wrap;"&gt;Nas contrarrazões (id. 24750365), a recorrida alega que a negativa de cobertura foi abusiva, pois contrariou a prescrição de um médico neurocirurgião da própria rede credenciada para tratar uma fratura na vértebra lombar L4, com quadro de dor incapacitante e risco de agravamento.</w:t>
            </w:r>
          </w:p>
          <w:p>
            <w:pPr>
              <w:pStyle w:val="TableParagraph"/>
              <w:spacing w:line="208" w:lineRule="auto" w:before="0"/>
              <w:ind w:right="18"/>
              <w:rPr>
                <w:sz w:val="20"/>
              </w:rPr>
            </w:pPr>
            <w:r>
              <w:rPr>
                <w:sz w:val="20"/>
              </w:rPr>
              <w:t>Sustenta que a operadora, além da recusa indevida, desobedeceu reiteradamente a </w:t>
            </w:r>
            <w:r>
              <w:rPr>
                <w:spacing w:val="-4"/>
                <w:sz w:val="20"/>
              </w:rPr>
              <w:t>ordem </w:t>
            </w:r>
            <w:r>
              <w:rPr>
                <w:sz w:val="20"/>
              </w:rPr>
              <w:t>judicial liminar que determinou a realização da cirurgia, o que agravou o sofrimento físico e emocional da autora e a forçou a buscar o tratamento no SUS, onde enfrentou longa espera. Argumenta que tal conduta ultrapassou o mero inadimplemento contratual, violando a boa-fé objetiva e o direito à saúde, e que o valor da indenização por danos morais é justo e proporcional à gravidade dos fatos. Pede, ao final, o desprovimento integral do recurso e a manutenção da sentença.&lt;/span&gt;&lt;/p&gt;&lt;p style="line-height: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0"/>
              <w:rPr>
                <w:sz w:val="20"/>
              </w:rPr>
            </w:pPr>
            <w:r>
              <w:rPr>
                <w:sz w:val="20"/>
              </w:rPr>
              <w:t>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pre-wrap;"&gt;Instada a se manifestar, a d. Procuradoria Geral de Justiça deixou de opinar sobre o mérito por considerar ausente interesse público relevante (id.</w:t>
            </w:r>
          </w:p>
          <w:p>
            <w:pPr>
              <w:pStyle w:val="TableParagraph"/>
              <w:spacing w:line="208" w:lineRule="auto" w:before="0"/>
              <w:rPr>
                <w:sz w:val="20"/>
              </w:rPr>
            </w:pPr>
            <w:r>
              <w:rPr>
                <w:sz w:val="20"/>
              </w:rPr>
              <w:t>27367083).&lt;/span&gt;&lt;/p&gt;&lt;p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99"/>
              <w:rPr>
                <w:sz w:val="20"/>
              </w:rPr>
            </w:pPr>
            <w:r>
              <w:rPr>
                <w:sz w:val="20"/>
              </w:rPr>
              <w:t>&lt;span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text-align: center; margin-top: 12pt; margin-bottom: 12pt;" dir="ltr"&gt; &lt;span style="font-size: 12pt; font-family: 'Times New Roman',serif; color: #000000; background-color: transparent; font-weight:</w:t>
            </w:r>
            <w:r>
              <w:rPr>
                <w:spacing w:val="2"/>
                <w:sz w:val="20"/>
              </w:rPr>
              <w:t> </w:t>
            </w:r>
            <w:r>
              <w:rPr>
                <w:spacing w:val="-5"/>
                <w:sz w:val="20"/>
              </w:rPr>
              <w:t>700;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pre-wrap;"&gt;VOTO&lt;/span&gt;&lt;/p&gt;&lt;p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pre-wrap;"&gt;O recurso é tempestivo e preenche os demais pressupostos de admissibilidade, devendo ser conhecido.&lt;/span&gt;&lt;/p&gt;&lt;p style="line-height: 1.7999999999999998; text-indent: 56.692913385826756pt; text-align: justify; margin-top: 12pt; margin-bottom: 12pt;" dir="ltr"&gt;</w:t>
            </w:r>
          </w:p>
          <w:p>
            <w:pPr>
              <w:pStyle w:val="TableParagraph"/>
              <w:spacing w:line="208" w:lineRule="auto" w:before="0"/>
              <w:ind w:right="39"/>
              <w:rPr>
                <w:sz w:val="20"/>
              </w:rPr>
            </w:pPr>
            <w:r>
              <w:rPr>
                <w:sz w:val="20"/>
              </w:rPr>
              <w:t>&lt;span style="font-size: 12pt; font-family: 'Times New Roman',serif; color: #000000; background-color: transparent; font-weight: 400; font-style: normal; font-variant: normal; text-decoration: none; vertical-align: baseline; white-space: pre-wrap;"&gt;A controvérsia cinge-se à análise da legalidade da negativa de cobertura do procedimento cirúrgico prescrito à autora e, consequentemente, à configuração do dano moral e à adequação do valor arbitrado.&lt;/span&gt;&lt;/p&gt;&lt;p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pre-wrap;"&gt;A análise dos autos não deixa dúvidas quanto à abusividade da conduta da operadora de saúde.&lt;/span&gt;&lt;/p&gt;&lt;p style="line-height: 1.7999999999999998; text-indent: 56.692913385826756pt;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pre-wrap;"&gt;A autora/apelada, Sra. Terezinha de Oliveira, apresentou quadro de fratura em vértebra lombar (L4) com dores incapacitantes. Para seu tratamento, o médico neurocirurgião&lt;/span&gt; &lt;span style="font-size: 12pt; font-family: 'Times New Roman',serif; color: #000000; background- color: transparent; font-weight: 700; font-style: normal; font-variant: normal; text-decoration: none; vertical-align: baseline; white-space: pre-wrap;"&gt;Dr. Cícero Ronaldo Ferreira da Costa (CRM/CE 17.220)&lt;/span&gt;&lt;span style="font-size: 12pt; font-family: 'Times New Roman',serif; color: #000000; background-color: transparent; font-weight: 400; font-style: normal; font-variant: normal; text-decoration: none; vertical-align: baseline; white-space: pre-wrap;"&gt;, profissional integrante da rede credenciada da própria ré, prescreveu a realização de cirurgia de "&lt;/span&gt;&lt;span style="font-size: 12pt; font-family: 'Times New Roman',serif; color: #000000; background-color: transparent; font-weight: 400; font-style: italic; font-variant: normal; text-decoration: none; vertical-align: baseline; white-space: pre- wrap;"&gt;ARTRODESE DA COLUNA COM INSTRUMENTAÇÃO&lt;/span&gt;&lt;span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 (id. 24749918).&lt;/span&gt;&lt;/p&gt;&lt;p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pre-wrap;"&gt;A apelante recusou a cobertura, escudando-se em parecer de sua auditoria e na posterior instauração de junta médica, que teria optado por tratamento conservador.&lt;/span&gt;&lt;/p&gt;&lt;p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pre-wrap;"&gt;Tal justificativa não se sustenta.&lt;/span&gt;&lt;/p&gt;&lt;p style="line-height: 1.7999999999999998; text- indent: 56.692913385826756pt;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text-decoration: none; vertical-align: baseline; white-space: pre-wrap;"&gt;A jurisprudência pátria é pacífica no entendimento de que, embora o plano de saúde possa estabelecer as doenças que terão cobertura, não lhe cabe definir qual o tratamento ou procedimento adequado para a cura do paciente.&lt;/span&gt; &lt;span style="font-size: 12pt; font-family: &amp;quot;Times New Roman&amp;quot;, serif; color: #000000; background-color: transparent; </w:t>
            </w:r>
            <w:r>
              <w:rPr>
                <w:spacing w:val="-4"/>
                <w:sz w:val="20"/>
              </w:rPr>
              <w:t>font- </w:t>
            </w:r>
            <w:r>
              <w:rPr>
                <w:sz w:val="20"/>
              </w:rPr>
              <w:t>weight: 700; font-style: normal; font-variant: normal; text-decoration-skip-ink: none; vertical- align: baseline; white-space: pre-wrap; text-decoration: underline;"&gt;Esta decisão compete, exclusivamente, ao médico que acompanha o caso (médico assistente), que detém o conhecimento técnico e o contato direto com o paciente.&lt;/span&gt;&lt;/p&gt;&lt;p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pre-wrap;"&gt;Vejamos:&lt;/span&gt;&lt;/p&gt;&lt;p style="line-height: 1.38; margin-left: 113.38582677165354pt; text-align: justify; margin-top: 0pt; margin-bottom: 0pt;" dir="ltr"&gt;</w:t>
            </w:r>
          </w:p>
          <w:p>
            <w:pPr>
              <w:pStyle w:val="TableParagraph"/>
              <w:spacing w:line="208" w:lineRule="auto" w:before="0"/>
              <w:ind w:right="183"/>
              <w:rPr>
                <w:sz w:val="20"/>
              </w:rPr>
            </w:pPr>
            <w:r>
              <w:rPr>
                <w:sz w:val="20"/>
              </w:rPr>
              <w:t>&lt;span style="font-size: 12pt; font-family: 'Times New Roman',serif; color: #000000; background-color: transparent; font-weight: 400; font-style: normal; font-variant: normal; text-decoration: none; vertical-align: baseline; white-space: pre-wrap;"&gt;DIREITO CIVIL E PROCESSUAL CIVIL. RECURSO ESPECIAL. PLANO DE SAÚDE. NEGATIVA DE COBERTURA. CIRURGIA CARDÍACA PELO MÉTODO TAVI. DANO MORAL DECORRENTE DE NEGATIVA INDEVIDA. SÚMULAS 5, 7 E 83 DO STJ. ROL DA ANS COM NATUREZA TAXATIVA MITIGADA. RECURSO NÃO</w:t>
            </w:r>
            <w:r>
              <w:rPr>
                <w:spacing w:val="-18"/>
                <w:sz w:val="20"/>
              </w:rPr>
              <w:t> </w:t>
            </w:r>
            <w:r>
              <w:rPr>
                <w:sz w:val="20"/>
              </w:rPr>
              <w:t>CONHECIDO.&lt;/span&gt;&lt;/p&gt;&lt;p</w:t>
            </w:r>
          </w:p>
          <w:p>
            <w:pPr>
              <w:pStyle w:val="TableParagraph"/>
              <w:spacing w:line="208" w:lineRule="auto" w:before="0"/>
              <w:ind w:right="76"/>
              <w:rPr>
                <w:sz w:val="20"/>
              </w:rPr>
            </w:pPr>
            <w:r>
              <w:rPr>
                <w:sz w:val="20"/>
              </w:rPr>
              <w:t>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vertical-align: baseline; white-space: pre-wrap;"&gt;I.CASO EM EXAME: 1. Recurso especial interposto por operadora de plano de saúde contra acórdão que deu parcial provimento à sua apelação, mantendo a condenação ao custeio de procedimento cirúrgico (implante transcateter de válvula aórtica</w:t>
            </w:r>
          </w:p>
          <w:p>
            <w:pPr>
              <w:pStyle w:val="TableParagraph"/>
              <w:spacing w:line="208" w:lineRule="auto" w:before="0"/>
              <w:ind w:right="26"/>
              <w:rPr>
                <w:sz w:val="20"/>
              </w:rPr>
            </w:pPr>
            <w:r>
              <w:rPr>
                <w:sz w:val="20"/>
              </w:rPr>
              <w:t>- TAVI) e ao pagamento de indenização por danos morais ao beneficiário falecido, diante da negativa indevida de cobertura contratual.&lt;/span&gt;&lt;/p&gt;&lt;p style="line-height: 1.38; margin-left: 113.38582677165354pt; text-align: justify; margin-top: 0pt;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pre-wrap;"&gt;II. QUESTÃO EM DISCUSSÃO: 2. Há duas questões em discussão: (i) definir se é cabível o recurso especial contra acórdão que reconheceu a obrigação da operadora de plano de saúde de custear procedimento cirúrgico prescrito pelo médico assistente; (ii) estabelecer se é devida a indenização por danos morais diante da negativa de cobertura contratual em situação de urgência, que resultou no falecimento do paciente.&lt;/span&gt;&lt;/p&gt;&lt;p style="line- height: 1.38; margin-left: 113.38582677165354pt; text-align: justify; margin-top: 0pt;</w:t>
            </w:r>
          </w:p>
          <w:p>
            <w:pPr>
              <w:pStyle w:val="TableParagraph"/>
              <w:spacing w:line="208" w:lineRule="auto" w:before="0"/>
              <w:ind w:right="42"/>
              <w:rPr>
                <w:sz w:val="20"/>
              </w:rPr>
            </w:pPr>
            <w:r>
              <w:rPr>
                <w:sz w:val="20"/>
              </w:rPr>
              <w:t>margin-bottom: 0pt;" dir="ltr"&gt; &lt;span style="font-size: 12pt; font-family: 'Times New Roman',serif; color: #000000; background-color: transparent; font-weight: 400; font-style: normal; font-variant: normal; text-decoration: none; vertical-align: baseline; white-space: pre-wrap;"&gt;III. RAZÕES DE DECIDIR: 3. A decisão recorrida analisou adequadamente as cláusulas contratuais e as provas dos autos, reconhecendo a cobertura do procedimento cirúrgico prescrito com base na gravidade do quadro clínico do paciente e na natureza da urgência, o que impede a reavaliação da matéria em sede de recurso especial, conforme as Súmulas 5 e 7 do STJ.&lt;/span&gt;&lt;/p&gt;&lt;p style="line-height: 1.38; margin-left: 113.38582677165354pt; text-align: justify; margin-top: 0pt; margin-bottom: 0pt;" dir="ltr"&gt;&lt;span style="font-size: 12pt; font-family: 'Times New Roman',serif; color: #000000; background-color: transparent; font-weight: 400; font-style: normal; font-variant: normal; text-decoration: none; vertical-align: baseline; white-space: pre-wrap;"&gt;4.&lt;/span&gt; &lt;span style="font-size: 12pt; font-family: &amp;quot;Times New Roman&amp;quot;, serif; color: #000000; background-color: transparent; font-weight: 700; font-style: normal; font-variant: normal; text-decoration-skip-ink: none; vertical-align: baseline; white-space: pre-wrap; text- decoration: underline;"&gt;A pretensão recursal esbarra na jurisprudência consolidada do STJ, segundo a qual as operadoras de planos de saúde podem limitar as doenças cobertas, mas não os procedimentos indicados para o tratamento da enfermidade coberta, especialmente quando o tratamento se mostra eficaz e necessário, como no caso do método TAVI.&lt;/span&gt;&lt;/p&gt;&lt;p 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 align: baseline; white-space: pre-wrap;"&gt;5. O procedimento TAVI está incluído no Rol da ANS (RN 465/2021) com diretriz de utilização, o que afasta a alegação de sua experimentalidade ou exclusão contratual, autorizando sua cobertura diante da demonstração de urgência e da recomendação médica.&lt;/span&gt;&lt;/p&gt;&lt;p style="line-height: 1.38; margin-left: 113.38582677165354pt; text-align: justify; margin-top: 0pt; margin- bottom: 0pt;" dir="ltr"&gt; &lt;span style="font-size: 12pt; font-family: 'Times New Roman',serif;</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476" w:val="left" w:leader="none"/>
                <w:tab w:pos="7001" w:val="left" w:leader="none"/>
              </w:tabs>
              <w:spacing w:line="208" w:lineRule="auto" w:before="26"/>
              <w:ind w:right="21"/>
              <w:rPr>
                <w:sz w:val="20"/>
              </w:rPr>
            </w:pPr>
            <w:r>
              <w:rPr>
                <w:sz w:val="20"/>
              </w:rPr>
              <w:t>color: #000000; background-color: transparent; font-weight: 400; font-style: normal; font- variant: normal; text-decoration: none; vertical-align: baseline; white-space: pre-wrap;"&gt;6. A jurisprudência do STJ admite a mitigação do caráter taxativo do Rol da ANS quando preenchidos os critérios definidos pelo Tribunal, entre eles a recomendação médica, a urgência da situação e a eficácia do procedimento.&lt;/span&gt;&lt;/p&gt;&lt;p style="line-height: 1.38; margin-left: 113.38582677165354pt; text-align: justify; margin-top: 0pt; margin-bottom: </w:t>
            </w:r>
            <w:r>
              <w:rPr>
                <w:spacing w:val="-3"/>
                <w:sz w:val="20"/>
              </w:rPr>
              <w:t>0pt;" </w:t>
            </w:r>
            <w:r>
              <w:rPr>
                <w:sz w:val="20"/>
              </w:rPr>
              <w:t>dir="ltr"&gt; &lt;span style="font-size: 12pt; font-family: 'Times New Roman',serif; color: #000000; background-color: transparent; font-weight: 400; font-style: normal; font-variant: normal; text-decoration: none; vertical-align: baseline; white-space: pre-wrap;"&gt;7. A negativa de cobertura em contexto de urgência, que obrigou o segurado a recorrer ao Judiciário e atrasou o início do tratamento necessário à sua sobrevivência, caracteriza dano moral indenizável, conforme reiterado posicionamento do STJ.&lt;/span&gt;&lt;/p&gt;&lt;p 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vertical-align: baseline; white-space: pre-wrap;"&gt;8. O acórdão recorrido encontra-se em harmonia com a jurisprudência da </w:t>
            </w:r>
            <w:r>
              <w:rPr>
                <w:spacing w:val="-4"/>
                <w:sz w:val="20"/>
              </w:rPr>
              <w:t>Corte </w:t>
            </w:r>
            <w:r>
              <w:rPr>
                <w:sz w:val="20"/>
              </w:rPr>
              <w:t>Superior.&lt;/span&gt;&lt;/p&gt;&lt;p style="line-height: 1.38; margin-left: 113.38582677165354pt; text- align: justify; margin-top: 0pt; margin-bottom: 0pt;" dir="ltr"&gt; &lt;span style="font-size: 12pt; font-family: 'Times New Roman',serif; color: #000000; background-color: transparent; font- weight: 400; font-style: normal; font-variant: normal; text-decoration: none; vertical-align: baseline; white-space: pre-wrap;"&gt;IV. DISPOSITIVO E TESE: 9. Recurso não conhecido.&lt;/span&gt;&lt;/p&gt;&lt;p 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 align: baseline; white-space: pre-wrap;"&gt;(REsp n. 2.221.480/MG, relatora Ministra Daniela Teixeira, Terceira Turma, julgado em 15/9/2025, DJEN de 18/9/2025.)&lt;/span&gt;&lt;/p&gt;&lt;p style="text-align: center;"&gt;  &lt;span style="font-size: small;"&gt;</w:t>
              <w:tab/>
              <w:t>&lt;strong id="docs-internal- guid-52fc341d-7fff-90c7-b814-f56805c78848" style="font-weight: normal;"&gt;</w:t>
              <w:tab/>
              <w:t>&lt;br /&gt;</w:t>
            </w:r>
          </w:p>
          <w:p>
            <w:pPr>
              <w:pStyle w:val="TableParagraph"/>
              <w:spacing w:line="208" w:lineRule="auto" w:before="0"/>
              <w:ind w:right="88"/>
              <w:rPr>
                <w:sz w:val="20"/>
              </w:rPr>
            </w:pPr>
            <w:r>
              <w:rPr>
                <w:sz w:val="20"/>
              </w:rPr>
              <w:t>&lt;/strong&gt; &lt;/span&gt;&lt;/p&gt;&lt;p 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 align: baseline; white-space: pre-wrap;"&gt;AGRAVO INTERNO NO RECURSO ESPECIAL. PLANO DE SAÚDE. MODALIDADE DE AUTOGESTÃO. 1. INAPLICABILIDADE DO CDC. CIRCUNSTÂNCIA QUE NÃO AFASTA A FORMA VINCULANTE DO CONTRATO. BOA- FÉ OBJETIVA. DESCUMPRIMENTO. 2. RECUSA INDEVIDA DE FORNECIMENTO DE MEDICAMENTO PRESCRITO PELO MÉDICO ASSISTENTE. DANO MORAL CONFIGURADO. ALTERAÇÃO DO ACÓRDÃO RECORRIDO. IMPOSSIBILIDADE. INCIDÊNCIA DA SÚMULA 7/STJ. 3. MONTANTE INDENIZATÓRIO. PLEITO DE REDUÇÃO. NÃO DEMONSTRADO O CARÁTER ABUSIVO NO VALOR FIXADO NAS INSTÂNCIAS ORDINÁRIAS. SÚMULA 7/STJ. 4. AGRAVO IMPROVIDO.&lt;/span&gt;&lt;/p&gt;&lt;p</w:t>
            </w:r>
          </w:p>
          <w:p>
            <w:pPr>
              <w:pStyle w:val="TableParagraph"/>
              <w:spacing w:line="208" w:lineRule="auto" w:before="0"/>
              <w:ind w:right="26"/>
              <w:rPr>
                <w:sz w:val="20"/>
              </w:rPr>
            </w:pPr>
            <w:r>
              <w:rPr>
                <w:sz w:val="20"/>
              </w:rPr>
              <w:t>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vertical-align: baseline; white-space: pre-wrap;"&gt;1. O fato de não ser aplicável a legislação consumerista aos contratos de plano de saúde sob a referida modalidade não atinge o princípio da força obrigatória do contrato, sendo imperiosa a incidência das regras do Código Civil em matéria contratual, tão rígidas quanto às da legislação consumerista, notadamente acerca da boa-fé objetiva e dos desdobramentos dela decorrentes. Precedentes.&lt;/span&gt;&lt;/p&gt;&lt;p style="line-height: 1.38; margin-left: 113.38582677165354pt; text-align: justify; margin-top: 0pt; margin-bottom: 0pt;" dir="ltr"&gt;&lt;span style="font-size: 12pt; font-family: 'Times New Roman',serif; color: #000000; background-color: transparent; font-weight: 400; font-style: normal; font-variant: normal; text-decoration: none; vertical-align: baseline; white-space: pre-wrap;"&gt;2.&lt;/span&gt; &lt;span style="font-size: 12pt; font-family: &amp;quot;Times New Roman&amp;quot;, serif; color: #000000; background-color: transparent; font-weight: 700; font-style: normal; font-variant: normal; text-decoration-skip-ink: none; vertical-align: baseline; white-space: pre-wrap; text- decoration: underline;"&gt;Compete ao profissional habilitado indicar a opção adequada para o tratamento da doença que acomete seu paciente, não incumbindo à seguradora discutir</w:t>
            </w:r>
          </w:p>
          <w:p>
            <w:pPr>
              <w:pStyle w:val="TableParagraph"/>
              <w:spacing w:line="208" w:lineRule="auto" w:before="0"/>
              <w:ind w:right="26"/>
              <w:rPr>
                <w:sz w:val="20"/>
              </w:rPr>
            </w:pPr>
            <w:r>
              <w:rPr>
                <w:sz w:val="20"/>
              </w:rPr>
              <w:t>o procedimento, mas custear as despesas de acordo com a melhor técnica. Além disso, a jurisprudência do Superior Tribunal de Justiça reconhece a possibilidade de o plano de saúde estabelecer as doenças que terão cobertura, mas não o tipo de procedimento utilizado para o tratamento de cada uma delas.&lt;/span&gt;&lt;/p&gt;&lt;p style="line-height: 1.38; margin-left: 113.38582677165354pt; text-align: justify; margin-top: 0pt; margin-bottom: </w:t>
            </w:r>
            <w:r>
              <w:rPr>
                <w:spacing w:val="-4"/>
                <w:sz w:val="20"/>
              </w:rPr>
              <w:t>0pt;" </w:t>
            </w:r>
            <w:r>
              <w:rPr>
                <w:sz w:val="20"/>
              </w:rPr>
              <w:t>dir="ltr"&gt; &lt;span style="font-size: 12pt; font-family: 'Times New Roman',serif; color: #000000; background-color: transparent; font-weight: 400; font-style: normal; font-variant: normal; text-decoration: none; vertical-align: baseline; white-space: pre- wrap;"&gt;Precedentes.&lt;/span&gt;&lt;/p&gt;&lt;p style="line-height: 1.38; margin-left: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113.38582677165354pt; text-align: justify; margin-top: 0pt; margin-bottom: 0pt;" dir="ltr"&gt;</w:t>
            </w:r>
          </w:p>
          <w:p>
            <w:pPr>
              <w:pStyle w:val="TableParagraph"/>
              <w:spacing w:line="208" w:lineRule="auto" w:before="9"/>
              <w:ind w:right="35"/>
              <w:rPr>
                <w:sz w:val="20"/>
              </w:rPr>
            </w:pPr>
            <w:r>
              <w:rPr>
                <w:sz w:val="20"/>
              </w:rPr>
              <w:t>&lt;span style="font-size: 12pt; font-family: 'Times New Roman',serif; color: #000000; background-color: transparent; font-weight: 400; font-style: normal; font-variant: normal; text-decoration: none; vertical-align: baseline; white-space: pre-wrap;"&gt;2.1. No que concerne à existência ou não de ato ilícito, o acolhimento do recurso demandaria a revisão da conclusão do acórdão recorrido mediante o reexame direto das provas, providência manifestamente proibida nesta instância, nos termos da Súmula 7 do STJ.&lt;/span&gt;&lt;/p&gt;&lt;p style="line-height: 1.38; margin-left: 113.38582677165354pt; text-align: justify; margin-top: 0pt; margin-bottom: 0pt;" dir="ltr"&gt; &lt;span style="font-size: 12pt; font-family: 'Times New Roman',serif; color: #000000; background-color: transparent; font-weight: 400; font-style: normal; font-variant: normal; text-decoration: none; vertical-align: baseline; white-space: pre-wrap;"&gt;3. Da mesma forma, em relação à fixação do valor indenizatório arbitrado a título de danos morais, não há como conhecer do recurso por incidência da Súmula 7/STJ.&lt;/span&gt;&lt;/p&gt;&lt;p style="line-height: 1.38; margin-left: 113.38582677165354pt; text- align: justify; margin-top: 0pt; margin-bottom: 0pt;" dir="ltr"&gt; &lt;span style="font-size: 12pt; font-family: 'Times New Roman',serif; color: #000000; background-color: transparent; font- weight: 400; font-style: normal; font-variant: normal; text-decoration: none; vertical-align: baseline; white-space: pre-wrap;"&gt;4. Agravo interno a que se nega provimento. (AgInt no REsp n. 1.765.668/DF, relator Ministro Marco Aurélio Bellizze, Terceira Turma, julgado em 29/4/2019, DJe de 6/5/2019.)&lt;/span&gt;&lt;/p&gt;&lt;p style="line-height: 1.7999999999999998; </w:t>
            </w:r>
            <w:r>
              <w:rPr>
                <w:spacing w:val="-4"/>
                <w:sz w:val="20"/>
              </w:rPr>
              <w:t>text- </w:t>
            </w:r>
            <w:r>
              <w:rPr>
                <w:sz w:val="20"/>
              </w:rPr>
              <w:t>indent: 56.692913385826756pt; text-align: justify; margin-top: 12pt; margin-bottom: 12pt;" dir="ltr"&gt;&amp;#160;&lt;/p&gt;&lt;p style="line-height: 1.7999999999999998; text-indent: 56.692913385826756pt; text-align: justify; margin-top: 12pt; margin-bottom: 12pt;"</w:t>
            </w:r>
            <w:r>
              <w:rPr>
                <w:spacing w:val="-14"/>
                <w:sz w:val="20"/>
              </w:rPr>
              <w:t> </w:t>
            </w:r>
            <w:r>
              <w:rPr>
                <w:sz w:val="20"/>
              </w:rPr>
              <w:t>dir="ltr"&gt;</w:t>
            </w:r>
          </w:p>
          <w:p>
            <w:pPr>
              <w:pStyle w:val="TableParagraph"/>
              <w:spacing w:line="208" w:lineRule="auto" w:before="0"/>
              <w:ind w:right="39"/>
              <w:rPr>
                <w:sz w:val="20"/>
              </w:rPr>
            </w:pPr>
            <w:r>
              <w:rPr>
                <w:sz w:val="20"/>
              </w:rPr>
              <w:t>&lt;span style="font-size: 12pt; font-family: 'Times New Roman',serif; color: #000000; background-color: transparent; font-weight: 400; font-style: normal; font-variant: normal; text-decoration: none; vertical-align: baseline; white-space: pre-wrap;"&gt;Afastar a indicação do profissional da rede credenciada, substituindo-a por uma decisão administrativa de auditoria, representa uma interferência indevida na própria atividade médica, esvaziando a finalidade do contrato de assistência à saúde. A divergência da junta médica, neste contexto, não tem o condão de afastar a indicação do especialista que assiste a paciente.&lt;/span&gt;&lt;/p&gt;&lt;p style="line-height: 1.7999999999999998; text-indent: 56.692913385826756pt; text-align: justify; margin-top: 12pt; margin-bottom: 12pt;"</w:t>
            </w:r>
            <w:r>
              <w:rPr>
                <w:spacing w:val="-18"/>
                <w:sz w:val="20"/>
              </w:rPr>
              <w:t> </w:t>
            </w:r>
            <w:r>
              <w:rPr>
                <w:sz w:val="20"/>
              </w:rPr>
              <w:t>dir="ltr"&gt;</w:t>
            </w:r>
          </w:p>
          <w:p>
            <w:pPr>
              <w:pStyle w:val="TableParagraph"/>
              <w:spacing w:line="208" w:lineRule="auto" w:before="0"/>
              <w:ind w:right="103"/>
              <w:rPr>
                <w:sz w:val="20"/>
              </w:rPr>
            </w:pPr>
            <w:r>
              <w:rPr>
                <w:sz w:val="20"/>
              </w:rPr>
              <w:t>&lt;span style="font-size: 12pt; font-family: 'Times New Roman',serif; color: #000000; background-color: transparent; font-weight: 400; font-style: normal; font-variant: normal; text-decoration: none; vertical-align: baseline; white-space: pre-wrap;"&gt;Portanto, a recusa inicial da cirurgia, devidamente prescrita por médico credenciado para tratar patologia coberta pelo contrato, configurou-se como flagrantemente abusiva e ilícita.&lt;/span&gt;&lt;/p&gt;&lt;p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pre-wrap;"&gt;Ademais, conforme salientado nas contrarrazões (id.</w:t>
            </w:r>
          </w:p>
          <w:p>
            <w:pPr>
              <w:pStyle w:val="TableParagraph"/>
              <w:spacing w:line="208" w:lineRule="auto" w:before="0"/>
              <w:ind w:right="48"/>
              <w:rPr>
                <w:sz w:val="20"/>
              </w:rPr>
            </w:pPr>
            <w:r>
              <w:rPr>
                <w:sz w:val="20"/>
              </w:rPr>
              <w:t>24750365) e reforçado pela Manifestação da Defensoria Pública de id. 24750320, a conduta da apelante foi agravada pelo reiterado descumprimento da ordem judicial liminar (id. 24749922) que determinou a autorização da cirurgia. Como informa a petição, "em que pese a parte requerida tenha sido intimada para cumprir a tutela provisória de urgência, esta permaneceu inerte".&lt;/span&gt;&lt;/p&gt;&lt;p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pre-wrap;"&gt;Tal fato, diante da gravidade do quadro clínico da autora, forçou-a a buscar tratamento no Sistema Único de Saúde (SUS), que rapidamente realizou o procedimento cirúrgico. Resta claro que a apelante desobedeceu a ordem judicial, protelando indevidamente o tratamento e expondo a paciente a grave risco.&lt;/span&gt;&lt;/p&gt;&lt;p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 wrap;"&gt;Configurado o ato ilícito pela recusa indevida, que viola a boa-fé objetiva e o direito fundamental à saúde, resta evidente o dever de indenizar, pois a angústia e o sofrimento da paciente que vê negado o tratamento cirúrgico necessário ultrapassam o mero dissabor.&lt;/span&gt;&lt;/p&gt;&lt;p style="line-height: 1.7999999999999998; text-indent: 56.692913385826756pt; text-align: justify; margin-top: 12pt; margin-bottom: 12pt;" dir="ltr"&gt;&lt;span style="font-size: 12pt; font-family: &amp;quot;Times New Roman&amp;quot;, serif; color: #000000; background-color: transparent; font-weight: 700; font-style: normal; font- variant: normal; text-decoration-skip-ink: none; vertical-align: baseline; white-space: pre- wrap; text-decoration: underline;"&gt;Passo à análise do&lt;/span&gt; &lt;span style="font-size: 12pt; font-family: &amp;quot;Times New Roman&amp;quot;, serif; color: #000000; background-color: transparent; font-weight: 700; font-style: italic; font-variant: normal; text-decoration-skip-ink:</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none; vertical-align: baseline; white-space: pre-wrap; text-decoration: underline;"&gt;quantum&lt;/span&gt; &lt;span style="font-size: 12pt; font-family: &amp;quot;Times New Roman&amp;quot;, serif; color: #000000; background-color: transparent; font-weight: 700; font- style: normal; font-variant: normal; text-decoration-skip-ink: none; vertical-align: baseline; white-space: pre-wrap; text-decoration: underline;"&gt;indenizatório.&lt;/span&gt;&lt;/p&gt;&lt;p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pre-wrap;"&gt;A sentença de primeiro grau fixou a indenização em R$ 30.000,00 (trinta mil reais).&lt;/span&gt;&lt;/p&gt;&lt;p style="line-height: 1.7999999999999998; text- 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pre-wrap;"&gt;Faço a ressalva de que foi&lt;/span&gt; &lt;span style="font-size: 12pt; font-family: 'Times New Roman',serif; color: #000000; background-color: transparent; font-weight: 700; font-style: normal; font-variant: normal; text-decoration: none; vertical-align: baseline; white-space: pre- wrap;"&gt;extremamente grave a conduta da ré/apelante&lt;/span&gt;&lt;span style="font-size: 12pt; font-family: 'Times New Roman',serif; color: #000000; background-color: transparent; font- weight: 400; font-style: normal; font-variant: normal; text-decoration: none; vertical-align: baseline; white-space: pre-wrap;"&gt;. A operadora não apenas negou o procedimento indicado por médico credenciado, como, de forma mais contundente, manteve-se inerte e desobedeceu deliberadamente a ordem judicial que deferiu a tutela de urgência.</w:t>
            </w:r>
          </w:p>
          <w:p>
            <w:pPr>
              <w:pStyle w:val="TableParagraph"/>
              <w:spacing w:line="208" w:lineRule="auto" w:before="0"/>
              <w:ind w:right="21"/>
              <w:rPr>
                <w:sz w:val="20"/>
              </w:rPr>
            </w:pPr>
            <w:r>
              <w:rPr>
                <w:sz w:val="20"/>
              </w:rPr>
              <w:t>Demonstrou absoluto descaso com o quadro clínico da beneficiária, forçando-a a recorrer ao SUS para realizar a cirurgia, o que, por si só, agrava o dano moral e fortalece o dever de indenizar.&lt;/span&gt;&lt;/p&gt;&lt;p style="line-height: 1.7999999999999998; text-indent: 56.692913385826756pt; text-align: justify; margin-top: 12pt; margin-bottom: 12pt;" 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normal; font-variant: normal; text-decoration: none; vertical-align: baseline; white-space: pre-wrap;"&gt;Ressalto que, em casos análogos de negativa de cobertura por planos de saúde, esta Corte de Justiça tem fixado os danos morais em patamares que usualmente variam entre R$ 5.000,00 (cinco mil) e R$ 10.000,00 (dez mil reais).&lt;/span&gt;&lt;/p&gt;&lt;p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pre-wrap;"&gt;Vejamos:&lt;/span&gt;&lt;/p&gt;&lt;p style="line-height: 1.7999999999999998; margin-left: 113.38582677165354pt; text-align: justify; margin-top: 12pt; margin-bottom: 12pt;"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pre-wrap;"&gt;DIREITO CIVIL E CONSUMIDOR. APELAÇÃO CÍVEL. PLANO DE SAÚDE. NEGATIVA DE COBERTURA DE PROCEDIMENTO MÉDICO PRESCRITO. DEMORA INJUSTIFICADA NA AUTORIZAÇÃO. DANO MORAL CONFIGURADO. DESPROVIMENTO. I. CASO EM</w:t>
            </w:r>
          </w:p>
          <w:p>
            <w:pPr>
              <w:pStyle w:val="TableParagraph"/>
              <w:spacing w:line="208" w:lineRule="auto" w:before="0"/>
              <w:ind w:right="53"/>
              <w:rPr>
                <w:sz w:val="20"/>
              </w:rPr>
            </w:pPr>
            <w:r>
              <w:rPr>
                <w:sz w:val="20"/>
              </w:rPr>
              <w:t>EXAME II. QUESTÃO EM DISCUSSÃO 4. A questão em discussão consiste em saber se a ausência de resposta a pedido de autorização para procedimento médico urgente configura negativa de cobertura e, consequentemente, gera dever de indenizar por danos morais. III. RAZÕES DE DECIDIR 5. A relação jurídica entre as partes é de consumo, atraindo a aplicação do CDC, nos termos da Súmula 469/STJ. 6. A ausência de resposta dentro do prazo previsto pela ANS caracteriza negativa tácita de cobertura, afrontando os princípios da boa-fé objetiva e da função social do contrato. 7. A negativa tácita em situação urgente compromete direitos fundamentais à saúde e à vida (CF/1988, arts. 6º, 196 e 199). 8. Configura-se o dano moral in re ipsa, diante da aflição e insegurança causadas à beneficiária. 9.&lt;/span&gt; &lt;span style="font-size: 12pt; font-family: &amp;quot;Times New Roman&amp;quot;, serif; color: #000000; background-color: transparent; font-weight: 700; font-style: normal; font-variant: normal; text-decoration-skip-ink: none; vertical-align: baseline; white-space: pre-wrap; text-decoration: underline;"&gt;O valor fixado na sentença (R$ 5.000,00) observa os princípios da proporcionalidade e razoabilidade.&lt;/span&gt; &lt;span style="font-size: 12pt; font-family: 'Times New Roman',serif; color: #000000; background- color: transparent; font-weight: 400; font-style: normal; font-variant: normal; text-decoration: none; vertical-align: baseline; white-space: pre-wrap;"&gt;IV. DISPOSITIVO E TESE 10.</w:t>
            </w:r>
          </w:p>
          <w:p>
            <w:pPr>
              <w:pStyle w:val="TableParagraph"/>
              <w:spacing w:line="208" w:lineRule="auto" w:before="0"/>
              <w:ind w:right="100"/>
              <w:rPr>
                <w:sz w:val="20"/>
              </w:rPr>
            </w:pPr>
            <w:r>
              <w:rPr>
                <w:sz w:val="20"/>
              </w:rPr>
              <w:t>Recurso conhecido e desprovido. Tese de julgamento: ¿1. A ausência de resposta a pedido de autorização para procedimento médico urgente, por parte de operadora de plano de saúde, caracteriza negativa tácita de cobertura. 2. A negativa tácita em situação de urgência configura ilícito contratual e enseja indenização por dano moral.¿ </w:t>
            </w:r>
            <w:r>
              <w:rPr>
                <w:spacing w:val="-2"/>
                <w:sz w:val="20"/>
              </w:rPr>
              <w:t>Dispositivos </w:t>
            </w:r>
            <w:r>
              <w:rPr>
                <w:sz w:val="20"/>
              </w:rPr>
              <w:t>relevantes citados: CF/1988, arts. 6º, 196 e 199; CDC, arts. 51, incs. IV e XV, § 1º, e 54, § 4º; CPC, art. 373. Jurisprudência relevante citada: STJ, Súmula 469; TJCE, Apelação Cível nº 0112172-10.2018.8.06.0001, Rel. Des. Maria de Fátima de Melo Loureiro, 2ª</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5"/>
              <w:rPr>
                <w:sz w:val="20"/>
              </w:rPr>
            </w:pPr>
            <w:r>
              <w:rPr>
                <w:sz w:val="20"/>
              </w:rPr>
              <w:t>Câmara Direito Privado, j. 21.06.2023; TJCE, Agravo Interno nº 0100012- 21.2016.8.06.0001, Rel. Des. Carlos Augusto Gomes Correia, 1ª Câmara Direito Privado, </w:t>
            </w:r>
            <w:r>
              <w:rPr>
                <w:spacing w:val="-9"/>
                <w:sz w:val="20"/>
              </w:rPr>
              <w:t>j. </w:t>
            </w:r>
            <w:r>
              <w:rPr>
                <w:sz w:val="20"/>
              </w:rPr>
              <w:t>06.07.2022. (Apelação Cível - 0203325-35.2023.8.06.0071, Rel. Desembargador(a) MARCOS WILLIAM LEITE DE OLIVEIRA, 3ª Câmara Direito Privado, data do julgamento:&amp;#160; 25/06/2025, data da publicação:&amp;#160; 25/06/2025)&lt;/span&gt;&lt;/p&gt;&lt;p style="line-height: 1.7999999999999998; margin-left: 113.38582677165354pt; text-align: justify; margin-top: 12pt; margin-bottom: 12pt;" dir="ltr"&gt;&lt;span style="font-size: 12pt; font- family: 'Times New Roman',serif; color: #000000; background-color: transparent; font- weight: 400; font-style: normal; font-variant: normal; text-decoration: none; vertical-align: baseline; white-space: pre-wrap;"&gt;RECURSO DE APELAÇÃO CÍVEL. AÇÃO REVISIONAL DE CONTRATO DE PLANO DE SAÚDE C/C REPETIÇÃO DO INDÉBITO E INDENIZAÇÃO POR DANOS MORAIS. REAJUSTE POR MUDANÇA DE FAIXA ETÁRIA. NULIDADE DE CLÁUSULAS EXCESSIVAMENTE ONEROSAS AO CONSUMIDOR. ART. 51 DO CDC. RESOLUÇÃO NORMATIVA Nº 63/2003 DA ANS. ABUSIVIDADE CONFIGURADA. VIOLAÇÃO DA BOA FÉ OBJETIVA E DA EQUIDADE. CANCELAMENTO UNILATERAL INDEVIDO. NECESSÁRIA PRÉVIA NOTIFICAÇÃO DO CONSUMIDOR. RECURSO CONHECIDO E DESPROVIDO. I. CASO EM EXAME: 1.</w:t>
            </w:r>
          </w:p>
          <w:p>
            <w:pPr>
              <w:pStyle w:val="TableParagraph"/>
              <w:tabs>
                <w:tab w:pos="3954" w:val="left" w:leader="none"/>
                <w:tab w:pos="7559" w:val="left" w:leader="none"/>
              </w:tabs>
              <w:spacing w:line="208" w:lineRule="auto" w:before="0"/>
              <w:ind w:right="29"/>
              <w:rPr>
                <w:sz w:val="20"/>
              </w:rPr>
            </w:pPr>
            <w:r>
              <w:rPr>
                <w:sz w:val="20"/>
              </w:rPr>
              <w:t>Trata-se de recurso de Apelação interposto por Hapvida Assistência Médica Ltda. em face da sentença emanada do Juízo da 26ª Vara Cível da Comarca de Fortaleza/CE, na qual foram julgados parcialmente procedentes os pedidos formulados em Ação Revisional de Contrato de Plano de Saúde c/c Repetição de Indébito e Indenização por Danos Morais. II. QUESTÃO EM DISCUSSÃO: 2. Cinge-se a controvérsia recursal em analisar o acerto ou desacerto da sentença recorrida ao considerar que o reajuste por mudança de faixa etária aplicado pela operadora de plano de saúde ocorreu de forma abusiva, bem como se </w:t>
            </w:r>
            <w:r>
              <w:rPr>
                <w:spacing w:val="-4"/>
                <w:sz w:val="20"/>
              </w:rPr>
              <w:t>houve </w:t>
            </w:r>
            <w:r>
              <w:rPr>
                <w:sz w:val="20"/>
              </w:rPr>
              <w:t>o indevido cancelamento do plano, ocasionando dano moral à autora. III. RAZÕES DE DECIDIR: 3. São aplicáveis à espécie as normas consumeristas, conforme estabelecido pela Súmula 608, do STJ, sendo nulas de pleno direito aquelas cláusulas que pressupõe vantagem exagerada, ou seja, cláusulas excessivamente onerosas para o consumidor, considerando a natureza e o conteúdo do contrato, como dispõe o art. 51, incisos IV e XV e §1º, III do CDC. 4. O Superior Tribunal de Justiça firmou entendimento sobre o assunto, fixando o Tema 952, que impõe requisitos para a validade de reajustes fundamentados na mudança de faixa etária. Além disso, a RN n° 63, de 22 de dezembro de 2003, da ANS fixa condições para aplicação de percentuais de variação por faixa etária em seu art. 3º. 5. Conclui-se que a situação narrada viola o art. 51 do CDC e as exigências para o reajuste de mensalidade de plano de saúde em razão de mudança de faixa etária conforme dispõe a Lei Federal n.º 9.656/98, uma vez que os reajustes devem ser pautados na razoabilidade e boa-fé objetiva, devendo ser descartados percentuais excessivos de aumento, sob pena de caracterizar abusividade. 6. Conforme decidido pelo juízo a quo a mera ausência de pagamento não configura motivo suficiente para a rescisão unilateral do contrato de plano de saúde, fazendo-se necessária a notificação de cancelamento do contrato de plano de saúde até o quinquagésimo dia de inadimplência. No caso dos autos, no entanto, a notificação colacionada aos autos não se mostra válida para tal fim, haja vista que não demonstrada a necessária ciência por parte da consumidora. 7.&lt;/span&gt; &lt;span style="font- size: 12pt; font-family: &amp;quot;Times New Roman&amp;quot;, serif; color: #000000; background- color: transparent; font-weight: 700; font-style: normal; font-variant: normal; text-decoration- skip-ink: none; vertical-align: baseline; white-space: pre-wrap; text-decoration: underline;"&gt;Em atenção aos critérios de razoabilidade e proporcionalidade e considerando o caráter pedagógico da condenação, bem como relevante o grau de culpa do ofensor, em razão dos constrangimentos advindos com o bloqueio do plano de saúde, o valor da indenização, fixado em R$5.000,00 (cinco mil reais), mostra-se adequado, razão pela qual deve ser mantido&lt;/span&gt;&lt;span style="font-size: 12pt; font-family: 'Times New Roman',serif; color: #000000; background-color: transparent; font-weight: 400; font-style: normal; font-variant: normal; text-decoration: none; vertical-align: baseline; white-space: pre-wrap;"&gt;. IV. DISPOSITIVO: 8. Recurso conhecido e desprovido. Sentença mantida. (Apelação Cível - 0258124-15.2021.8.06.0001, Rel. Desembargador FRANCISCO LUCÍDIO DE QUEIROZ JÚNIOR, 3ª Câmara Direito Privado, data do julgamento:&amp;#160; 25/06/2025, data da publicação:&amp;#160; 25/06/2025)&lt;/span&gt;&lt;/p&gt;&lt;p style="text-align: center;"&gt;  &lt;span style="font-size: small;"&gt;</w:t>
              <w:tab/>
              <w:t>&lt;strong style="font-weight: normal;"&gt;</w:t>
              <w:tab/>
              <w:t>&lt;br /&gt;</w:t>
            </w:r>
          </w:p>
          <w:p>
            <w:pPr>
              <w:pStyle w:val="TableParagraph"/>
              <w:spacing w:line="208" w:lineRule="auto" w:before="0"/>
              <w:ind w:right="33"/>
              <w:rPr>
                <w:sz w:val="20"/>
              </w:rPr>
            </w:pPr>
            <w:r>
              <w:rPr>
                <w:sz w:val="20"/>
              </w:rPr>
              <w:t>&lt;/strong&gt; &lt;/span&gt;&lt;/p&gt;&lt;p style="line-height: 1.7999999999999998; margin-left: 113.38582677165354pt; text-align: justify; margin-top: 12pt; margin-bottom: 12pt;" dir="ltr"&gt;&lt;span style="font-size: 12pt; font-family: 'Times New Roman',serif; color: #000000; background-color: transparent; font-weight: 400; font-style: normal; font-variant: normal; text-decoration: none; vertical-align: baseline; white-space: pre-wrap;"&gt;DIREITO CIVIL E DIREITO DO CONSUMIDOR. ANULAÇÃO DE SENTENÇA DE OFÍCIO. ERROR IN PROCEDENDO. PLANO DE SAÚDE. CIRURGIA BARIÁTRICA. COBERTURA NEGADA COM BASE EM DOENÇA PREEXISTENTE E CPT. EMERGÊNCIA MÉDICA CONFIGURADA. DESCUMPRIMENTO PARCIAL E REITERADO DE DECISÃO JUDICIAL. REDUÇÃO PROPORCIONAL DAS ASTREINTES. DANO MORAL CONFIGURADO. PEDIDOS INICIAIS PARCIALMENTE PROVIDOS. I. CASO EM </w:t>
            </w:r>
            <w:r>
              <w:rPr>
                <w:spacing w:val="-3"/>
                <w:sz w:val="20"/>
              </w:rPr>
              <w:t>EXAME:</w:t>
            </w:r>
          </w:p>
          <w:p>
            <w:pPr>
              <w:pStyle w:val="TableParagraph"/>
              <w:spacing w:line="205" w:lineRule="exact" w:before="0"/>
              <w:rPr>
                <w:sz w:val="20"/>
              </w:rPr>
            </w:pPr>
            <w:r>
              <w:rPr>
                <w:sz w:val="20"/>
              </w:rPr>
              <w:t>Apelação Cível interposta por beneficiário de plano de saúde contra sentença que</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
              <w:rPr>
                <w:sz w:val="20"/>
              </w:rPr>
            </w:pPr>
            <w:r>
              <w:rPr>
                <w:sz w:val="20"/>
              </w:rPr>
              <w:t>extinguiu o processo sem resolução de mérito por perda superveniente do objeto, em ação de obrigação de fazer cumulada com pedido de tutela antecipada e indenização por danos morais, movida contra a operadora Hapvida Assistência Médica S/A, diante de negativa inicial de cobertura de cirurgia bariátrica prescrita por agravamento do quadro clínico de obesidade mórbida. II. QUESTÃO EM DISCUSSÃO: (i) definir se houve perda superveniente do interesse processual ensejando a manutenção da sentença de extinção do feito sem resolução de mérito ante a autorização do procedimento cirúrgico pela operadora de saúde. III. RAZÕES DE DECIDIR: (i) A sentença é nula por erro in procedendo, pois deixou de apreciar os pedidos da petição inicial e os argumentos da parte adversa, violando o dever de fundamentação previsto no art. 93, IX, da CF/1988, e os arts. 489, §1º, I e II, e 1.013, §1º, do CPC; (ii) Aplica-se a teoria da causa madura, nos termos do art. 1.013, §3º, I, do CPC, pois o feito está devidamente instruído e apto a julgamento imediato do mérito; (ii) Restou configurado o descumprimento parcial e reiterado da decisão liminar pela operadora de saúde, que demorou cerca de cinco meses para cumprir a ordem judicial de autorização da cirurgia, legitimando a incidência proporcional da multa cominatória (astreintes), nos termos dos arts. 536, §1º, e 537, caput e §1º, do CPC; (iii) O valor da multa diária deve ser limitado a R$ 30.000,00, com base nos princípios da proporcionalidade e razoabilidade, devendo sua apuração final ocorrer na fase de liquidação de sentença; (iv) No mérito, impõe-se o reconhecimento e a confirmação da decisão liminar de fls. 106/110, que autorizou a realização da cirurgia bariátrica por videolaparoscopia, conforme prescrição médica, determinando à operadora de saúde a obrigação de fornecer todo o aparato necessário à efetivação do </w:t>
            </w:r>
            <w:r>
              <w:rPr>
                <w:spacing w:val="-2"/>
                <w:sz w:val="20"/>
              </w:rPr>
              <w:t>procedimento, </w:t>
            </w:r>
            <w:r>
              <w:rPr>
                <w:sz w:val="20"/>
              </w:rPr>
              <w:t>sem qualquer ônus financeiro à parte autora; (v) A negativa de cobertura da cirurgia, fundamentada na existência de Doença ou Lesão Preexistente (DLP) e na imposição de CPT, foi abusiva diante da situação de emergência médica configurada, contrariando o art. 12, V, ¿c¿, da Lei nº 9.656/1998 e a Resolução Normativa ANS nº 259/2011; (vi) A conduta da operadora violou os princípios da boa-fé objetiva, função social do contrato e vulnerabilidade do consumidor, ensejando reparação por danos morais, conforme jurisprudência do STJ e deste Tribunal; (vii)&lt;/span&gt; &lt;span style="font-size: 12pt; font- family: &amp;quot;Times New Roman&amp;quot;, serif; color: #000000; background-color: transparent; font-weight: 700; font-style: normal; font-variant: normal; text-decoration-skip- ink: none; vertical-align: baseline; white-space: pre-wrap; text-decoration: underline;"&gt;O valor de R$ 5.000,00 é adequado à gravidade da conduta, atendendo aos critérios de razoabilidade, proporcionalidade e função pedagógica da indenização, com correção monetária a partir do arbitramento (Súmula 362/STJ) e juros moratórios de 1% ao mês desde a citação, observadas as disposições da Lei nº 14.905/2024 quanto à forma de atualização.&lt;/span&gt; &lt;span style="font-size: 12pt; font-family: 'Times New Roman',serif; color: #000000; background-color: transparent; font-weight: 400; font-style: normal; font- variant: normal; text-decoration: none; vertical-align: baseline; white-space: pre-wrap;"&gt;IV. DISPOSITIVO: Sentença anulada de Ofício por error in procedendo. Julgamento em razão da aplicação do princípio da causa madura. Dispositivos relevantes citados: CF/1988, art. 6º e art. 93, IX; CPC, arts. 489, §1º, I e II, 536, 537, 1.013, §§1º e 3º, 405; CC, arts. 389,</w:t>
            </w:r>
          </w:p>
          <w:p>
            <w:pPr>
              <w:pStyle w:val="TableParagraph"/>
              <w:spacing w:line="187" w:lineRule="exact" w:before="0"/>
              <w:rPr>
                <w:sz w:val="20"/>
              </w:rPr>
            </w:pPr>
            <w:r>
              <w:rPr>
                <w:sz w:val="20"/>
              </w:rPr>
              <w:t>406; CDC, arts. 6º, 14, 47, 51; Lei nº 9.656/1998, arts. 11 e 12, V, ¿c¿; RN/ANS nº</w:t>
            </w:r>
          </w:p>
          <w:p>
            <w:pPr>
              <w:pStyle w:val="TableParagraph"/>
              <w:spacing w:line="208" w:lineRule="auto" w:before="10"/>
              <w:ind w:right="127"/>
              <w:rPr>
                <w:sz w:val="20"/>
              </w:rPr>
            </w:pPr>
            <w:r>
              <w:rPr>
                <w:sz w:val="20"/>
              </w:rPr>
              <w:t>259/2011; Súmulas 54 e 362 do STJ; Lei nº 14.905/2024. Jurisprudência relevante citada: STJ, AgInt no AREsp 1601153/SP, Rel. Min. Gurgel de Faria, DJe 30.06.2020; TJCE, ApCiv nº 0172157-17.2012.8.06.0001, Rel. Des. Cleide Alves de Aguiar, j. 13.11.2024; TJCE, ApCiv nº 0275602-02.2022.8.06.0001, Rel. Des. Paulo Airton Albuquerque Filho, j. 25.09.2024; TJCE, ApCiv nº 0230432-75.2020.8.06.0001, Rel. Des. André Luiz de Souza Costa, j. 17.09.2024; TJCE, ApCiv nº 0252691-64.2020.8.06.0001, Rel. Des. Marcos</w:t>
            </w:r>
          </w:p>
          <w:p>
            <w:pPr>
              <w:pStyle w:val="TableParagraph"/>
              <w:spacing w:line="208" w:lineRule="auto" w:before="0"/>
              <w:ind w:right="19"/>
              <w:rPr>
                <w:sz w:val="20"/>
              </w:rPr>
            </w:pPr>
            <w:r>
              <w:rPr>
                <w:sz w:val="20"/>
              </w:rPr>
              <w:t>William Leite de Oliveira, j. 17.07.2024. (Apelação Cível - 0202774-76.2023.8.06.0064, Rel. Desembargador(a) FRANCISCO JAIME MEDEIROS NETO, 4ª Câmara Direito Privado, data do julgamento:&amp;#160; 10/06/2025, data da publicação:&amp;#160; 08/07/2025)&lt;/span&gt;&lt;/p&gt;&lt;p style="line-height: 1.7999999999999998; text-indent: 56.692913385826756pt; text-align: justify; margin-top: 12pt; margin-bottom: 12pt;" dir="ltr"&gt;&amp;#160;&lt;/p&gt;&lt;p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pre-wrap;"&gt;Contudo,&lt;/span&gt;</w:t>
            </w:r>
          </w:p>
          <w:p>
            <w:pPr>
              <w:pStyle w:val="TableParagraph"/>
              <w:spacing w:line="208" w:lineRule="auto" w:before="0"/>
              <w:ind w:right="80"/>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text- decoration: underline;"&gt;é imperativo fazer uma distinção crucial: em sua grande maioria, nesses precedentes, as operadoras do plano de saúde, embora neguem administrativamente, cumprem a obrigação e realizam o tratamento necessário depois de instadas judicialmente.&lt;/span&gt;&lt;/p&gt;&lt;p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pre-wrap;"&gt;No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presente caso, a conduta da ré foi substancialmente mais gravosa. A apelante desrespeitou a decisão judicial, mantendo-se inerte e descumprindo não apenas a obrigação contratual, mas também a decisão que deferiu a tutela de urgência.&lt;/span&gt;&lt;/p&gt;&lt;p style="line-height: 1.7999999999999998; text-indent: 56.692913385826756pt; text-align: justify; margin-top: 12pt; margin-bottom: 12pt;" dir="ltr"&gt;</w:t>
            </w:r>
          </w:p>
          <w:p>
            <w:pPr>
              <w:pStyle w:val="TableParagraph"/>
              <w:spacing w:line="208" w:lineRule="auto" w:before="0"/>
              <w:ind w:right="25"/>
              <w:rPr>
                <w:sz w:val="20"/>
              </w:rPr>
            </w:pPr>
            <w:r>
              <w:rPr>
                <w:sz w:val="20"/>
              </w:rPr>
              <w:t>&lt;span style="font-size: 12pt; font-family: 'Times New Roman',serif; color: #000000; background-color: transparent; font-weight: 400; font-style: normal; font-variant: normal; text-decoration: none; vertical-align: baseline; white-space: pre-wrap;"&gt;Este descaso qualificado e a recalcitrância em obedecer a uma ordem judicial que visava proteger a saúde da paciente justificam a fixação da indenização em patamar superior à média desta Corte para casos comuns de negativa.&lt;/span&gt;&lt;/p&gt;&lt;p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pre-wrap;"&gt;Porém, sopesando tais fatos com os princípios da razoabilidade e da proporcionalidade, o montante de R$ 30.000,00 fixado na origem ainda se mostra elevado.&lt;/span&gt;&lt;/p&gt;&lt;p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pre-wrap;"&gt;Dessa forma,&lt;/span&gt; &lt;span style="font-size: 12pt; font-family: 'Times New Roman',serif; color: #000000; background-color: transparent; font-weight: 700; font-style: normal; font-variant: normal; text-decoration: none; vertical-align: baseline; white-space: pre-wrap;"&gt;acho razoável e proporcional diminuir o montante fixado para R$ 15.000,00 (quinze mil reais).&lt;/span&gt; &lt;span style="font-size: 12pt; font-family: 'Times New Roman',serif; color: #000000; background-color: transparent; font-weight: 400; font-style: normal; font-variant: normal; text-decoration: none; vertical-align: baseline; white-space: pre-wrap;"&gt;Este valor afasta-se do piso usual (R$ 5-10 mil) justamente para penalizar a grave e incomum conduta da ré (descumprimento judicial), mas se adequa melhor aos princípios da razoabilidade do que o valor fixado na sentença.&lt;/span&gt;&lt;/p&gt;&lt;p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pre-wrap;"&gt;Por fim, a apelante pleiteia, ao final de suas razões, que os juros de mora e a correção monetária sobre os danos morais incidam a partir do arbitramento.&lt;/span&gt;&lt;/p&gt;&lt;p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pre-wrap;"&gt;A irresignação do apelante quanto ao cálculo dos juros e da correção monetária não merece prosperar. Explico.&lt;/span&gt;&lt;/p&gt;&lt;p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pre-wrap;"&gt;A sentença fixou&lt;/span&gt; &lt;span style="font-size: 12pt; font-family: 'Times New Roman',serif; color: #000000; background-color: transparent; font-weight: 400; font-style: italic; font-variant: normal; text-decoration: none; vertical-align: baseline; white-space: pre- wrap;"&gt;"juros de mora de 1% ao mês desde a citação&lt;/span&gt;&lt;span style="font-size: 12pt; font-family: 'Times New Roman',serif; color: #000000; background-color: transparent; font- weight: 400; font-style: normal; font-variant: normal; text-decoration: none; vertical-align: baseline; white-space: pre-wrap;"&gt;", o que está correto, pois tratando-se de responsabilidade contratual, no que tange aos danos morais, os juros de mora (1% ao mês) fluem da citação (Art. 405, CC).&amp;#160;&lt;/span&gt;&lt;/p&gt;&lt;p style="line-height: 1.7999999999999998; text-indent: 56.692913385826756pt; text-align: justify; margin-top: 12pt; margin-bottom: 12pt;" dir="ltr"&gt; &lt;span style="font-size: 12pt; font-family: 'Times New Roman',serif; color: #000000; background-color: transparent; font-weight: 700; font-style: normal; font-variant: normal; text-decoration: none; vertical-align: baseline; white-space: pre-wrap;"&gt;Quanto à correção monetária (INPC), contudo, esta deve incidir a partir da </w:t>
            </w:r>
            <w:r>
              <w:rPr>
                <w:spacing w:val="-3"/>
                <w:sz w:val="20"/>
              </w:rPr>
              <w:t>data </w:t>
            </w:r>
            <w:r>
              <w:rPr>
                <w:sz w:val="20"/>
              </w:rPr>
              <w:t>do arbitramento, nos termos da Súmula 362 do STJ.&lt;/span&gt;&lt;/p&gt;&lt;p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pre-wrap;"&gt;O juízo de primeiro grau aplicou corretamente a Súmula, fixando a correção "&lt;/span&gt;&lt;span style="font-size: 12pt; font-family: 'Times New Roman',serif; color: #000000; background-color: transparent; font-weight: 400; font-style: italic;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0201485-74.2023.8.06.0043</w:t>
            </w:r>
          </w:p>
        </w:tc>
      </w:tr>
      <w:tr>
        <w:trPr>
          <w:trHeight w:val="13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
              <w:rPr>
                <w:sz w:val="20"/>
              </w:rPr>
            </w:pPr>
            <w:r>
              <w:rPr>
                <w:sz w:val="20"/>
              </w:rPr>
              <w:t>normal; text-decoration: none; vertical-align: baseline; white-space: pre-wrap;"&gt;a partir desta data&lt;/span&gt;&lt;span style="font-size: 12pt; font-family: 'Times New Roman',serif; </w:t>
            </w:r>
            <w:r>
              <w:rPr>
                <w:spacing w:val="-3"/>
                <w:sz w:val="20"/>
              </w:rPr>
              <w:t>color: </w:t>
            </w:r>
            <w:r>
              <w:rPr>
                <w:sz w:val="20"/>
              </w:rPr>
              <w:t>#000000; background-color: transparent; font-weight: 400; font-style: normal; font-variant: normal; text-decoration: none; vertical-align: baseline; white-space: pre-wrap;"&gt;", que era a data da sentença (o primeiro arbitramento). Todavia, como este Acórdão está reformando o&lt;/span&gt; &lt;span style="font-size: 12pt; font-family: 'Times New Roman',serif; color: #000000; background-color: transparent; font-weight: 400; font-style: italic; font-variant: normal; text-decoration: none; vertical-align: baseline; white-space: pre- wrap;"&gt;quantum&lt;/span&gt; &lt;span style="font-size: 12pt; font-family: 'Times New Roman',serif; color: #000000; background-color: transparent; font-weight: 400; font-style: normal; font-variant: normal; text-decoration: none; vertical-align: baseline; white-space: pre-wrap;"&gt;(reduzindo para R$15.000,00), ocorre um novo arbitramento.&lt;/span&gt;&lt;/p&gt;&lt;p style="line-height: 1.7999999999999998; text-indent: 56.692913385826756pt; text-align: justify; margin-top: 12pt; margin-bottom: 12pt;" dir="ltr"&gt; &lt;span style="font-size: 12pt; font- family: 'Times New Roman',serif; color: #000000; background-color: transparent; font- weight: 400; font-style: normal; font-variant: normal; text-decoration: none; vertical-align: baseline; white-space: pre-wrap;"&gt;Assim, neste ponto a sentença é parcialmente reformada apenas para ajustar o termo inicial da correção monetária para a data deste julgamento, mantendo os juros desde a citação.&lt;/span&gt;&lt;/p&gt;&lt;p style="line-height: 1.7999999999999998; text-align: center; margin-top: 12pt; margin-bottom: 12pt;" dir="ltr"&gt;</w:t>
            </w:r>
          </w:p>
          <w:p>
            <w:pPr>
              <w:pStyle w:val="TableParagraph"/>
              <w:spacing w:line="208" w:lineRule="auto" w:before="0"/>
              <w:ind w:right="39"/>
              <w:rPr>
                <w:sz w:val="20"/>
              </w:rPr>
            </w:pPr>
            <w:r>
              <w:rPr>
                <w:sz w:val="20"/>
              </w:rPr>
              <w:t>&lt;span style="font-size: 12pt; font-family: 'Times New Roman',serif; color: #000000; background-color: transparent; font-weight: 700; font-style: normal; font-variant: normal; text-decoration: none; vertical-align: baseline; white-space: pre- wrap;"&gt;DISPOSITIVO&lt;/span&gt;&lt;/p&gt;&lt;p style="line-height: 1.7999999999999998;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pre-wrap;"&gt;Ante todo o exposto e fundamentado, voto no sentido de&lt;/span&gt; &lt;span style="font-size: 12pt; font-family: &amp;quot;Times New Roman&amp;quot;, serif; color: #000000; background-color: transparent; font- style: normal; font-variant: normal; text-decoration: none; vertical-align: baseline; white- space: pre-wrap;"&gt; &lt;strong&gt;DAR PARCIAL PROVIMENTO&lt;/strong&gt;&lt;/span&gt; &lt;span style="font-size: 12pt; font-family: 'Times New Roman',serif; color: #000000; background- color: transparent; font-weight: 400; font-style: normal; font-variant: normal; text-decoration: none; vertical-align: baseline; white-space: pre-wrap;"&gt;ao Recurso de Apelação, para reformar em parte a sentença, especificamente para: 1) Minorar o valor fixado a título de danos morais para R$ 15.000,00 (quinze mil reais); 2) Determinar que sobre este valor a correção monetária (INPC) incida a partir da data deste acórdão (Súmula 362/STJ), mantendo-se os juros de mora de 1% ao mês desde a citação, nos termos da fundamentação.&lt;/span&gt;&lt;/p&gt;&lt;p style="line-height: 1.7999999999999998; text-indent: 56.692913385826756pt; text-align: justify; margin-top: 12pt; margin-bottom: 12pt;" dir="ltr"&gt;</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60"/>
              <w:rPr>
                <w:sz w:val="20"/>
              </w:rPr>
            </w:pPr>
            <w:r>
              <w:rPr>
                <w:sz w:val="20"/>
              </w:rPr>
              <w:t>&lt;span style="font-size: 12pt; font-family: 'Times New Roman',serif; color: #000000; background-color: transparent; font-weight: 400; font-style: normal; font-variant: normal; text-decoration: none; vertical-align: baseline; white-space: pre-wrap;"&gt;No mais, mantém- se a sentença em seus demais termos.&lt;/span&gt;&lt;/p&gt;&lt;p style="line-height: 1.7999999999999998;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pre-wrap;"&gt;É como voto.&lt;/span&gt;&lt;/p&gt;&lt;p style="line-height: 1.7999999999999998;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 wrap;"&gt;&amp;#160;&lt;/span&gt;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Fixação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NAYANNY BEZERRA DA COSTA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ITALO MARINHO CAVALCANTE - (CE27441-A)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EVANILSON PAIVA LIMA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993"/>
              <w:rPr>
                <w:sz w:val="20"/>
              </w:rPr>
            </w:pPr>
            <w:r>
              <w:rPr>
                <w:sz w:val="20"/>
              </w:rPr>
              <w:t>ANNA KARLA SILVA FERREIRA - (CE30228) ADRIANO JOSE PAZ - (CE49775-A)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 w:pos="2773" w:val="left" w:leader="none"/>
                <w:tab w:pos="4799" w:val="left" w:leader="none"/>
                <w:tab w:pos="6643" w:val="left" w:leader="none"/>
              </w:tabs>
              <w:spacing w:line="208" w:lineRule="auto" w:before="0"/>
              <w:ind w:right="60"/>
              <w:rPr>
                <w:sz w:val="20"/>
              </w:rPr>
            </w:pPr>
            <w:r>
              <w:rPr>
                <w:sz w:val="20"/>
              </w:rPr>
              <w:t>JÚNIOR&lt;/strong&gt;&lt;/p&gt;&lt;p style="text-align: center;"&gt;&amp;#160;&lt;/p&gt;&lt;p&gt; &lt;span style="font- size: small;"&gt;</w:t>
              <w:tab/>
              <w:t>&lt;span style="font-size: medium;"&gt;</w:t>
              <w:tab/>
              <w:t>&lt;span style="font-family:</w:t>
            </w:r>
            <w:r>
              <w:rPr>
                <w:spacing w:val="-16"/>
                <w:sz w:val="20"/>
              </w:rPr>
              <w:t> </w:t>
            </w:r>
            <w:r>
              <w:rPr>
                <w:sz w:val="20"/>
              </w:rPr>
              <w:t>&amp;quot;times new roman&amp;quot;, times;"&gt;</w:t>
              <w:tab/>
              <w:t>&lt;strong&gt;PROCESSO&lt;/strong&gt;:&amp;#160;0638932- 29.2024.8.06.0000 -&amp;#160;AGRAVO DE INSTRUMENTO (202)&lt;/span&gt;</w:t>
              <w:tab/>
              <w:t>&lt;/span&gt;</w:t>
            </w:r>
          </w:p>
          <w:p>
            <w:pPr>
              <w:pStyle w:val="TableParagraph"/>
              <w:tabs>
                <w:tab w:pos="4623" w:val="left" w:leader="none"/>
              </w:tabs>
              <w:spacing w:line="190" w:lineRule="exact" w:before="0"/>
              <w:rPr>
                <w:sz w:val="20"/>
              </w:rPr>
            </w:pPr>
            <w:r>
              <w:rPr>
                <w:sz w:val="20"/>
              </w:rPr>
              <w:t>&lt;/span&gt;&lt;/p&gt;&lt;p&gt;  &lt;span style="font-size: small;"&gt;</w:t>
              <w:tab/>
              <w:t>&lt;span style="font-size: medium;"&gt;</w:t>
            </w:r>
          </w:p>
          <w:p>
            <w:pPr>
              <w:pStyle w:val="TableParagraph"/>
              <w:tabs>
                <w:tab w:pos="972" w:val="left" w:leader="none"/>
                <w:tab w:pos="3007" w:val="left" w:leader="none"/>
                <w:tab w:pos="4332" w:val="left" w:leader="none"/>
                <w:tab w:pos="6519" w:val="left" w:leader="none"/>
              </w:tabs>
              <w:spacing w:line="208" w:lineRule="auto" w:before="8"/>
              <w:ind w:right="51"/>
              <w:rPr>
                <w:sz w:val="20"/>
              </w:rPr>
            </w:pPr>
            <w:r>
              <w:rPr>
                <w:sz w:val="20"/>
              </w:rPr>
              <w:t>&lt;span style="font-family: &amp;quot;times new roman&amp;quot;, times;"&gt;AGRAVANTE: </w:t>
            </w:r>
            <w:r>
              <w:rPr>
                <w:spacing w:val="-3"/>
                <w:sz w:val="20"/>
              </w:rPr>
              <w:t>NAYANNY </w:t>
            </w:r>
            <w:r>
              <w:rPr>
                <w:sz w:val="20"/>
              </w:rPr>
              <w:t>BEZERRA DA COSTA&lt;/span&gt;</w:t>
              <w:tab/>
              <w:t>&lt;/span&gt; &lt;/span&gt;&lt;/p&gt;&lt;p&gt;  &lt;span style="font-size: small;"&gt;</w:t>
              <w:tab/>
              <w:t>&lt;span style="font-size: medium;"&gt;</w:t>
              <w:tab/>
              <w:t>&lt;span style="font-family: &amp;quot;times new roman&amp;quot;, times;"&gt;AGRAVADO: EVANILSON PAIVA LIMA&lt;/span&gt;</w:t>
              <w:tab/>
              <w:t>&lt;/span&gt;</w:t>
            </w:r>
          </w:p>
          <w:p>
            <w:pPr>
              <w:pStyle w:val="TableParagraph"/>
              <w:tabs>
                <w:tab w:pos="4868" w:val="left" w:leader="none"/>
              </w:tabs>
              <w:spacing w:line="190" w:lineRule="exact" w:before="0"/>
              <w:rPr>
                <w:sz w:val="20"/>
              </w:rPr>
            </w:pPr>
            <w:r>
              <w:rPr>
                <w:sz w:val="20"/>
              </w:rPr>
              <w:t>&lt;/span&gt;&lt;/p&gt;&lt;p&gt;  &lt;span style="font-size: medium;"&gt;</w:t>
              <w:tab/>
              <w:t>&lt;span style="font-size: medium;"&gt;</w:t>
            </w:r>
          </w:p>
          <w:p>
            <w:pPr>
              <w:pStyle w:val="TableParagraph"/>
              <w:tabs>
                <w:tab w:pos="6234" w:val="left" w:leader="none"/>
                <w:tab w:pos="7090" w:val="left" w:leader="none"/>
              </w:tabs>
              <w:spacing w:line="200" w:lineRule="exact" w:before="0"/>
              <w:rPr>
                <w:sz w:val="20"/>
              </w:rPr>
            </w:pPr>
            <w:r>
              <w:rPr>
                <w:sz w:val="20"/>
              </w:rPr>
              <w:t>&lt;span style="font-family: &amp;quot;times new roman&amp;quot;, times;"&gt;</w:t>
              <w:tab/>
              <w:t>&lt;br /&gt;</w:t>
              <w:tab/>
              <w:t>&lt;/span&gt;</w:t>
            </w:r>
          </w:p>
          <w:p>
            <w:pPr>
              <w:pStyle w:val="TableParagraph"/>
              <w:tabs>
                <w:tab w:pos="1216" w:val="left" w:leader="none"/>
                <w:tab w:pos="2351" w:val="left" w:leader="none"/>
                <w:tab w:pos="4696" w:val="left" w:leader="none"/>
                <w:tab w:pos="7189" w:val="left" w:leader="none"/>
              </w:tabs>
              <w:spacing w:line="208" w:lineRule="auto" w:before="9"/>
              <w:ind w:right="176"/>
              <w:rPr>
                <w:sz w:val="20"/>
              </w:rPr>
            </w:pPr>
            <w:r>
              <w:rPr>
                <w:sz w:val="20"/>
              </w:rPr>
              <w:t>&lt;/span&gt; &lt;/span&gt;&lt;/p&gt;&lt;p style="line-height: 1.38; margin-left: 0.05pt; margin-right: 7.35pt; text-align: justify; margin-top: 6pt; margin-bottom: 0pt;" dir="ltr"&gt; &lt;span style="font-size: medium;"&gt;</w:t>
              <w:tab/>
              <w:t>&lt;span style="font-family: &amp;quot;times new roman&amp;quot;, times;"&gt;</w:t>
              <w:tab/>
              <w:t>&lt;span style="color: #000000; background-color: transparent; font-weight: 700; font-style: </w:t>
            </w:r>
            <w:r>
              <w:rPr>
                <w:spacing w:val="-3"/>
                <w:sz w:val="20"/>
              </w:rPr>
              <w:t>normal; </w:t>
            </w:r>
            <w:r>
              <w:rPr>
                <w:sz w:val="20"/>
              </w:rPr>
              <w:t>font-variant: small-caps; text-decoration: none; vertical-align: baseline; white-space: pre- wrap;"&gt;Ementa&lt;/span&gt;</w:t>
              <w:tab/>
              <w:t>&lt;span style="color: #000000; background-color: transparent; font-weight: 700; font-style: normal; font-variant: normal; text-decoration: none; vertical- align: baseline; white-space: pre-wrap;"&gt;:&lt;/span&gt;</w:t>
              <w:tab/>
              <w:t>&lt;span style="color: #000000;</w:t>
            </w:r>
          </w:p>
          <w:p>
            <w:pPr>
              <w:pStyle w:val="TableParagraph"/>
              <w:spacing w:line="208" w:lineRule="auto" w:before="0"/>
              <w:ind w:right="31"/>
              <w:rPr>
                <w:sz w:val="20"/>
              </w:rPr>
            </w:pPr>
            <w:r>
              <w:rPr>
                <w:sz w:val="20"/>
              </w:rPr>
              <w:t>background-color: transparent; font-weight: 700; font-style: normal; font-variant: small-caps; text-decoration: none; vertical-align: baseline; white-space: pre-wrap;"&gt;Direito de Família. Agravo de Instrumento em Ação de Reconhecimento e Dissolução de União Estável.</w:t>
            </w:r>
          </w:p>
          <w:p>
            <w:pPr>
              <w:pStyle w:val="TableParagraph"/>
              <w:tabs>
                <w:tab w:pos="5109" w:val="left" w:leader="none"/>
              </w:tabs>
              <w:spacing w:line="208" w:lineRule="auto" w:before="0"/>
              <w:ind w:right="320"/>
              <w:rPr>
                <w:sz w:val="20"/>
              </w:rPr>
            </w:pPr>
            <w:r>
              <w:rPr>
                <w:sz w:val="20"/>
              </w:rPr>
              <w:t>Pedido de alimentos provisórios em favor de ex-companheira. Necessidade não comprovada. Recurso conhecido e desprovido&lt;/span&gt;</w:t>
              <w:tab/>
              <w:t>&lt;span style="color: #000000; background-color: transparent; font-weight: 700; font-style: normal; font-variant: normal; text-decoration: none; vertical-align: baseline; white-space:</w:t>
            </w:r>
            <w:r>
              <w:rPr>
                <w:spacing w:val="-18"/>
                <w:sz w:val="20"/>
              </w:rPr>
              <w:t> </w:t>
            </w:r>
            <w:r>
              <w:rPr>
                <w:sz w:val="20"/>
              </w:rPr>
              <w:t>pre-wrap;"&gt;.&lt;/span&gt;&lt;/span&gt;</w:t>
            </w:r>
          </w:p>
          <w:p>
            <w:pPr>
              <w:pStyle w:val="TableParagraph"/>
              <w:spacing w:line="208" w:lineRule="auto" w:before="0"/>
              <w:ind w:right="119"/>
              <w:rPr>
                <w:sz w:val="20"/>
              </w:rPr>
            </w:pPr>
            <w:r>
              <w:rPr>
                <w:sz w:val="20"/>
              </w:rPr>
              <w:t>&lt;/span&gt;&lt;/p&gt;&lt;p style="line-height: 1.38; margin-left: 0.05pt; margin-right: 7.35pt; text-align: justify; margin-top: 6pt; margin-bottom: 0pt;" dir="ltr"&gt; &lt;span style="font-size: medium;"&gt;</w:t>
            </w:r>
          </w:p>
          <w:p>
            <w:pPr>
              <w:pStyle w:val="TableParagraph"/>
              <w:tabs>
                <w:tab w:pos="6123" w:val="left" w:leader="none"/>
              </w:tabs>
              <w:spacing w:line="208" w:lineRule="auto" w:before="0"/>
              <w:ind w:right="208"/>
              <w:rPr>
                <w:sz w:val="20"/>
              </w:rPr>
            </w:pPr>
            <w:r>
              <w:rPr>
                <w:sz w:val="20"/>
              </w:rPr>
              <w:t>&lt;span style="font-family: &amp;quot;times new roman&amp;quot;, times;"&gt;</w:t>
              <w:tab/>
              <w:t>&lt;span style="color: #000000; background-color: transparent; font-weight: 700; font-style: normal; </w:t>
            </w:r>
            <w:r>
              <w:rPr>
                <w:spacing w:val="-2"/>
                <w:sz w:val="20"/>
              </w:rPr>
              <w:t>font-variant: </w:t>
            </w:r>
            <w:r>
              <w:rPr>
                <w:sz w:val="20"/>
              </w:rPr>
              <w:t>normal; text-decoration: none; vertical-align: baseline; white-space: pre-wrap;"&gt;I&lt;/span&gt;</w:t>
            </w:r>
          </w:p>
          <w:p>
            <w:pPr>
              <w:pStyle w:val="TableParagraph"/>
              <w:tabs>
                <w:tab w:pos="3329" w:val="left" w:leader="none"/>
                <w:tab w:pos="3442" w:val="left" w:leader="none"/>
                <w:tab w:pos="4251" w:val="left" w:leader="none"/>
                <w:tab w:pos="6689" w:val="left" w:leader="none"/>
              </w:tabs>
              <w:spacing w:line="208" w:lineRule="auto" w:before="0"/>
              <w:ind w:right="82"/>
              <w:rPr>
                <w:sz w:val="20"/>
              </w:rPr>
            </w:pPr>
            <w:r>
              <w:rPr>
                <w:sz w:val="20"/>
              </w:rPr>
              <w:t>&lt;span style="color: #000000; background-color: transparent; font-weight: 700; font-style: normal; font-variant: small-caps; text-decoration: none; vertical-align: baseline; white- space: pre-wrap;"&gt;. Caso em Exame&lt;/span&gt;</w:t>
              <w:tab/>
              <w:t>&lt;/span&gt; &lt;/span&gt;&lt;/p&gt;&lt;p style="line-height: 1.38; margin-left: 0.05pt; margin-right: 7.35pt; text-align: justify; margin-top: 6pt; margin- bottom: 0pt;" dir="ltr"&gt; &lt;span style="color: #000000; background-color: transparent; font- weight: 400; font-style: normal; font-variant: normal; text-decoration: none; vertical-align: baseline; white-space: pre-wrap;"&gt;</w:t>
              <w:tab/>
              <w:t>&lt;span style="font-size: medium;"&gt;</w:t>
              <w:tab/>
              <w:t>&lt;span style="font-family: &amp;quot;times new roman&amp;quot;, times;"&gt;1. Agravo de Instrumento contra decisão interlocutória que, nos autos da Ação de Reconhecimento de União Estável c/c Partilha de Bens originária, indeferiu o pedido de alimentos provisórios formulado pela promovente, ora agravante.&lt;/span&gt;</w:t>
              <w:tab/>
              <w:tab/>
              <w:t>&lt;/span&gt; &lt;/span&gt;&lt;/p&gt;&lt;p style="line-height: 1.38; margin-left: 0.05pt; margin-right: 7.35pt; text-align: justify; margin-top: 6pt; margin-bottom: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16" w:val="left" w:leader="none"/>
                <w:tab w:pos="1327" w:val="left" w:leader="none"/>
                <w:tab w:pos="1907" w:val="left" w:leader="none"/>
                <w:tab w:pos="1939" w:val="left" w:leader="none"/>
                <w:tab w:pos="2773" w:val="left" w:leader="none"/>
                <w:tab w:pos="4320" w:val="left" w:leader="none"/>
                <w:tab w:pos="4624" w:val="left" w:leader="none"/>
                <w:tab w:pos="5119" w:val="left" w:leader="none"/>
                <w:tab w:pos="5452" w:val="left" w:leader="none"/>
                <w:tab w:pos="7189" w:val="left" w:leader="none"/>
              </w:tabs>
              <w:spacing w:line="208" w:lineRule="auto" w:before="26"/>
              <w:ind w:right="31"/>
              <w:rPr>
                <w:sz w:val="20"/>
              </w:rPr>
            </w:pPr>
            <w:r>
              <w:rPr>
                <w:sz w:val="20"/>
              </w:rPr>
              <w:t>0pt;" dir="ltr"&gt;  &lt;span style="font-size: medium;"&gt;</w:t>
              <w:tab/>
              <w:t>&lt;span style="font-family: &amp;quot;times new roman&amp;quot;, times;"&gt;</w:t>
              <w:tab/>
              <w:t>&lt;span style="color: #000000; background-color: transparent; font-weight: 700; font-style: normal; font-variant: normal; text-decoration: none; vertical-align: baseline; white-space: pre-wrap;"&gt;I&lt;/span&gt;</w:t>
              <w:tab/>
              <w:t>&lt;span style="color: #000000; background-color: transparent; font-weight: 700; font-style: normal; font-variant: small-caps; text-decoration: none; vertical-align: baseline; white-space: pre-wrap;"&gt;I. Questão em Discussão&lt;/span&gt;</w:t>
              <w:tab/>
              <w:t>&lt;/span&gt; &lt;/span&gt;&lt;/p&gt;&lt;p style="line-height: 1.38; margin-top: 6pt; margin-bottom: 0pt; text-align: justify;" dir="ltr"&gt; &lt;span style="color: #000000; background- color: transparent; font-weight: 400; font-style: normal; font-variant: normal; text-decoration: none; vertical-align: baseline; white-space: pre-wrap;"&gt;</w:t>
              <w:tab/>
              <w:t>&lt;span style="font-size: medium;"&gt;</w:t>
              <w:tab/>
              <w:tab/>
              <w:t>&lt;span style="font-family: &amp;quot;times new roman&amp;quot;, times;"&gt;2. O cerne da controvérsia recursal reside no exame do cabimento de alimentos provisórios em favor da agravante, requestados no valor equivalente a 30% (trinta por cento) dos vencimentos do agravado pelo período de um ano.&lt;/span&gt;</w:t>
              <w:tab/>
              <w:t>&lt;/span&gt; &lt;/span&gt;&lt;/p&gt;&lt;p style="line- height: 1.38; margin-top: 6pt; margin-bottom: 0pt;" dir="ltr"&gt; &lt;span style="font-size: medium;"&gt;</w:t>
              <w:tab/>
              <w:t>&lt;span style="font-family: &amp;quot;times new roman&amp;quot;, times;"&gt;</w:t>
              <w:tab/>
              <w:t>&lt;span style="color: #000000; background-color: transparent; font-weight: 700; font-style: normal; font-variant: normal; text-decoration: none; vertical-align: baseline; white-space: pre- wrap;"&gt;III.&lt;/span&gt;</w:t>
              <w:tab/>
              <w:tab/>
              <w:t>&lt;span style="color: #000000; background-color: transparent; font- weight: 700; font-style: normal; font-variant: small-caps; text-decoration: none; vertical- align: baseline; white-space: pre-wrap;"&gt;Razões de Decidir&lt;/span&gt;&lt;/span&gt;</w:t>
            </w:r>
          </w:p>
          <w:p>
            <w:pPr>
              <w:pStyle w:val="TableParagraph"/>
              <w:tabs>
                <w:tab w:pos="2473" w:val="left" w:leader="none"/>
                <w:tab w:pos="5833" w:val="left" w:leader="none"/>
              </w:tabs>
              <w:spacing w:line="208" w:lineRule="auto" w:before="0"/>
              <w:ind w:right="65"/>
              <w:rPr>
                <w:sz w:val="20"/>
              </w:rPr>
            </w:pPr>
            <w:r>
              <w:rPr>
                <w:sz w:val="20"/>
              </w:rPr>
              <w:t>&lt;/span&gt;&lt;/p&gt;&lt;p style="line-height: 1.38; text-align: justify; margin-top: 6pt; margin-bottom: 0pt;" dir="ltr"&gt; &lt;span style="color: #000000; background-color: transparent; font-weight: 400; font-style: normal; font-variant: normal; text-decoration: none; vertical-align: baseline; white-space: pre-wrap;"&gt;</w:t>
              <w:tab/>
              <w:t>&lt;span style="font-size: medium;"&gt;</w:t>
              <w:tab/>
              <w:t>&lt;span style="font-family: &amp;quot;times new roman&amp;quot;, times;"&gt;3. No caso de alimentos entre ex-cônjuges, a </w:t>
            </w:r>
            <w:r>
              <w:rPr>
                <w:spacing w:val="-4"/>
                <w:sz w:val="20"/>
              </w:rPr>
              <w:t>regra </w:t>
            </w:r>
            <w:r>
              <w:rPr>
                <w:sz w:val="20"/>
              </w:rPr>
              <w:t>é que a prestação material exija efetiva comprovação da necessidade do alimentando e tenha caráter transitório, com termo certo, visando apenas a assegurar ao beneficiário tempo hábil para que reingresse ou se recoloque no mercado de trabalho.&lt;/span&gt;</w:t>
            </w:r>
          </w:p>
          <w:p>
            <w:pPr>
              <w:pStyle w:val="TableParagraph"/>
              <w:tabs>
                <w:tab w:pos="1529" w:val="left" w:leader="none"/>
                <w:tab w:pos="3329" w:val="left" w:leader="none"/>
                <w:tab w:pos="4562" w:val="left" w:leader="none"/>
                <w:tab w:pos="6689" w:val="left" w:leader="none"/>
              </w:tabs>
              <w:spacing w:line="208" w:lineRule="auto" w:before="0"/>
              <w:ind w:right="25"/>
              <w:rPr>
                <w:sz w:val="20"/>
              </w:rPr>
            </w:pPr>
            <w:r>
              <w:rPr>
                <w:sz w:val="20"/>
              </w:rPr>
              <w:t>&lt;/span&gt; &lt;/span&gt;&lt;/p&gt;&lt;p style="line-height: 1.38; text-align: justify; margin-top: 6pt; margin- bottom: 0pt;" dir="ltr"&gt; &lt;span style="color: #000000; background-color: transparent; font- weight: 400; font-style: normal; font-variant: normal; text-decoration: none; vertical-align: baseline; white-space: pre-wrap;"&gt;</w:t>
              <w:tab/>
              <w:t>&lt;span style="font-size: medium;"&gt;</w:t>
              <w:tab/>
              <w:t>&lt;span style="font-family: &amp;quot;times new roman&amp;quot;, times;"&gt;4. A agravante não comprova o pressuposto necessário para o deferimento dos alimentos provisórios, qual seja, a sua situação de dependência econômica na constância da união, visto que essa auferia renda e, inclusive, contribuia para as despesas do lar, conforme provas existentes nos autos.&lt;/span&gt;</w:t>
              <w:tab/>
              <w:t>&lt;/span&gt; &lt;/span&gt;&lt;/p&gt;&lt;p style="line-height: 1.38; text-align: justify; </w:t>
            </w:r>
            <w:r>
              <w:rPr>
                <w:spacing w:val="-3"/>
                <w:sz w:val="20"/>
              </w:rPr>
              <w:t>margin- </w:t>
            </w:r>
            <w:r>
              <w:rPr>
                <w:sz w:val="20"/>
              </w:rPr>
              <w:t>top: 6pt; margin-bottom: 0pt;" dir="ltr"&gt; &lt;span style="color: #000000; background-color: transparent; font-weight: 400; font-style: normal; font-variant: normal; text-decoration: none; vertical-align: baseline; white-space: pre-wrap;"&gt;</w:t>
              <w:tab/>
              <w:t>&lt;span style="font-size: medium;"&gt;</w:t>
            </w:r>
          </w:p>
          <w:p>
            <w:pPr>
              <w:pStyle w:val="TableParagraph"/>
              <w:spacing w:line="208" w:lineRule="auto" w:before="0"/>
              <w:ind w:right="812"/>
              <w:rPr>
                <w:sz w:val="20"/>
              </w:rPr>
            </w:pPr>
            <w:r>
              <w:rPr>
                <w:sz w:val="20"/>
              </w:rPr>
              <w:t>&lt;span style="font-family: &amp;quot;times new roman&amp;quot;, times;"&gt;5. Ainda não há elementos suficientes a evidenciar a necessidade da percepção da verba.&lt;/span&gt;</w:t>
            </w:r>
          </w:p>
          <w:p>
            <w:pPr>
              <w:pStyle w:val="TableParagraph"/>
              <w:tabs>
                <w:tab w:pos="1216" w:val="left" w:leader="none"/>
                <w:tab w:pos="1961" w:val="left" w:leader="none"/>
                <w:tab w:pos="4562" w:val="left" w:leader="none"/>
                <w:tab w:pos="7189" w:val="left" w:leader="none"/>
              </w:tabs>
              <w:spacing w:line="208" w:lineRule="auto" w:before="0"/>
              <w:ind w:right="42"/>
              <w:rPr>
                <w:sz w:val="20"/>
              </w:rPr>
            </w:pPr>
            <w:r>
              <w:rPr>
                <w:sz w:val="20"/>
              </w:rPr>
              <w:t>&lt;/span&gt; &lt;/span&gt;&lt;/p&gt;&lt;p style="line-height: 1.38; margin-left: 0.05pt; margin-right: 7.35pt; text-align: justify; margin-top: 6pt; margin-bottom: 0pt;" dir="ltr"&gt; &lt;span style="font-size: medium;"&gt;</w:t>
              <w:tab/>
              <w:t>&lt;span style="font-family: &amp;quot;times new roman&amp;quot;, times;"&gt;</w:t>
              <w:tab/>
              <w:t>&lt;span style="color: #000000; background-color: transparent; font-weight: 700; font-style: normal; font-variant: normal; text-decoration: none; vertical-align: baseline; white-space: pre- wrap;"&gt;IV.&lt;/span&gt;</w:t>
              <w:tab/>
              <w:t>&lt;span style="color: #000000; background-color: transparent; font- weight: 700; font-style: normal; font-variant: small-caps; text-decoration: none; vertical- align: baseline; white-space: pre-wrap;"&gt;Dispositivo&lt;/span&gt;&lt;/span&gt; &lt;/span&gt;&lt;/p&gt;&lt;p style="line-height: 1.38; margin-left: 0.05pt; margin-right: 7.35pt; text-align: justify; margin- top: 6pt; margin-bottom: 0pt;"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medium;"&gt;</w:t>
            </w:r>
          </w:p>
          <w:p>
            <w:pPr>
              <w:pStyle w:val="TableParagraph"/>
              <w:tabs>
                <w:tab w:pos="972" w:val="left" w:leader="none"/>
                <w:tab w:pos="2019" w:val="left" w:leader="none"/>
                <w:tab w:pos="2916" w:val="left" w:leader="none"/>
                <w:tab w:pos="4740" w:val="left" w:leader="none"/>
                <w:tab w:pos="5707" w:val="left" w:leader="none"/>
                <w:tab w:pos="6387" w:val="left" w:leader="none"/>
                <w:tab w:pos="6763" w:val="left" w:leader="none"/>
              </w:tabs>
              <w:spacing w:line="208" w:lineRule="auto" w:before="0"/>
              <w:ind w:right="159"/>
              <w:rPr>
                <w:sz w:val="20"/>
              </w:rPr>
            </w:pPr>
            <w:r>
              <w:rPr>
                <w:sz w:val="20"/>
              </w:rPr>
              <w:t>&lt;span style="font-family: &amp;quot;times new roman&amp;quot;, times;"&gt;6. Recurso conhecido e desprovido.&lt;/span&gt;</w:t>
              <w:tab/>
              <w:t>&lt;/span&gt; &lt;/span&gt;&lt;/p&gt;&lt;p align="center"&gt; &lt;span style="font-size: small;"&gt;</w:t>
              <w:tab/>
              <w:t>&lt;strong id="docs-internal-guid-edcb4c63-7fff-7b6a-bf85-f3f6cd1a8a4d" style="font-weight: normal;"&gt;</w:t>
              <w:tab/>
              <w:t>&lt;span style="font-size: medium;"&gt;</w:t>
              <w:tab/>
              <w:t>&lt;span </w:t>
            </w:r>
            <w:r>
              <w:rPr>
                <w:spacing w:val="-2"/>
                <w:sz w:val="20"/>
              </w:rPr>
              <w:t>style="font- </w:t>
            </w:r>
            <w:r>
              <w:rPr>
                <w:sz w:val="20"/>
              </w:rPr>
              <w:t>family: &amp;quot;times new roman&amp;quot;, times;"&gt;</w:t>
              <w:tab/>
              <w:t>&lt;br /&gt;</w:t>
              <w:tab/>
              <w:t>&lt;/span&gt;</w:t>
              <w:tab/>
              <w:t>&lt;/span&gt;</w:t>
            </w:r>
          </w:p>
          <w:p>
            <w:pPr>
              <w:pStyle w:val="TableParagraph"/>
              <w:tabs>
                <w:tab w:pos="5406" w:val="left" w:leader="none"/>
                <w:tab w:pos="7481" w:val="left" w:leader="none"/>
              </w:tabs>
              <w:spacing w:line="208" w:lineRule="auto" w:before="0"/>
              <w:ind w:right="32"/>
              <w:rPr>
                <w:sz w:val="20"/>
              </w:rPr>
            </w:pPr>
            <w:r>
              <w:rPr>
                <w:sz w:val="20"/>
              </w:rPr>
              <w:t>&lt;/strong&gt; &lt;/span&gt;&lt;/p&gt;&lt;p style="line-height: 1.7999999999999998; text-align: justify; margin-top: 6pt; margin-bottom: 0pt;" dir="ltr"&gt;  &lt;span style="font-size: medium;"&gt;</w:t>
              <w:tab/>
              <w:t>&lt;span style="font-family: &amp;quot;times new roman&amp;quot;, times;"&gt;</w:t>
              <w:tab/>
              <w:t>&lt;span style="color: #000000; background-color: transparent; font-weight: 700; font-style: normal; font-variant: normal; text-decoration: none; vertical-align: baseline; white-space:</w:t>
            </w:r>
            <w:r>
              <w:rPr>
                <w:spacing w:val="-17"/>
                <w:sz w:val="20"/>
              </w:rPr>
              <w:t> </w:t>
            </w:r>
            <w:r>
              <w:rPr>
                <w:sz w:val="20"/>
              </w:rPr>
              <w:t>pre-wrap;"&gt;ACÓRDÃO:&lt;/span&gt;</w:t>
            </w:r>
          </w:p>
          <w:p>
            <w:pPr>
              <w:pStyle w:val="TableParagraph"/>
              <w:tabs>
                <w:tab w:pos="7344" w:val="left" w:leader="none"/>
              </w:tabs>
              <w:spacing w:line="208" w:lineRule="auto" w:before="0"/>
              <w:ind w:right="154"/>
              <w:rPr>
                <w:sz w:val="20"/>
              </w:rPr>
            </w:pPr>
            <w:r>
              <w:rPr>
                <w:sz w:val="20"/>
              </w:rPr>
              <w:t>&lt;span style="color: #000000; background-color: transparent; font-weight: 400; font-style: normal; font-variant: normal; text-decoration: none; vertical-align: baseline; white-space: pre-wrap;"&gt;Vistos, relatados e discutidos esses autos, acorda a Quinta Câmara de </w:t>
            </w:r>
            <w:r>
              <w:rPr>
                <w:spacing w:val="-3"/>
                <w:sz w:val="20"/>
              </w:rPr>
              <w:t>Direito </w:t>
            </w:r>
            <w:r>
              <w:rPr>
                <w:sz w:val="20"/>
              </w:rPr>
              <w:t>Privado do Egrégio Tribunal de Justiça do Ceará, por unanimidade, em&lt;/span&gt;</w:t>
              <w:tab/>
              <w:t>&lt;span style="color: #000000; background-color: transparent; font-weight: 700; font-style: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39" w:val="left" w:leader="none"/>
                <w:tab w:pos="2385" w:val="left" w:leader="none"/>
                <w:tab w:pos="2861" w:val="left" w:leader="none"/>
                <w:tab w:pos="5299" w:val="left" w:leader="none"/>
                <w:tab w:pos="5452" w:val="left" w:leader="none"/>
              </w:tabs>
              <w:spacing w:line="208" w:lineRule="auto" w:before="26"/>
              <w:ind w:right="20"/>
              <w:rPr>
                <w:sz w:val="20"/>
              </w:rPr>
            </w:pPr>
            <w:r>
              <w:rPr>
                <w:sz w:val="20"/>
              </w:rPr>
              <w:t>font-variant: normal; text-decoration: none; vertical-align: baseline; white-space: pre- wrap;"&gt;CONHECER&lt;/span&gt;</w:t>
              <w:tab/>
              <w:t>&lt;span style="color: #000000; background-color: transparent; font-weight: 400; font-style: normal; font-variant: normal; text-decoration: none; vertical-align: baseline; white-space: pre-wrap;"&gt;e&lt;/span&gt;</w:t>
              <w:tab/>
              <w:tab/>
              <w:t>&lt;span style="color: #000000; background-color: transparent; font-weight: 700; font-style: normal; font-variant: normal; text-decoration: none; vertical-align: baseline; white-space: pre-wrap;"&gt;NEGAR PROVIMENTO&lt;/span&gt;</w:t>
              <w:tab/>
              <w:t>&lt;span style="color: #000000; background-color: transparent; font-weight: 400; font-style: normal; font-variant: normal; text-decoration: none; vertical- align: baseline; white-space: pre-wrap;"&gt;ao presente recurso de Agravo de Instrumento, em conformidade com o voto do Relator.&lt;/span&gt;&lt;/span&gt; &lt;/span&gt;&lt;/p&gt;&lt;p style="line- height: 1.7999999999999998; text-align: justify; margin-top: 6pt; margin-bottom: 0pt;"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medium;"&gt;</w:t>
              <w:tab/>
              <w:t>&lt;span style="font-family: &amp;quot;times new roman&amp;quot;, times;"&gt;Fortaleza, data da assinatura digital.&lt;/span&gt;</w:t>
            </w:r>
          </w:p>
          <w:p>
            <w:pPr>
              <w:pStyle w:val="TableParagraph"/>
              <w:tabs>
                <w:tab w:pos="2916" w:val="left" w:leader="none"/>
                <w:tab w:pos="4740" w:val="left" w:leader="none"/>
                <w:tab w:pos="5707" w:val="left" w:leader="none"/>
                <w:tab w:pos="6387" w:val="left" w:leader="none"/>
                <w:tab w:pos="6750" w:val="left" w:leader="none"/>
              </w:tabs>
              <w:spacing w:line="208" w:lineRule="auto" w:before="0"/>
              <w:ind w:right="159"/>
              <w:rPr>
                <w:sz w:val="20"/>
              </w:rPr>
            </w:pPr>
            <w:r>
              <w:rPr>
                <w:sz w:val="20"/>
              </w:rPr>
              <w:t>&lt;/span&gt;  &lt;/span&gt;&lt;/p&gt;&lt;p align="center"&gt;  &lt;span style="font-size: small;"&gt;</w:t>
              <w:tab/>
              <w:t>&lt;strong style="font-weight: normal;"&gt;</w:t>
              <w:tab/>
              <w:t>&lt;span style="font-size: medium;"&gt;</w:t>
              <w:tab/>
              <w:t>&lt;span </w:t>
            </w:r>
            <w:r>
              <w:rPr>
                <w:spacing w:val="-2"/>
                <w:sz w:val="20"/>
              </w:rPr>
              <w:t>style="font- </w:t>
            </w:r>
            <w:r>
              <w:rPr>
                <w:sz w:val="20"/>
              </w:rPr>
              <w:t>family: &amp;quot;times new roman&amp;quot;, times;"&gt;</w:t>
              <w:tab/>
              <w:t>&lt;br /&gt;</w:t>
              <w:tab/>
              <w:t>&lt;/span&gt;</w:t>
              <w:tab/>
              <w:t>&lt;/span&gt;</w:t>
            </w:r>
          </w:p>
          <w:p>
            <w:pPr>
              <w:pStyle w:val="TableParagraph"/>
              <w:tabs>
                <w:tab w:pos="1327" w:val="left" w:leader="none"/>
                <w:tab w:pos="3641" w:val="left" w:leader="none"/>
                <w:tab w:pos="5119" w:val="left" w:leader="none"/>
              </w:tabs>
              <w:spacing w:line="208" w:lineRule="auto" w:before="0"/>
              <w:ind w:right="53"/>
              <w:rPr>
                <w:sz w:val="20"/>
              </w:rPr>
            </w:pPr>
            <w:r>
              <w:rPr>
                <w:sz w:val="20"/>
              </w:rPr>
              <w:t>&lt;/strong&gt; &lt;/span&gt;&lt;/p&gt;&lt;p style="line-height: 1.7999999999999998; text-align: center; margin-top: 6pt; margin-bottom: 0pt;" dir="ltr"&gt; &lt;span style="color: #000000; background- color: transparent; font-weight: 700; font-style: normal; font-variant: normal; text-decoration: none; vertical-align: baseline; white-space: pre-wrap;"&gt;</w:t>
              <w:tab/>
              <w:t>&lt;span style="font-size: medium;"&gt;</w:t>
              <w:tab/>
              <w:t>&lt;span style="font-family: &amp;quot;times new roman&amp;quot;, times;"&gt;MARIA REGINA OLIVEIRA CÂMARA&lt;/span&gt;</w:t>
              <w:tab/>
              <w:t>&lt;/span&gt; &lt;/span&gt;&lt;/p&gt;&lt;p style="line-height: 1.7999999999999998; text-align: center; margin-top: 6pt; margin-bottom: 0pt;" dir="ltr"&gt;</w:t>
            </w:r>
          </w:p>
          <w:p>
            <w:pPr>
              <w:pStyle w:val="TableParagraph"/>
              <w:tabs>
                <w:tab w:pos="1294" w:val="left" w:leader="none"/>
                <w:tab w:pos="4654" w:val="left" w:leader="none"/>
                <w:tab w:pos="6053" w:val="left" w:leader="none"/>
              </w:tabs>
              <w:spacing w:line="208" w:lineRule="auto" w:before="0"/>
              <w:ind w:right="203"/>
              <w:rPr>
                <w:sz w:val="20"/>
              </w:rPr>
            </w:pPr>
            <w:r>
              <w:rPr>
                <w:sz w:val="20"/>
              </w:rPr>
              <w:t>&lt;span style="color: #000000; background-color: transparent; font-weight: 400; font-style: normal; font-variant: normal; text-decoration: none; vertical-align: baseline; white-space: pre-wrap;"&gt;</w:t>
              <w:tab/>
              <w:t>&lt;span style="font-size: medium;"&gt;</w:t>
              <w:tab/>
              <w:t>&lt;span style="font-family: &amp;quot;times new roman&amp;quot;, times;"&gt;Presidente do Órgão Julgador&lt;/span&gt;</w:t>
              <w:tab/>
              <w:t>&lt;/span&gt;</w:t>
            </w:r>
          </w:p>
          <w:p>
            <w:pPr>
              <w:pStyle w:val="TableParagraph"/>
              <w:tabs>
                <w:tab w:pos="1917" w:val="left" w:leader="none"/>
                <w:tab w:pos="4107" w:val="left" w:leader="none"/>
                <w:tab w:pos="5074" w:val="left" w:leader="none"/>
                <w:tab w:pos="5388" w:val="left" w:leader="none"/>
                <w:tab w:pos="5916" w:val="left" w:leader="none"/>
                <w:tab w:pos="6130" w:val="left" w:leader="none"/>
                <w:tab w:pos="7075" w:val="left" w:leader="none"/>
              </w:tabs>
              <w:spacing w:line="208" w:lineRule="auto" w:before="0"/>
              <w:ind w:right="232"/>
              <w:rPr>
                <w:sz w:val="20"/>
              </w:rPr>
            </w:pPr>
            <w:r>
              <w:rPr>
                <w:sz w:val="20"/>
              </w:rPr>
              <w:t>&lt;/span&gt;&lt;/p&gt;&lt;p align="center"&gt;  &lt;span style="font-size: small;"&gt;</w:t>
              <w:tab/>
              <w:t>&lt;strong style="font- weight: normal;"&gt;</w:t>
              <w:tab/>
              <w:t>&lt;span style="font-size: medium;"&gt;</w:t>
              <w:tab/>
              <w:tab/>
              <w:t>&lt;span style="font-family: &amp;quot;times new roman&amp;quot;, times;"&gt;</w:t>
              <w:tab/>
              <w:t>&lt;br /&gt;</w:t>
              <w:tab/>
              <w:t>&lt;/span&gt;</w:t>
              <w:tab/>
              <w:tab/>
              <w:t>&lt;/span&gt;</w:t>
              <w:tab/>
            </w:r>
            <w:r>
              <w:rPr>
                <w:spacing w:val="-1"/>
                <w:sz w:val="20"/>
              </w:rPr>
              <w:t>&lt;/strong&gt;</w:t>
            </w:r>
          </w:p>
          <w:p>
            <w:pPr>
              <w:pStyle w:val="TableParagraph"/>
              <w:tabs>
                <w:tab w:pos="4562" w:val="left" w:leader="none"/>
              </w:tabs>
              <w:spacing w:line="208" w:lineRule="auto" w:before="0"/>
              <w:ind w:right="25"/>
              <w:rPr>
                <w:sz w:val="20"/>
              </w:rPr>
            </w:pPr>
            <w:r>
              <w:rPr>
                <w:sz w:val="20"/>
              </w:rPr>
              <w:t>&lt;/span&gt;&lt;/p&gt;&lt;p style="line-height: 1.7999999999999998; text-align: center; margin-top: </w:t>
            </w:r>
            <w:r>
              <w:rPr>
                <w:spacing w:val="-5"/>
                <w:sz w:val="20"/>
              </w:rPr>
              <w:t>6pt; </w:t>
            </w:r>
            <w:r>
              <w:rPr>
                <w:sz w:val="20"/>
              </w:rPr>
              <w:t>margin-bottom: 0pt;" dir="ltr"&gt;  &lt;span style="color: #000000; background-color: transparent; font-weight: 700; font-style: normal; font-variant: normal; text-decoration: none; vertical-align: baseline; white-space: pre-wrap;"&gt;</w:t>
              <w:tab/>
              <w:t>&lt;span style="font-size: medium;"&gt;</w:t>
            </w:r>
          </w:p>
          <w:p>
            <w:pPr>
              <w:pStyle w:val="TableParagraph"/>
              <w:tabs>
                <w:tab w:pos="3029" w:val="left" w:leader="none"/>
              </w:tabs>
              <w:spacing w:line="208" w:lineRule="auto" w:before="0"/>
              <w:ind w:right="318"/>
              <w:rPr>
                <w:sz w:val="20"/>
              </w:rPr>
            </w:pPr>
            <w:r>
              <w:rPr>
                <w:sz w:val="20"/>
              </w:rPr>
              <w:t>&lt;span style="font-family: &amp;quot;times new roman&amp;quot;, times;"&gt;FRANCISCO </w:t>
            </w:r>
            <w:r>
              <w:rPr>
                <w:spacing w:val="-3"/>
                <w:sz w:val="20"/>
              </w:rPr>
              <w:t>LUCÍDIO </w:t>
            </w:r>
            <w:r>
              <w:rPr>
                <w:sz w:val="20"/>
              </w:rPr>
              <w:t>DE QUEIROZ JÚNIOR&lt;/span&gt;</w:t>
              <w:tab/>
              <w:t>&lt;/span&gt; &lt;/span&gt;&lt;/p&gt;&lt;p style="line-height: 1.7999999999999998; text-align: center; margin-top: 6pt; margin-bottom: 0pt;" dir="ltr"&gt;</w:t>
            </w:r>
          </w:p>
          <w:p>
            <w:pPr>
              <w:pStyle w:val="TableParagraph"/>
              <w:tabs>
                <w:tab w:pos="1294" w:val="left" w:leader="none"/>
                <w:tab w:pos="4654" w:val="left" w:leader="none"/>
                <w:tab w:pos="6153" w:val="left" w:leader="none"/>
              </w:tabs>
              <w:spacing w:line="208" w:lineRule="auto" w:before="0"/>
              <w:ind w:right="203"/>
              <w:rPr>
                <w:sz w:val="20"/>
              </w:rPr>
            </w:pPr>
            <w:r>
              <w:rPr>
                <w:sz w:val="20"/>
              </w:rPr>
              <w:t>&lt;span style="color: #000000; background-color: transparent; font-weight: 400; font-style: normal; font-variant: normal; text-decoration: none; vertical-align: baseline; white-space: pre-wrap;"&gt;</w:t>
              <w:tab/>
              <w:t>&lt;span style="font-size: medium;"&gt;</w:t>
              <w:tab/>
              <w:t>&lt;span style="font-family: &amp;quot;times new roman&amp;quot;, times;"&gt;&amp;#160;Desembargador Relator&lt;/span&gt;</w:t>
              <w:tab/>
              <w:t>&lt;/span&gt;</w:t>
            </w:r>
          </w:p>
          <w:p>
            <w:pPr>
              <w:pStyle w:val="TableParagraph"/>
              <w:tabs>
                <w:tab w:pos="1917" w:val="left" w:leader="none"/>
                <w:tab w:pos="4107" w:val="left" w:leader="none"/>
                <w:tab w:pos="5185" w:val="left" w:leader="none"/>
                <w:tab w:pos="5388" w:val="left" w:leader="none"/>
                <w:tab w:pos="5916" w:val="left" w:leader="none"/>
                <w:tab w:pos="6152" w:val="left" w:leader="none"/>
                <w:tab w:pos="7208" w:val="left" w:leader="none"/>
              </w:tabs>
              <w:spacing w:line="208" w:lineRule="auto" w:before="0"/>
              <w:ind w:right="221"/>
              <w:rPr>
                <w:sz w:val="20"/>
              </w:rPr>
            </w:pPr>
            <w:r>
              <w:rPr>
                <w:sz w:val="20"/>
              </w:rPr>
              <w:t>&lt;/span&gt;&lt;/p&gt;&lt;p align="center"&gt;  &lt;span style="font-size: small;"&gt;</w:t>
              <w:tab/>
              <w:t>&lt;strong style="font- weight: normal;"&gt;</w:t>
              <w:tab/>
              <w:t>&lt;span style="font-size: medium;"&gt;</w:t>
              <w:tab/>
              <w:tab/>
              <w:t>&lt;span style="font-family: &amp;quot;times new roman&amp;quot;, times;"&gt;</w:t>
              <w:tab/>
              <w:t>&lt;br /&gt;</w:t>
              <w:tab/>
              <w:t>&lt;br /&gt;</w:t>
              <w:tab/>
              <w:tab/>
              <w:t>&lt;/span&gt;</w:t>
              <w:tab/>
            </w:r>
            <w:r>
              <w:rPr>
                <w:spacing w:val="-3"/>
                <w:sz w:val="20"/>
              </w:rPr>
              <w:t>&lt;/span&gt;</w:t>
            </w:r>
          </w:p>
          <w:p>
            <w:pPr>
              <w:pStyle w:val="TableParagraph"/>
              <w:tabs>
                <w:tab w:pos="939" w:val="left" w:leader="none"/>
                <w:tab w:pos="4118" w:val="left" w:leader="none"/>
                <w:tab w:pos="4299" w:val="left" w:leader="none"/>
              </w:tabs>
              <w:spacing w:line="208" w:lineRule="auto" w:before="0"/>
              <w:ind w:right="46"/>
              <w:rPr>
                <w:sz w:val="20"/>
              </w:rPr>
            </w:pPr>
            <w:r>
              <w:rPr>
                <w:sz w:val="20"/>
              </w:rPr>
              <w:t>&lt;/strong&gt; &lt;/span&gt;&lt;/p&gt;&lt;h1 style="line-height: 1.7999999999999998; margin-left: 0.1pt; margin-right: 7.5pt; text-align: center; margin-top: 6pt; margin-bottom: 0pt;" dir="ltr"&gt; </w:t>
            </w:r>
            <w:r>
              <w:rPr>
                <w:spacing w:val="-4"/>
                <w:sz w:val="20"/>
              </w:rPr>
              <w:t>&lt;span </w:t>
            </w:r>
            <w:r>
              <w:rPr>
                <w:sz w:val="20"/>
              </w:rPr>
              <w:t>style="color: #000000; background-color: transparent; font-weight: 700; font-style: normal; font-variant: normal; text-decoration: none; vertical-align: baseline; white-space: pre- wrap;"&gt;</w:t>
              <w:tab/>
              <w:t>&lt;span style="font-size: medium;"&gt;</w:t>
              <w:tab/>
              <w:tab/>
              <w:t>&lt;span style="font-family: &amp;quot;times new roman&amp;quot;, times;"&gt;RELATÓRIO&lt;/span&gt;</w:t>
              <w:tab/>
              <w:t>&lt;/span&gt; &lt;/span&gt;&lt;/h1&gt;&lt;p align="center"&gt;</w:t>
            </w:r>
          </w:p>
          <w:p>
            <w:pPr>
              <w:pStyle w:val="TableParagraph"/>
              <w:tabs>
                <w:tab w:pos="1316" w:val="left" w:leader="none"/>
                <w:tab w:pos="2283" w:val="left" w:leader="none"/>
                <w:tab w:pos="2905" w:val="left" w:leader="none"/>
                <w:tab w:pos="3044" w:val="left" w:leader="none"/>
                <w:tab w:pos="3340" w:val="left" w:leader="none"/>
                <w:tab w:pos="4285" w:val="left" w:leader="none"/>
                <w:tab w:pos="5406" w:val="left" w:leader="none"/>
                <w:tab w:pos="6649" w:val="left" w:leader="none"/>
                <w:tab w:pos="7481" w:val="left" w:leader="none"/>
              </w:tabs>
              <w:spacing w:line="208" w:lineRule="auto" w:before="0"/>
              <w:ind w:right="76"/>
              <w:rPr>
                <w:sz w:val="20"/>
              </w:rPr>
            </w:pPr>
            <w:r>
              <w:rPr>
                <w:sz w:val="20"/>
              </w:rPr>
              <w:t>&lt;span style="font-size: small;"&gt;</w:t>
              <w:tab/>
              <w:tab/>
              <w:t>&lt;strong style="font-weight: normal;"&gt;</w:t>
              <w:tab/>
              <w:t>&lt;span style="font-size: medium;"&gt;</w:t>
              <w:tab/>
              <w:t>&lt;span style="font-family: &amp;quot;times new roman&amp;quot;, times;"&gt;</w:t>
              <w:tab/>
              <w:t>&lt;br /&gt;</w:t>
              <w:tab/>
              <w:t>&lt;/span&gt;</w:t>
              <w:tab/>
              <w:tab/>
              <w:t>&lt;/span&gt;</w:t>
              <w:tab/>
              <w:t>&lt;/strong&gt; &lt;/span&gt;&lt;/p&gt;&lt;p style="line- height: 1.9636363636363636; text-indent: 56.692913385826756pt; text-align: justify; margin-top: 6pt; margin-bottom: 6pt;" dir="ltr"&gt;  &lt;span style="font-size: medium;"&gt;</w:t>
              <w:tab/>
              <w:t>&lt;span style="font-family: &amp;quot;times new roman&amp;quot;, times;"&gt;</w:t>
              <w:tab/>
              <w:t>&lt;span style="color: #000000; background-color: transparent; font-weight: 400; font-style: normal; font-variant: normal; text-decoration: none; vertical-align: baseline; white-space: pre-wrap;"&gt;Trata-se</w:t>
            </w:r>
            <w:r>
              <w:rPr>
                <w:spacing w:val="-17"/>
                <w:sz w:val="20"/>
              </w:rPr>
              <w:t> </w:t>
            </w:r>
            <w:r>
              <w:rPr>
                <w:sz w:val="20"/>
              </w:rPr>
              <w:t>de&lt;/span&gt;</w:t>
            </w:r>
          </w:p>
          <w:p>
            <w:pPr>
              <w:pStyle w:val="TableParagraph"/>
              <w:tabs>
                <w:tab w:pos="4063" w:val="left" w:leader="none"/>
                <w:tab w:pos="4096" w:val="left" w:leader="none"/>
                <w:tab w:pos="7120" w:val="left" w:leader="none"/>
              </w:tabs>
              <w:spacing w:line="208" w:lineRule="auto" w:before="0"/>
              <w:ind w:right="53"/>
              <w:rPr>
                <w:sz w:val="20"/>
              </w:rPr>
            </w:pPr>
            <w:r>
              <w:rPr>
                <w:sz w:val="20"/>
              </w:rPr>
              <w:t>&lt;span style="color: #000000; background-color: transparent; font-weight: 700; font-style: normal; font-variant: normal; text-decoration: none; vertical-align: baseline; white-space: pre-wrap;"&gt;Agravo de Instrumento&lt;/span&gt;</w:t>
              <w:tab/>
              <w:tab/>
              <w:t>&lt;span style="color: #000000; background- color: transparent; font-weight: 400; font-style: normal; font-variant: normal; text-decoration: none; vertical-align: baseline; white-space: pre-wrap;"&gt;interposto por&lt;/span&gt;</w:t>
              <w:tab/>
              <w:t>&lt;span style="color: #000000; background-color: transparent; font-weight: 700; font-style: normal; font-variant: normal; text-decoration: none; vertical-align: baseline; white-space: pre- wrap;"&gt;Nayanny Bezerra da Costa&lt;/span&gt;</w:t>
              <w:tab/>
              <w:t>&lt;span style="color: #000000; background- color: transparent; font-weight: 400; font-style: normal; font-variant: normal; text-decoration: none; vertical-align: baseline; white-space: pre-wrap;"&gt;, contra decisão interlocutória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63" w:val="left" w:leader="none"/>
                <w:tab w:pos="3720" w:val="left" w:leader="none"/>
              </w:tabs>
              <w:spacing w:line="208" w:lineRule="auto" w:before="26"/>
              <w:ind w:right="42"/>
              <w:rPr>
                <w:sz w:val="20"/>
              </w:rPr>
            </w:pPr>
            <w:r>
              <w:rPr>
                <w:sz w:val="20"/>
              </w:rPr>
              <w:t>proferida pelo Juízo da 10ª Vara de Família da Comarca de Fortaleza, nos autos da&lt;/span&gt;</w:t>
              <w:tab/>
              <w:t>&lt;span style="color: #000000; background-color: transparent; font-weight: 700; font-style: normal; font-variant: normal; text-decoration: none; vertical-align: baseline; white-space: pre-wrap;"&gt;Ação de Reconhecimento de União Estável c/c Partilha de Bens, n. 0243175-78.2024.8.06.0001&lt;/span&gt;</w:t>
              <w:tab/>
              <w:t>&lt;span style="color: #000000; background-color: transparent; font-weight: 400; font-style: normal; font-variant: normal; text-decoration: </w:t>
            </w:r>
            <w:r>
              <w:rPr>
                <w:spacing w:val="-4"/>
                <w:sz w:val="20"/>
              </w:rPr>
              <w:t>none; </w:t>
            </w:r>
            <w:r>
              <w:rPr>
                <w:sz w:val="20"/>
              </w:rPr>
              <w:t>vertical-align: baseline; white-space: pre-wrap;"&gt;, proposta pela agravante, em desfavor de&lt;/span&gt;</w:t>
              <w:tab/>
              <w:t>&lt;span style="color: #000000; background-color: transparent; font-weight: 700; font-style: normal; font-variant: normal; text-decoration: none; vertical-align: baseline; white-space: pre-wrap;"&gt;Evanilson Paiva Lima.&lt;/span&gt;&lt;/span&gt; &lt;/span&gt;&lt;/p&gt;&lt;p</w:t>
            </w:r>
          </w:p>
          <w:p>
            <w:pPr>
              <w:pStyle w:val="TableParagraph"/>
              <w:tabs>
                <w:tab w:pos="1974" w:val="left" w:leader="none"/>
                <w:tab w:pos="2794" w:val="left" w:leader="none"/>
                <w:tab w:pos="6553" w:val="left" w:leader="none"/>
              </w:tabs>
              <w:spacing w:line="208" w:lineRule="auto" w:before="0"/>
              <w:ind w:right="142"/>
              <w:rPr>
                <w:sz w:val="20"/>
              </w:rPr>
            </w:pPr>
            <w:r>
              <w:rPr>
                <w:sz w:val="20"/>
              </w:rPr>
              <w:t>style="line-height: 1.9636363636363636; text-indent: 56.692913385826756pt; text-align: justify; margin-top: 6pt; margin-bottom: 6pt;" dir="ltr"&gt; &lt;span style="color: #000000; background-color: transparent; font-weight: 400; font-style: normal; font-variant: normal; text-decoration: none; vertical-align: baseline; white-space: pre-wrap;"&gt;</w:t>
              <w:tab/>
              <w:t>&lt;span style="font-size: medium;"&gt;</w:t>
              <w:tab/>
              <w:t>&lt;span style="font-family: &amp;quot;times new roman&amp;quot;, times;"&gt;Na decisão, ID de n. 147730410, dos autos originários (n. 0243175- 78.2024.8.06.0001), a douta juíza indeferiu a medida de urgência pleiteada pela autora, consistente na fixação de alimentos provisórios em seu favor no porcentual de 30% </w:t>
            </w:r>
            <w:r>
              <w:rPr>
                <w:spacing w:val="-3"/>
                <w:sz w:val="20"/>
              </w:rPr>
              <w:t>(trinta </w:t>
            </w:r>
            <w:r>
              <w:rPr>
                <w:sz w:val="20"/>
              </w:rPr>
              <w:t>por cento) dos vencimentos do requerido pelo período de um ano. Eis o teor do dispositivo:&lt;/span&gt;</w:t>
              <w:tab/>
              <w:t>&lt;/span&gt; &lt;/span&gt;&lt;/p&gt;&lt;p style="line-height: 1.9636363636363636; margin-right: 7pt; text-indent: 71pt; text-align: justify; margin-top: 0pt; margin-bottom: 0pt;" dir="ltr"&gt; &lt;span style="color: #000000; background-color: transparent; font-weight: 400;</w:t>
            </w:r>
          </w:p>
          <w:p>
            <w:pPr>
              <w:pStyle w:val="TableParagraph"/>
              <w:tabs>
                <w:tab w:pos="1939" w:val="left" w:leader="none"/>
                <w:tab w:pos="4407" w:val="left" w:leader="none"/>
                <w:tab w:pos="5130" w:val="left" w:leader="none"/>
                <w:tab w:pos="5299" w:val="left" w:leader="none"/>
                <w:tab w:pos="6414" w:val="left" w:leader="none"/>
              </w:tabs>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w:t>
              <w:tab/>
              <w:t>&lt;span style="font-size: medium;"&gt;</w:t>
              <w:tab/>
              <w:tab/>
              <w:t>&lt;span style="font-family: &amp;quot;times new roman&amp;quot;, times;"&gt;&amp;#160;&lt;/span&gt;</w:t>
              <w:tab/>
              <w:t>&lt;/span&gt; &lt;/span&gt;&lt;/p&gt;&lt;p style="line-height: 1.9636363636363636; margin-left: 113pt; text-align: justify; margin-top: 0pt; margin-bottom: 6pt;" dir="ltr"&gt;  &lt;span style="font-size: medium;"&gt;</w:t>
              <w:tab/>
              <w:t>&lt;span style="font- family: &amp;quot;times new roman&amp;quot;, times;"&gt;</w:t>
              <w:tab/>
              <w:t>&lt;span style="color: #000000;</w:t>
            </w:r>
          </w:p>
          <w:p>
            <w:pPr>
              <w:pStyle w:val="TableParagraph"/>
              <w:tabs>
                <w:tab w:pos="2317" w:val="left" w:leader="none"/>
                <w:tab w:pos="7111" w:val="left" w:leader="none"/>
              </w:tabs>
              <w:spacing w:line="208" w:lineRule="auto" w:before="0"/>
              <w:ind w:right="142"/>
              <w:rPr>
                <w:sz w:val="20"/>
              </w:rPr>
            </w:pPr>
            <w:r>
              <w:rPr>
                <w:sz w:val="20"/>
              </w:rPr>
              <w:t>background-color: transparent; font-weight: 400; font-style: italic; font-variant: normal; </w:t>
            </w:r>
            <w:r>
              <w:rPr>
                <w:spacing w:val="-4"/>
                <w:sz w:val="20"/>
              </w:rPr>
              <w:t>text- </w:t>
            </w:r>
            <w:r>
              <w:rPr>
                <w:sz w:val="20"/>
              </w:rPr>
              <w:t>decoration: none; vertical-align: baseline; white-space: pre-wrap;"&gt;“Consequentemente, dada a inexistência de comprovação, ainda que primária, de que existe dependência econômica, mormente quando a requerente tem meios próprios de subsistência e exerce atividade, e restando ausente o requisito da probabilidade do direito,&lt;/span&gt;</w:t>
              <w:tab/>
              <w:t>&lt;span style="color: #000000; background-color: transparent; font-weight: 700; font-style: italic; font-variant: normal; text-decoration: none; vertical-align: baseline; white-space: pre- wrap;"&gt;indefiro&lt;/span&gt;</w:t>
              <w:tab/>
              <w:t>&lt;span style="color: #000000; background-color: transparent; font-weight: 400; font-style: italic; font-variant: normal; text-decoration: none;</w:t>
            </w:r>
            <w:r>
              <w:rPr>
                <w:spacing w:val="12"/>
                <w:sz w:val="20"/>
              </w:rPr>
              <w:t> </w:t>
            </w:r>
            <w:r>
              <w:rPr>
                <w:spacing w:val="-2"/>
                <w:sz w:val="20"/>
              </w:rPr>
              <w:t>vertical-align:</w:t>
            </w:r>
          </w:p>
          <w:p>
            <w:pPr>
              <w:pStyle w:val="TableParagraph"/>
              <w:tabs>
                <w:tab w:pos="4407" w:val="left" w:leader="none"/>
                <w:tab w:pos="6414" w:val="left" w:leader="none"/>
              </w:tabs>
              <w:spacing w:line="208" w:lineRule="auto" w:before="0"/>
              <w:ind w:right="52"/>
              <w:rPr>
                <w:sz w:val="20"/>
              </w:rPr>
            </w:pPr>
            <w:r>
              <w:rPr>
                <w:sz w:val="20"/>
              </w:rPr>
              <w:t>baseline; white-space: pre-wrap;"&gt;, por ora, o pedido de tutela de urgência formulado, sem prejuízo de reanálise posterior, mostrando-se, novamente, prudentes a prévia formação </w:t>
            </w:r>
            <w:r>
              <w:rPr>
                <w:spacing w:val="-9"/>
                <w:sz w:val="20"/>
              </w:rPr>
              <w:t>da </w:t>
            </w:r>
            <w:r>
              <w:rPr>
                <w:sz w:val="20"/>
              </w:rPr>
              <w:t>relação processual e o exercício do contraditório.&lt;/span&gt;&lt;/span&gt; &lt;/span&gt;&lt;/p&gt;&lt;p style="line-height: 1.9636363636363636; margin-left: 113pt; text-align: justify; margin-top: 0pt; margin-bottom: 6pt;" dir="ltr"&gt;  &lt;span style="font-size: medium;"&gt;</w:t>
              <w:tab/>
              <w:t>&lt;span style="font- family: &amp;quot;times new roman&amp;quot;, times;"&gt;</w:t>
              <w:tab/>
              <w:t>&lt;span style="color: #000000;</w:t>
            </w:r>
          </w:p>
          <w:p>
            <w:pPr>
              <w:pStyle w:val="TableParagraph"/>
              <w:spacing w:line="208" w:lineRule="auto" w:before="0"/>
              <w:rPr>
                <w:sz w:val="20"/>
              </w:rPr>
            </w:pPr>
            <w:r>
              <w:rPr>
                <w:sz w:val="20"/>
              </w:rPr>
              <w:t>background-color: transparent; font-weight: 400; font-style: italic; font-variant: normal; </w:t>
            </w:r>
            <w:r>
              <w:rPr>
                <w:spacing w:val="-4"/>
                <w:sz w:val="20"/>
              </w:rPr>
              <w:t>text- </w:t>
            </w:r>
            <w:r>
              <w:rPr>
                <w:sz w:val="20"/>
              </w:rPr>
              <w:t>decoration: none; vertical-align: baseline; white-space: pre-wrap;"&gt;Portanto,&lt;/span&gt;</w:t>
            </w:r>
          </w:p>
          <w:p>
            <w:pPr>
              <w:pStyle w:val="TableParagraph"/>
              <w:tabs>
                <w:tab w:pos="2519" w:val="left" w:leader="none"/>
                <w:tab w:pos="2874" w:val="left" w:leader="none"/>
                <w:tab w:pos="6409" w:val="left" w:leader="none"/>
              </w:tabs>
              <w:spacing w:line="208" w:lineRule="auto" w:before="0"/>
              <w:ind w:right="49"/>
              <w:rPr>
                <w:sz w:val="20"/>
              </w:rPr>
            </w:pPr>
            <w:r>
              <w:rPr>
                <w:sz w:val="20"/>
              </w:rPr>
              <w:t>&lt;span style="color: #000000; background-color: transparent; font-weight: 700; font-style: italic; font-variant: normal; text-decoration: none; vertical-align: baseline; white-space: pre- wrap;"&gt;entendo pela&lt;/span&gt;</w:t>
              <w:tab/>
              <w:t>&lt;span style="color: #000000; background-color: transparent; font-weight: 700; font-style: italic; font-variant: normal; text-decoration-skip-ink: none; vertical-align: baseline; white-space: pre-wrap; text-decoration: underline;"&gt;ausência de comprovação&lt;/span&gt;</w:t>
              <w:tab/>
              <w:t>&lt;span style="color: #000000; background-color: transparent; font-weight: 700; font-style: italic; font-variant: normal; text-decoration: none; vertical-align: baseline; white-space: pre-wrap;"&gt;da probabilidade do direito&lt;/span&gt;</w:t>
              <w:tab/>
              <w:t>&lt;span </w:t>
            </w:r>
            <w:r>
              <w:rPr>
                <w:spacing w:val="-2"/>
                <w:sz w:val="20"/>
              </w:rPr>
              <w:t>style="color: </w:t>
            </w:r>
            <w:r>
              <w:rPr>
                <w:sz w:val="20"/>
              </w:rPr>
              <w:t>#000000; background-color: transparent; font-weight: 400; font-style: italic; font-variant: normal; text-decoration: none; vertical-align: baseline; white-space: pre-wrap;"&gt;, requisito indispensável ao deferimento da tutela pretendida pela autora. Pelo exposto,&lt;/span&gt;</w:t>
            </w:r>
          </w:p>
          <w:p>
            <w:pPr>
              <w:pStyle w:val="TableParagraph"/>
              <w:tabs>
                <w:tab w:pos="2473" w:val="left" w:leader="none"/>
                <w:tab w:pos="2673" w:val="left" w:leader="none"/>
                <w:tab w:pos="5130" w:val="left" w:leader="none"/>
                <w:tab w:pos="5742" w:val="left" w:leader="none"/>
                <w:tab w:pos="5833" w:val="left" w:leader="none"/>
              </w:tabs>
              <w:spacing w:line="208" w:lineRule="auto" w:before="0"/>
              <w:ind w:right="41"/>
              <w:rPr>
                <w:sz w:val="20"/>
              </w:rPr>
            </w:pPr>
            <w:r>
              <w:rPr>
                <w:sz w:val="20"/>
              </w:rPr>
              <w:t>&lt;span style="color: #000000; background-color: transparent; font-weight: 700; font-style: italic; font-variant: normal; text-decoration: none; vertical-align: baseline; white-space: pre- wrap;"&gt;INDEFIRO&lt;/span&gt;</w:t>
              <w:tab/>
              <w:tab/>
              <w:t>&lt;span style="color: #000000; background-color: transparent; font-weight: 700; font-style: italic; font-variant: normal; text-decoration: none; vertical-align: baseline; white-space: pre-wrap;"&gt;a tutela antecipada&lt;/span&gt;</w:t>
              <w:tab/>
              <w:t>&lt;span style="color: #000000; background-color: transparent; font-weight: 400; font-style: italic; font-variant: normal; text-decoration: none; vertical-align: baseline; white-space: pre-wrap;"&gt;, pelo menos neste momento processual com a cognição sobre as provas e indícios até então existente nos autos.”&lt;/span&gt;&lt;/span&gt; &lt;/span&gt;&lt;/p&gt;&lt;p style="line-height: 1.9636363636363636; margin-left: 113pt; text-align: justify; margin-top: 6pt; margin-bottom: 6pt;" dir="ltr"&gt; &lt;span style="color: #000000; background-color: transparent; font-weight: 400; font-style: italic; font-variant: normal; text-decoration: none; vertical-align: baseline; white-space: pre-wrap;"&gt;</w:t>
              <w:tab/>
              <w:t>&lt;span style="font-size: medium;"&gt;</w:t>
              <w:tab/>
              <w:tab/>
              <w:t>&lt;span style="font-family: &amp;quot;times new roman&amp;quot;, times;"&gt;&amp;#160;&lt;/span&gt;</w:t>
              <w:tab/>
              <w:t>&lt;/span&gt; &lt;/span&gt;&lt;/p&gt;&lt;p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67"/>
              <w:rPr>
                <w:sz w:val="20"/>
              </w:rPr>
            </w:pPr>
            <w:r>
              <w:rPr>
                <w:sz w:val="20"/>
              </w:rPr>
              <w:t>style="line-height: 1.9636363636363636; text-indent: 56.692913385826756pt; text-align: justify; margin-top: 6pt; margin-bottom: 6pt;" dir="ltr"&gt; &lt;span style="font-size: medium;"&gt;</w:t>
            </w:r>
          </w:p>
          <w:p>
            <w:pPr>
              <w:pStyle w:val="TableParagraph"/>
              <w:tabs>
                <w:tab w:pos="1327" w:val="left" w:leader="none"/>
                <w:tab w:pos="1740" w:val="left" w:leader="none"/>
                <w:tab w:pos="3208" w:val="left" w:leader="none"/>
                <w:tab w:pos="3274" w:val="left" w:leader="none"/>
                <w:tab w:pos="4407" w:val="left" w:leader="none"/>
                <w:tab w:pos="5119" w:val="left" w:leader="none"/>
                <w:tab w:pos="6012" w:val="left" w:leader="none"/>
                <w:tab w:pos="6414" w:val="left" w:leader="none"/>
              </w:tabs>
              <w:spacing w:line="208" w:lineRule="auto" w:before="0"/>
              <w:ind w:right="42"/>
              <w:rPr>
                <w:sz w:val="20"/>
              </w:rPr>
            </w:pPr>
            <w:r>
              <w:rPr>
                <w:sz w:val="20"/>
              </w:rPr>
              <w:t>&lt;span style="font-family: &amp;quot;times new roman&amp;quot;, times;"&gt;</w:t>
              <w:tab/>
              <w:t>&lt;span style="color: #000000; background-color: transparent; font-weight: 400; font-style: normal; font-variant: normal; text-decoration: none; vertical-align: baseline; white-space: pre-wrap;"&gt;Irresignada, a demandante interpôs o presente agravo de instrumento (id. 21273722), alegando, em síntese,&lt;/span&gt;</w:t>
              <w:tab/>
              <w:t>&lt;span style="color: #000000; background-color: transparent; font- weight: 700; font-style: normal; font-variant: normal; text-decoration: none; vertical-align: baseline; white-space: pre-wrap;"&gt;que necessita de forma urgente dos alimentos provisórios a serem pagos pelo agravado, visto que sofreu um grave acidente de trânsito e em decorrência disso, está hospitalizada e sem condições de realizar atividades laborais que possam prover renda e sem qualquer outra fonte de subsistência, tendo já solicitado o benefício de auxílio-doença junto a autarquia previdenciária (INSS), no entanto ainda não teve seu pleito atendido.&lt;/span&gt;</w:t>
              <w:tab/>
              <w:t>&lt;span style="color: #000000; background-color: transparent; font-weight: 400; font-style: normal; font-variant: normal; text-decoration: </w:t>
            </w:r>
            <w:r>
              <w:rPr>
                <w:spacing w:val="-4"/>
                <w:sz w:val="20"/>
              </w:rPr>
              <w:t>none; </w:t>
            </w:r>
            <w:r>
              <w:rPr>
                <w:sz w:val="20"/>
              </w:rPr>
              <w:t>vertical-align: baseline; white-space: pre-wrap;"&gt;Ao final, requereu a reforma da decisão agravada, no sentido de conceder alimentos provisórios no percentual de 30% (trinta por cento) sobre os vencimentos do agravado.&lt;/span&gt;&lt;/span&gt; &lt;/span&gt;&lt;/p&gt;&lt;p style="line- height: 1.9636363636363636; text-indent: 56.692913385826756pt; text-align: justify; margin-top: 6pt; margin-bottom: 6pt;" dir="ltr"&gt; &lt;span style="color: #000000; background- color: transparent; font-weight: 400; font-style: normal; font-variant: normal; text-decoration: none; vertical-align: baseline; white-space: pre-wrap;"&gt;</w:t>
              <w:tab/>
              <w:t>&lt;span style="font-size: medium;"&gt;</w:t>
              <w:tab/>
              <w:t>&lt;span style="font-family: &amp;quot;times new roman&amp;quot;, times;"&gt;Na decisão interlocutória, ID de n. 21273706, restou indeferido o pleito liminar da agravante, ante a ausência dos requisitos cumulativos para a sua concessão, mantendo a decisão agravada em todos os seus termos.&lt;/span&gt;</w:t>
              <w:tab/>
              <w:tab/>
              <w:t>&lt;/span&gt; &lt;/span&gt;&lt;/p&gt;&lt;p style="line-height: 1.9636363636363636; text-indent: 56.692913385826756pt; text-align: justify; margin-top: 6pt; margin-bottom: 6pt;" dir="ltr"&gt;  &lt;span style="font-size: medium;"&gt;</w:t>
              <w:tab/>
              <w:t>&lt;span style="font- family: &amp;quot;times new roman&amp;quot;, times;"&gt;</w:t>
              <w:tab/>
              <w:t>&lt;span style="color: #000000;</w:t>
            </w:r>
          </w:p>
          <w:p>
            <w:pPr>
              <w:pStyle w:val="TableParagraph"/>
              <w:tabs>
                <w:tab w:pos="2452" w:val="left" w:leader="none"/>
                <w:tab w:pos="4407" w:val="left" w:leader="none"/>
                <w:tab w:pos="5132" w:val="left" w:leader="none"/>
                <w:tab w:pos="6414" w:val="left" w:leader="none"/>
              </w:tabs>
              <w:spacing w:line="208" w:lineRule="auto" w:before="0"/>
              <w:ind w:right="108"/>
              <w:rPr>
                <w:sz w:val="20"/>
              </w:rPr>
            </w:pPr>
            <w:r>
              <w:rPr>
                <w:sz w:val="20"/>
              </w:rPr>
              <w:t>background-color: transparent; font-weight: 400; font-style: normal; font-variant: normal; text-decoration: none; vertical-align: baseline; white-space: pre-wrap;"&gt;Em sede de contrarrazões, ID de n. 21273714, o agravado&lt;/span&gt;</w:t>
              <w:tab/>
              <w:t>&lt;span style="color: #000000; background-color: transparent; font-weight: 700; font-style: normal; font-variant: normal; text-decoration: none; vertical-align: baseline; white-space: pre-wrap;"&gt;alega ausência de requisitos para a concessão dos alimentos provisórios, pois não há comprovação de dependência econômica durante a união estável, tampouco de impossibilidade de autossustento. Aduz ainda que, a agravante já estava empregada no momento da separação e apenas posteriormente veio a sofrer o acidente e que não pode ser responsabilizado financeiramente por um fato ocorrido meses após o término do relacionamento.&lt;/span&gt;</w:t>
              <w:tab/>
              <w:t>&lt;span style="color: #000000; background-color: transparent; font-weight: 400; font-style: normal; font-variant: normal; text-decoration: none; vertical- align: baseline; white-space: pre-wrap;"&gt;Por fim, pleiteia que seja negado provimento ao agravo de instrumento.&lt;/span&gt;&lt;/span&gt; &lt;/span&gt;&lt;/p&gt;&lt;p style="line-height: 1.9636363636363636; text-indent: 56.692913385826756pt; text-align: justify; margin-top: 6pt; margin-bottom: 6pt;" dir="ltr"&gt;  &lt;span style="font-size: medium;"&gt;</w:t>
              <w:tab/>
              <w:t>&lt;span style="font- family: &amp;quot;times new roman&amp;quot;, times;"&gt;</w:t>
              <w:tab/>
              <w:t>&lt;span style="color: #000000; background-color: transparent; font-weight: 400; font-style: normal; font-variant: normal; text-decoration: none; vertical-align: baseline; white-space: pre-wrap;"&gt;Instada, a douta Procuradoria-Geral de Justiça apresentou Parecer, conforme ID de n. 27690546, por </w:t>
            </w:r>
            <w:r>
              <w:rPr>
                <w:spacing w:val="-5"/>
                <w:sz w:val="20"/>
              </w:rPr>
              <w:t>meio </w:t>
            </w:r>
            <w:r>
              <w:rPr>
                <w:sz w:val="20"/>
              </w:rPr>
              <w:t>do qual, aduziu:&lt;/span&gt;</w:t>
              <w:tab/>
              <w:t>&lt;span style="color: #000000; background-color: transparent; font-weight: 400; font-style: italic; font-variant: normal; text-decoration: none; vertical-align: baseline; white-space: pre-wrap;"&gt;“Face ao exposto, na esteira das ponderações acima decantadas, esta Representante do Parquet de segundo grau manifesta-se pelo conhecimento do recurso em análise, deixando de opinar acerca do mérito da demanda, haja vista a ausência de interesse deste Órgão Ministerial.”&lt;/span&gt;&lt;/span&gt;</w:t>
            </w:r>
          </w:p>
          <w:p>
            <w:pPr>
              <w:pStyle w:val="TableParagraph"/>
              <w:spacing w:line="208" w:lineRule="auto" w:before="0"/>
              <w:ind w:right="244"/>
              <w:rPr>
                <w:sz w:val="20"/>
              </w:rPr>
            </w:pPr>
            <w:r>
              <w:rPr>
                <w:sz w:val="20"/>
              </w:rPr>
              <w:t>&lt;/span&gt;&lt;/p&gt;&lt;p style="line-height: 1.9636363636363636; text-indent: 56.692913385826756pt; text-align: justify; margin-top: 6pt; margin-bottom: 6pt;" dir="ltr"&gt;</w:t>
            </w:r>
          </w:p>
          <w:p>
            <w:pPr>
              <w:pStyle w:val="TableParagraph"/>
              <w:tabs>
                <w:tab w:pos="1294" w:val="left" w:leader="none"/>
                <w:tab w:pos="4654" w:val="left" w:leader="none"/>
                <w:tab w:pos="7375" w:val="left" w:leader="none"/>
              </w:tabs>
              <w:spacing w:line="208" w:lineRule="auto" w:before="0"/>
              <w:ind w:right="54"/>
              <w:rPr>
                <w:sz w:val="20"/>
              </w:rPr>
            </w:pPr>
            <w:r>
              <w:rPr>
                <w:sz w:val="20"/>
              </w:rPr>
              <w:t>&lt;span style="color: #000000; background-color: transparent; font-weight: 400; font-style: normal; font-variant: normal; text-decoration: none; vertical-align: baseline; white-space: pre-wrap;"&gt;</w:t>
              <w:tab/>
              <w:t>&lt;span style="font-size: medium;"&gt;</w:t>
              <w:tab/>
              <w:t>&lt;span style="font-family: &amp;quot;times new roman&amp;quot;, times;"&gt;Vieram-me, em seguida, os autos conclusos.&lt;/span&gt;</w:t>
              <w:tab/>
            </w:r>
            <w:r>
              <w:rPr>
                <w:spacing w:val="-3"/>
                <w:sz w:val="20"/>
              </w:rPr>
              <w:t>&lt;/span&gt;</w:t>
            </w:r>
          </w:p>
          <w:p>
            <w:pPr>
              <w:pStyle w:val="TableParagraph"/>
              <w:spacing w:line="208" w:lineRule="auto" w:before="0"/>
              <w:ind w:right="244"/>
              <w:rPr>
                <w:sz w:val="20"/>
              </w:rPr>
            </w:pPr>
            <w:r>
              <w:rPr>
                <w:sz w:val="20"/>
              </w:rPr>
              <w:t>&lt;/span&gt;&lt;/p&gt;&lt;p style="line-height: 1.7999999999999998; text-indent: 56.692913385826756pt; text-align: justify; margin-top: 6pt; margin-bottom: 0pt;" dir="ltr"&gt;</w:t>
            </w:r>
          </w:p>
          <w:p>
            <w:pPr>
              <w:pStyle w:val="TableParagraph"/>
              <w:tabs>
                <w:tab w:pos="1294" w:val="left" w:leader="none"/>
                <w:tab w:pos="4518" w:val="left" w:leader="none"/>
                <w:tab w:pos="4654" w:val="left" w:leader="none"/>
              </w:tabs>
              <w:spacing w:line="208" w:lineRule="auto" w:before="0"/>
              <w:ind w:right="39"/>
              <w:rPr>
                <w:sz w:val="20"/>
              </w:rPr>
            </w:pPr>
            <w:r>
              <w:rPr>
                <w:sz w:val="20"/>
              </w:rPr>
              <w:t>&lt;span style="color: #000000; background-color: transparent; font-weight: 700; font-style: normal; font-variant: normal; text-decoration: none; vertical-align: baseline; white-space: pre-wrap;"&gt;</w:t>
              <w:tab/>
              <w:t>&lt;span style="font-size: medium;"&gt;</w:t>
              <w:tab/>
              <w:tab/>
              <w:t>&lt;span style="font-family: &amp;quot;times new roman&amp;quot;, times;"&gt;É o relatório.&lt;/span&gt;</w:t>
              <w:tab/>
              <w:t>&lt;/span&gt; &lt;/span&gt;&lt;/p&gt;&lt;p</w:t>
            </w:r>
            <w:r>
              <w:rPr>
                <w:spacing w:val="11"/>
                <w:sz w:val="20"/>
              </w:rPr>
              <w:t> </w:t>
            </w:r>
            <w:r>
              <w:rPr>
                <w:spacing w:val="-2"/>
                <w:sz w:val="20"/>
              </w:rPr>
              <w:t>align="center"&gt;</w:t>
            </w:r>
          </w:p>
          <w:p>
            <w:pPr>
              <w:pStyle w:val="TableParagraph"/>
              <w:tabs>
                <w:tab w:pos="1316" w:val="left" w:leader="none"/>
                <w:tab w:pos="2283" w:val="left" w:leader="none"/>
                <w:tab w:pos="2905" w:val="left" w:leader="none"/>
                <w:tab w:pos="3044" w:val="left" w:leader="none"/>
                <w:tab w:pos="3340" w:val="left" w:leader="none"/>
                <w:tab w:pos="4285" w:val="left" w:leader="none"/>
                <w:tab w:pos="6649" w:val="left" w:leader="none"/>
              </w:tabs>
              <w:spacing w:line="208" w:lineRule="auto" w:before="0"/>
              <w:ind w:right="274"/>
              <w:rPr>
                <w:sz w:val="20"/>
              </w:rPr>
            </w:pPr>
            <w:r>
              <w:rPr>
                <w:sz w:val="20"/>
              </w:rPr>
              <w:t>&lt;span style="font-size: small;"&gt;</w:t>
              <w:tab/>
              <w:tab/>
              <w:t>&lt;strong style="font-weight: normal;"&gt;</w:t>
              <w:tab/>
              <w:t>&lt;span style="font-size: medium;"&gt;</w:t>
              <w:tab/>
              <w:t>&lt;span style="font-family: &amp;quot;times new </w:t>
            </w:r>
            <w:r>
              <w:rPr>
                <w:spacing w:val="-2"/>
                <w:sz w:val="20"/>
              </w:rPr>
              <w:t>roman&amp;quot;, </w:t>
            </w:r>
            <w:r>
              <w:rPr>
                <w:sz w:val="20"/>
              </w:rPr>
              <w:t>times;"&gt;</w:t>
              <w:tab/>
              <w:t>&lt;br /&gt;</w:t>
              <w:tab/>
              <w:t>&lt;/span&gt;</w:t>
              <w:tab/>
              <w:tab/>
              <w:t>&lt;/span&gt;</w:t>
              <w:tab/>
              <w:t>&lt;/strong&gt; &lt;/span&gt;&lt;/p&gt;&lt;h1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62" w:val="left" w:leader="none"/>
              </w:tabs>
              <w:spacing w:line="208" w:lineRule="auto" w:before="26"/>
              <w:ind w:right="42"/>
              <w:rPr>
                <w:sz w:val="20"/>
              </w:rPr>
            </w:pPr>
            <w:r>
              <w:rPr>
                <w:sz w:val="20"/>
              </w:rPr>
              <w:t>height: 1.7999999999999998; margin-right: 7.5pt; text-align: center; margin-top: 6pt; margin-bottom: 0pt;" dir="ltr"&gt;  &lt;span style="color: #000000; background-color: transparent; font-weight: 700; font-style: normal; font-variant: normal; text-decoration: </w:t>
            </w:r>
            <w:r>
              <w:rPr>
                <w:spacing w:val="-4"/>
                <w:sz w:val="20"/>
              </w:rPr>
              <w:t>none; </w:t>
            </w:r>
            <w:r>
              <w:rPr>
                <w:sz w:val="20"/>
              </w:rPr>
              <w:t>vertical-align: baseline; white-space: pre-wrap;"&gt;</w:t>
              <w:tab/>
              <w:t>&lt;span style="font-size: medium;"&gt;</w:t>
            </w:r>
          </w:p>
          <w:p>
            <w:pPr>
              <w:pStyle w:val="TableParagraph"/>
              <w:tabs>
                <w:tab w:pos="7301" w:val="left" w:leader="none"/>
              </w:tabs>
              <w:spacing w:line="190" w:lineRule="exact" w:before="0"/>
              <w:rPr>
                <w:sz w:val="20"/>
              </w:rPr>
            </w:pPr>
            <w:r>
              <w:rPr>
                <w:sz w:val="20"/>
              </w:rPr>
              <w:t>&lt;span style="font-family: &amp;quot;times new roman&amp;quot;, times;"&gt;VOTO&lt;/span&gt;</w:t>
              <w:tab/>
              <w:t>&lt;/span&gt;</w:t>
            </w:r>
          </w:p>
          <w:p>
            <w:pPr>
              <w:pStyle w:val="TableParagraph"/>
              <w:tabs>
                <w:tab w:pos="1917" w:val="left" w:leader="none"/>
                <w:tab w:pos="4107" w:val="left" w:leader="none"/>
                <w:tab w:pos="5074" w:val="left" w:leader="none"/>
                <w:tab w:pos="5388" w:val="left" w:leader="none"/>
                <w:tab w:pos="6027" w:val="left" w:leader="none"/>
                <w:tab w:pos="6130" w:val="left" w:leader="none"/>
                <w:tab w:pos="7075" w:val="left" w:leader="none"/>
              </w:tabs>
              <w:spacing w:line="208" w:lineRule="auto" w:before="10"/>
              <w:ind w:right="232"/>
              <w:rPr>
                <w:sz w:val="20"/>
              </w:rPr>
            </w:pPr>
            <w:r>
              <w:rPr>
                <w:sz w:val="20"/>
              </w:rPr>
              <w:t>&lt;/span&gt;&lt;/h1&gt;&lt;p align="center"&gt;  &lt;span style="font-size: small;"&gt;</w:t>
              <w:tab/>
              <w:t>&lt;strong style="font- weight: normal;"&gt;</w:t>
              <w:tab/>
              <w:t>&lt;span style="font-size: medium;"&gt;</w:t>
              <w:tab/>
              <w:tab/>
              <w:t>&lt;span style="font-family: &amp;quot;times new roman&amp;quot;, times;"&gt;</w:t>
              <w:tab/>
              <w:t>&lt;br /&gt;</w:t>
              <w:tab/>
              <w:t>&lt;/span&gt;</w:t>
              <w:tab/>
              <w:tab/>
              <w:t>&lt;/span&gt;</w:t>
              <w:tab/>
            </w:r>
            <w:r>
              <w:rPr>
                <w:spacing w:val="-1"/>
                <w:sz w:val="20"/>
              </w:rPr>
              <w:t>&lt;/strong&gt;</w:t>
            </w:r>
          </w:p>
          <w:p>
            <w:pPr>
              <w:pStyle w:val="TableParagraph"/>
              <w:tabs>
                <w:tab w:pos="2794" w:val="left" w:leader="none"/>
                <w:tab w:pos="4407" w:val="left" w:leader="none"/>
                <w:tab w:pos="4629" w:val="left" w:leader="none"/>
                <w:tab w:pos="6025" w:val="left" w:leader="none"/>
                <w:tab w:pos="6553" w:val="left" w:leader="none"/>
                <w:tab w:pos="7121" w:val="left" w:leader="none"/>
              </w:tabs>
              <w:spacing w:line="208" w:lineRule="auto" w:before="0"/>
              <w:ind w:right="176"/>
              <w:rPr>
                <w:sz w:val="20"/>
              </w:rPr>
            </w:pPr>
            <w:r>
              <w:rPr>
                <w:sz w:val="20"/>
              </w:rPr>
              <w:t>&lt;/span&gt;&lt;/p&gt;&lt;p style="line-height: 1.7999999999999998; text-indent: 56.7pt; text-align: justify; margin-top: 6pt; margin-bottom: 0pt;" dir="ltr"&gt; &lt;span style="color: #000000; background-color: transparent; font-weight: 700; font-style: normal; font-variant: normal; text-decoration: none; vertical-align: baseline; white-space: pre-wrap;"&gt;</w:t>
              <w:tab/>
              <w:t>&lt;span style="font-size: medium;"&gt;</w:t>
              <w:tab/>
              <w:t>&lt;span style="font-family: &amp;quot;times new roman&amp;quot;, times;"&gt;1. JUÍZO DE ADMISSIBILIDADE&lt;/span&gt;</w:t>
              <w:tab/>
              <w:tab/>
              <w:tab/>
              <w:t>&lt;/span&gt; </w:t>
            </w:r>
            <w:r>
              <w:rPr>
                <w:spacing w:val="-20"/>
                <w:sz w:val="20"/>
              </w:rPr>
              <w:t>&lt;/span&gt;&lt;/p&gt;&lt;p </w:t>
            </w:r>
            <w:r>
              <w:rPr>
                <w:spacing w:val="-70"/>
                <w:sz w:val="20"/>
              </w:rPr>
              <w:t>style="line-</w:t>
            </w:r>
            <w:r>
              <w:rPr>
                <w:sz w:val="20"/>
              </w:rPr>
              <w:t> height: 1.7999999999999998; text-indent: 56.7pt; text-align: justify; margin-top: 6pt; margin-bottom: 0pt;" dir="ltr"&gt;  &lt;span style="font-size: medium;"&gt;</w:t>
              <w:tab/>
              <w:t>&lt;span style="font- family: &amp;quot;times new roman&amp;quot;, times;"&gt;</w:t>
              <w:tab/>
              <w:t>&lt;span style="color: #000000; background-color: transparent; font-weight: 400; font-style: normal; font-variant: normal; text-decoration: none; vertical-align: baseline; white-space: pre-wrap;"&gt;Presentes os pressupostos recursais de admissibilidade intrínsecos e extrínsecos,&lt;/span&gt;</w:t>
              <w:tab/>
              <w:t>&lt;span style="color: #000000; background-color: transparent; font-weight: 700; font-style: normal; font-variant: normal; text-decoration: none; vertical-align: baseline; white-space: pre-</w:t>
            </w:r>
          </w:p>
          <w:p>
            <w:pPr>
              <w:pStyle w:val="TableParagraph"/>
              <w:tabs>
                <w:tab w:pos="2739" w:val="left" w:leader="none"/>
              </w:tabs>
              <w:spacing w:line="208" w:lineRule="auto" w:before="0"/>
              <w:ind w:right="50"/>
              <w:rPr>
                <w:sz w:val="20"/>
              </w:rPr>
            </w:pPr>
            <w:r>
              <w:rPr>
                <w:sz w:val="20"/>
              </w:rPr>
              <w:t>wrap;"&gt;CONHEÇO&lt;/span&gt;</w:t>
              <w:tab/>
              <w:t>&lt;span style="color: #000000; background-color: </w:t>
            </w:r>
            <w:r>
              <w:rPr>
                <w:spacing w:val="-2"/>
                <w:sz w:val="20"/>
              </w:rPr>
              <w:t>transparent; </w:t>
            </w:r>
            <w:r>
              <w:rPr>
                <w:sz w:val="20"/>
              </w:rPr>
              <w:t>font-weight: 400; font-style: normal; font-variant: normal; text-decoration: none; vertical- align: baseline; white-space: pre-wrap;"&gt;do recurso interposto e passo a apreciar o mérito deste.&lt;/span&gt;&lt;/span&gt; &lt;/span&gt;&lt;/p&gt;&lt;p align="center"&gt; &lt;span style="font-size: small;"&gt;</w:t>
            </w:r>
          </w:p>
          <w:p>
            <w:pPr>
              <w:pStyle w:val="TableParagraph"/>
              <w:tabs>
                <w:tab w:pos="3644" w:val="left" w:leader="none"/>
                <w:tab w:pos="5739" w:val="left" w:leader="none"/>
                <w:tab w:pos="6706" w:val="left" w:leader="none"/>
                <w:tab w:pos="7115" w:val="left" w:leader="none"/>
              </w:tabs>
              <w:spacing w:line="208" w:lineRule="auto" w:before="0"/>
              <w:ind w:right="486"/>
              <w:rPr>
                <w:sz w:val="20"/>
              </w:rPr>
            </w:pPr>
            <w:r>
              <w:rPr>
                <w:sz w:val="20"/>
              </w:rPr>
              <w:t>&lt;strong style="font-weight: normal;"&gt;</w:t>
              <w:tab/>
              <w:t>&lt;span style="font-size: medium;"&gt;</w:t>
              <w:tab/>
              <w:tab/>
            </w:r>
            <w:r>
              <w:rPr>
                <w:spacing w:val="-4"/>
                <w:sz w:val="20"/>
              </w:rPr>
              <w:t>&lt;span </w:t>
            </w:r>
            <w:r>
              <w:rPr>
                <w:sz w:val="20"/>
              </w:rPr>
              <w:t>style="font-family: &amp;quot;times new roman&amp;quot;, times;"&gt;</w:t>
              <w:tab/>
              <w:t>&lt;br /&gt;</w:t>
              <w:tab/>
              <w:t>&lt;/span&gt;</w:t>
            </w:r>
          </w:p>
          <w:p>
            <w:pPr>
              <w:pStyle w:val="TableParagraph"/>
              <w:tabs>
                <w:tab w:pos="939" w:val="left" w:leader="none"/>
                <w:tab w:pos="983" w:val="left" w:leader="none"/>
                <w:tab w:pos="1807" w:val="left" w:leader="none"/>
                <w:tab w:pos="2206" w:val="left" w:leader="none"/>
                <w:tab w:pos="2682" w:val="left" w:leader="none"/>
                <w:tab w:pos="2719" w:val="left" w:leader="none"/>
                <w:tab w:pos="3329" w:val="left" w:leader="none"/>
                <w:tab w:pos="3442" w:val="left" w:leader="none"/>
                <w:tab w:pos="3962" w:val="left" w:leader="none"/>
                <w:tab w:pos="4299" w:val="left" w:leader="none"/>
                <w:tab w:pos="6689" w:val="left" w:leader="none"/>
                <w:tab w:pos="7009" w:val="left" w:leader="none"/>
              </w:tabs>
              <w:spacing w:line="208" w:lineRule="auto" w:before="0"/>
              <w:ind w:right="20"/>
              <w:rPr>
                <w:sz w:val="20"/>
              </w:rPr>
            </w:pPr>
            <w:r>
              <w:rPr>
                <w:sz w:val="20"/>
              </w:rPr>
              <w:t>&lt;/span&gt;</w:t>
              <w:tab/>
              <w:tab/>
              <w:t>&lt;/strong&gt; &lt;/span&gt;&lt;/p&gt;&lt;p style="line-height: 1.7999999999999998; text-indent: 56.7pt; text-align: justify; margin-top: 6pt; margin-bottom: 0pt;" dir="ltr"&gt;  &lt;span style="color: #000000; background-color: transparent; font-weight: 700; font-style: normal; font-variant: normal; text-decoration: none; vertical-align: baseline; white-space: pre- wrap;"&gt;</w:t>
              <w:tab/>
              <w:t>&lt;span style="font-size: medium;"&gt;</w:t>
              <w:tab/>
              <w:t>&lt;span style="font-family: &amp;quot;times new roman&amp;quot;, times;"&gt;2. MÉRITO&lt;/span&gt;</w:t>
              <w:tab/>
              <w:t>&lt;/span&gt; &lt;/span&gt;&lt;/p&gt;&lt;p style="line-height: 1.7999999999999998; text-indent: 56.7pt; text-align: justify; margin-top: 6pt; margin- bottom: 0pt;" dir="ltr"&gt; &lt;span style="color: #000000; background-color: transparent; font- weight: 400; font-style: normal; font-variant: normal; text-decoration: none; vertical-align: baseline; white-space: pre-wrap;"&gt;</w:t>
              <w:tab/>
              <w:t>&lt;span style="font-size: medium;"&gt;</w:t>
              <w:tab/>
              <w:t>&lt;span style="font-family: &amp;quot;times new roman&amp;quot;, times;"&gt;Consoante relatado, o presente recurso configura insurgência contra a decisão de primeiro grau, ID de n. 147730410, que nos autos da Ação de Reconhecimento de União Estável c/c Partilha de Bens, n. 0243175- 78.2024.8.06.0001, indeferiu o pedido de alimentos provisórios formulado pela promovente, ora agravante.&lt;/span&gt;</w:t>
              <w:tab/>
              <w:tab/>
              <w:t>&lt;/span&gt; &lt;/span&gt;&lt;/p&gt;&lt;p style="line-height: 1.7999999999999998; text-indent: 56.7pt; text-align: justify; margin-top: 6pt; margin- bottom: 0pt;" dir="ltr"&gt; &lt;span style="color: #000000; background-color: transparent; font- weight: 400; font-style: normal; font-variant: normal; text-decoration: none; vertical-align: baseline; white-space: pre-wrap;"&gt;</w:t>
              <w:tab/>
              <w:t>&lt;span style="font-size: medium;"&gt;</w:t>
              <w:tab/>
              <w:t>&lt;span style="font-family: &amp;quot;times new roman&amp;quot;, times;"&gt;O cerne da controvérsia recursal reside no exame do cabimento de alimentos provisórios em favor da recorrente, pleiteados no valor equivalente a 30% (trinta por cento) sobre os vencimentos do agravado pelo período de um ano.&lt;/span&gt;</w:t>
              <w:tab/>
              <w:tab/>
              <w:t>&lt;/span&gt; &lt;/span&gt;&lt;/p&gt;&lt;p style="line-height: 1.7999999999999998; text-indent: 56.7pt; text-align: justify; margin-top: 6pt; margin- bottom: 0pt;" dir="ltr"&gt; &lt;span style="color: #000000; background-color: transparent; font- weight: 400; font-style: normal; font-variant: normal; text-decoration: none; vertical-align: baseline; white-space: pre-wrap;"&gt;</w:t>
              <w:tab/>
              <w:t>&lt;span style="font-size: medium;"&gt;</w:t>
              <w:tab/>
              <w:t>&lt;span style="font-family: &amp;quot;times new roman&amp;quot;, times;"&gt;Argumenta, em síntese, a recorrente, que necessita de forma urgente dos alimentos provisórios a serem pagos pelo agravado, visto que sofreu um grave acidente de trânsito e em decorrência disso, está hospitalizada e sem condições de realizar atividades laborais que possam prover renda e sem qualquer outra fonte de subsistência, tendo já solicitado o benefício de auxílio-doença junto a autarquia previdenciária (INSS), no entanto ainda não teve seu pleito atendido.&lt;/span&gt;</w:t>
              <w:tab/>
              <w:t>&lt;/span&gt; &lt;/span&gt;&lt;/p&gt;&lt;p style="line-height: 1.7999999999999998; </w:t>
            </w:r>
            <w:r>
              <w:rPr>
                <w:spacing w:val="-3"/>
                <w:sz w:val="20"/>
              </w:rPr>
              <w:t>text- </w:t>
            </w:r>
            <w:r>
              <w:rPr>
                <w:sz w:val="20"/>
              </w:rPr>
              <w:t>indent: 56.7pt; text-align: justify; margin-top: 6pt; margin-bottom: 0pt;" dir="ltr"&gt; &lt;span style="font-size: medium;"&gt;</w:t>
              <w:tab/>
              <w:t>&lt;span style="font-family: &amp;quot;times new roman&amp;quot;, times;"&gt;</w:t>
              <w:tab/>
              <w:tab/>
              <w:t>&lt;span style="color: #000000; background-color: transparent; font-weight: 400; font-style: normal; font-variant: normal; text-decoration: none; vertical-align: baseline; </w:t>
            </w:r>
            <w:r>
              <w:rPr>
                <w:spacing w:val="-3"/>
                <w:sz w:val="20"/>
              </w:rPr>
              <w:t>white- </w:t>
            </w:r>
            <w:r>
              <w:rPr>
                <w:sz w:val="20"/>
              </w:rPr>
              <w:t>space: pre-wrap;"&gt;Sobre o assunto, recorde-se que, nos termos do&lt;/span&gt;</w:t>
              <w:tab/>
              <w:t>&lt;span style="color: #000000; background-color: transparent; font-weight: 400; font-style: italic; font-variant: normal; text-decoration: none; vertical-align: baseline; white-space: pre- wrap;"&gt;caput&lt;/span&gt;</w:t>
              <w:tab/>
              <w:t>&lt;span style="color: #000000; background-color: transparent;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753" w:val="left" w:leader="none"/>
              </w:tabs>
              <w:spacing w:line="208" w:lineRule="auto" w:before="26"/>
              <w:ind w:right="98"/>
              <w:rPr>
                <w:sz w:val="20"/>
              </w:rPr>
            </w:pPr>
            <w:r>
              <w:rPr>
                <w:sz w:val="20"/>
              </w:rPr>
              <w:t>weight: 400; font-style: normal; font-variant: normal; text-decoration: none; vertical-align: baseline; white-space: pre-wrap;"&gt;do art. 1.694 do Código Civil, “&lt;/span&gt;</w:t>
              <w:tab/>
              <w:t>&lt;span style="color: #000000; background-color: transparent; font-weight: 400; font-style: italic; font-variant: normal; text-decoration: none; vertical-align: baseline; white-space: pre- wrap;"&gt;podem os parentes, os cônjuges ou companheiros pedir uns aos outros</w:t>
            </w:r>
            <w:r>
              <w:rPr>
                <w:spacing w:val="-18"/>
                <w:sz w:val="20"/>
              </w:rPr>
              <w:t> </w:t>
            </w:r>
            <w:r>
              <w:rPr>
                <w:sz w:val="20"/>
              </w:rPr>
              <w:t>os&lt;/span&gt;</w:t>
            </w:r>
          </w:p>
          <w:p>
            <w:pPr>
              <w:pStyle w:val="TableParagraph"/>
              <w:tabs>
                <w:tab w:pos="4407" w:val="left" w:leader="none"/>
                <w:tab w:pos="6414" w:val="left" w:leader="none"/>
                <w:tab w:pos="6688" w:val="left" w:leader="none"/>
              </w:tabs>
              <w:spacing w:line="208" w:lineRule="auto" w:before="0"/>
              <w:ind w:right="81"/>
              <w:rPr>
                <w:sz w:val="20"/>
              </w:rPr>
            </w:pPr>
            <w:r>
              <w:rPr>
                <w:sz w:val="20"/>
              </w:rPr>
              <w:t>&lt;span style="color: #000000; background-color: transparent; font-weight: 700; font-style: italic; font-variant: normal; text-decoration: none; vertical-align: baseline; white-space: pre- wrap;"&gt;alimentos de que necessitem para viver de modo compatível com a sua condição social, inclusive para atender às necessidades de sua educação&lt;/span&gt;</w:t>
              <w:tab/>
              <w:t>&lt;span style="color: #000000; background-color: transparent; font-weight: 400; font-style: italic; font-variant: normal; text-decoration: none; vertical-align: baseline; white-space: pre- wrap;"&gt;.”&amp;#160;&lt;/span&gt;&lt;/span&gt; &lt;/span&gt;&lt;/p&gt;&lt;p style="line-height: 1.7999999999999998; margin-left: 0.05pt; margin-right: 7.15pt; text-indent: 70.8pt; text-align: justify; margin-top: 6pt; margin-bottom: 0pt;" dir="ltr"&gt;  &lt;span style="font-size: medium;"&gt;</w:t>
              <w:tab/>
              <w:t>&lt;span style="font- family: &amp;quot;times new roman&amp;quot;, times;"&gt;</w:t>
              <w:tab/>
              <w:t>&lt;span style="color: #000000; background-color: transparent; font-weight: 400; font-style: normal; font-variant: normal; text-decoration: none; vertical-align: baseline; white-space: pre-wrap;"&gt;No caso</w:t>
            </w:r>
            <w:r>
              <w:rPr>
                <w:spacing w:val="-12"/>
                <w:sz w:val="20"/>
              </w:rPr>
              <w:t> </w:t>
            </w:r>
            <w:r>
              <w:rPr>
                <w:sz w:val="20"/>
              </w:rPr>
              <w:t>de&lt;/span&gt;</w:t>
            </w:r>
          </w:p>
          <w:p>
            <w:pPr>
              <w:pStyle w:val="TableParagraph"/>
              <w:tabs>
                <w:tab w:pos="1863" w:val="left" w:leader="none"/>
                <w:tab w:pos="2897" w:val="left" w:leader="none"/>
                <w:tab w:pos="3152" w:val="left" w:leader="none"/>
                <w:tab w:pos="4630" w:val="left" w:leader="none"/>
                <w:tab w:pos="6008" w:val="left" w:leader="none"/>
              </w:tabs>
              <w:spacing w:line="208" w:lineRule="auto" w:before="0"/>
              <w:ind w:right="30"/>
              <w:rPr>
                <w:sz w:val="20"/>
              </w:rPr>
            </w:pPr>
            <w:r>
              <w:rPr>
                <w:sz w:val="20"/>
              </w:rPr>
              <w:t>&lt;span style="color: #000000; background-color: transparent; font-weight: 700; font-style: normal; font-variant: normal; text-decoration: none; vertical-align: baseline; white-space: pre-wrap;"&gt;alimentos entre ex-cônjuges,&lt;/span&gt;</w:t>
              <w:tab/>
              <w:t>&lt;span style="color: #000000; background-color: transparent; font-weight: 400; font-style: normal; font-variant: normal; text-decoration: none; vertical-align: baseline; white-space: pre-wrap;"&gt;a regra é que a prestação material exija&lt;/span&gt;</w:t>
              <w:tab/>
              <w:tab/>
              <w:t>&lt;span style="color: #000000; background-color: transparent; font-weight: 700; font-style: normal; font-variant: normal; text-decoration: none; vertical-align: baseline; white-space: pre-wrap;"&gt;efetiva comprovação da necessidade do(a) alimentando(a)&lt;/span&gt;</w:t>
              <w:tab/>
              <w:t>&lt;span style="color: #000000; background-color: transparent; font-weight: 400; font-style: normal; font-variant: normal; text-decoration: none; vertical-align: baseline; white-space: pre-wrap;"&gt;e tenha&lt;/span&gt;</w:t>
              <w:tab/>
              <w:t>&lt;span style="color: #000000; background-color: transparent; font-weight: 700; font-style: normal; font-variant: normal; text-decoration: none; vertical-align: baseline; white-space: pre-wrap;"&gt;caráter transitório&lt;/span&gt;</w:t>
              <w:tab/>
              <w:t>&lt;span style="color: #000000; background-color: transparent; font- weight: 400; font-style: normal; font-variant: normal; text-decoration: none; vertical-align: baseline; white-space: pre-wrap;"&gt;, ou seja, tenha termo certo, visando apenas a assegurar ao beneficiário tempo hábil para que reingresse ou se recoloque no mercado de trabalho. Em situações excepcionais, contudo, é possível a fixação de alimentos por </w:t>
            </w:r>
            <w:r>
              <w:rPr>
                <w:spacing w:val="-4"/>
                <w:sz w:val="20"/>
              </w:rPr>
              <w:t>tempo </w:t>
            </w:r>
            <w:r>
              <w:rPr>
                <w:sz w:val="20"/>
              </w:rPr>
              <w:t>indeterminado, quando observado que o cônjuge alimentando não tem condições de adquirir (ou readquirir) meios próprios para sua manutenção.&lt;/span&gt;&lt;/span&gt;</w:t>
            </w:r>
          </w:p>
          <w:p>
            <w:pPr>
              <w:pStyle w:val="TableParagraph"/>
              <w:spacing w:line="208" w:lineRule="auto" w:before="0"/>
              <w:ind w:right="89"/>
              <w:rPr>
                <w:sz w:val="20"/>
              </w:rPr>
            </w:pPr>
            <w:r>
              <w:rPr>
                <w:sz w:val="20"/>
              </w:rPr>
              <w:t>&lt;/span&gt;&lt;/p&gt;&lt;p style="line-height: 1.7999999999999998; margin-left: 0.05pt; margin-right: 7.35pt; text-indent: 70.8pt; text-align: justify; margin-top: 6pt; margin-bottom: 0pt;" dir="ltr"&gt;</w:t>
            </w:r>
          </w:p>
          <w:p>
            <w:pPr>
              <w:pStyle w:val="TableParagraph"/>
              <w:tabs>
                <w:tab w:pos="972" w:val="left" w:leader="none"/>
                <w:tab w:pos="1294" w:val="left" w:leader="none"/>
                <w:tab w:pos="2074" w:val="left" w:leader="none"/>
                <w:tab w:pos="4577" w:val="left" w:leader="none"/>
                <w:tab w:pos="4654" w:val="left" w:leader="none"/>
              </w:tabs>
              <w:spacing w:line="208" w:lineRule="auto" w:before="0"/>
              <w:ind w:right="19"/>
              <w:rPr>
                <w:sz w:val="20"/>
              </w:rPr>
            </w:pPr>
            <w:r>
              <w:rPr>
                <w:sz w:val="20"/>
              </w:rPr>
              <w:t>&lt;span style="color: #000000; background-color: transparent; font-weight: 400; font-style: normal; font-variant: normal; text-decoration: none; vertical-align: baseline; white-space: pre-wrap;"&gt;</w:t>
              <w:tab/>
              <w:t>&lt;span style="font-size: medium;"&gt;</w:t>
              <w:tab/>
              <w:tab/>
              <w:t>&lt;span style="font-family: &amp;quot;times new roman&amp;quot;, times;"&gt;Assim, a fixação de alimentos em favor do ex-cônjuge fundamenta-se no dever de mútua assistência, previsto no artigo 1.566, III, do Código </w:t>
            </w:r>
            <w:r>
              <w:rPr>
                <w:spacing w:val="-3"/>
                <w:sz w:val="20"/>
              </w:rPr>
              <w:t>Civil. </w:t>
            </w:r>
            <w:r>
              <w:rPr>
                <w:sz w:val="20"/>
              </w:rPr>
              <w:t>Da mesma forma, o artigo 1.694 do Código Civil estabelece que os cônjuges podem pedir alimentos uns aos outros, de modo compatível com a sua condição social. Veja-se os dispositivos:&lt;/span&gt;</w:t>
              <w:tab/>
              <w:t>&lt;/span&gt; &lt;/span&gt;&lt;/p&gt;&lt;p align="center"&gt; &lt;span style="font-size: small;"&gt;</w:t>
              <w:tab/>
              <w:t>&lt;strong style="font-weight: normal;"&gt;</w:t>
              <w:tab/>
              <w:t>&lt;span style="font-size: medium;"&gt;</w:t>
            </w:r>
          </w:p>
          <w:p>
            <w:pPr>
              <w:pStyle w:val="TableParagraph"/>
              <w:tabs>
                <w:tab w:pos="6345" w:val="left" w:leader="none"/>
                <w:tab w:pos="7312" w:val="left" w:leader="none"/>
              </w:tabs>
              <w:spacing w:line="190" w:lineRule="exact" w:before="0"/>
              <w:rPr>
                <w:sz w:val="20"/>
              </w:rPr>
            </w:pPr>
            <w:r>
              <w:rPr>
                <w:sz w:val="20"/>
              </w:rPr>
              <w:t>&lt;span style="font-family: &amp;quot;times new roman&amp;quot;, times;"&gt;</w:t>
              <w:tab/>
              <w:t>&lt;br /&gt;</w:t>
              <w:tab/>
              <w:t>&lt;/span&gt;</w:t>
            </w:r>
          </w:p>
          <w:p>
            <w:pPr>
              <w:pStyle w:val="TableParagraph"/>
              <w:tabs>
                <w:tab w:pos="972" w:val="left" w:leader="none"/>
                <w:tab w:pos="1327" w:val="left" w:leader="none"/>
                <w:tab w:pos="1841" w:val="left" w:leader="none"/>
                <w:tab w:pos="1939" w:val="left" w:leader="none"/>
                <w:tab w:pos="2029" w:val="left" w:leader="none"/>
                <w:tab w:pos="2473" w:val="left" w:leader="none"/>
                <w:tab w:pos="4577" w:val="left" w:leader="none"/>
                <w:tab w:pos="4774" w:val="left" w:leader="none"/>
                <w:tab w:pos="5119" w:val="left" w:leader="none"/>
                <w:tab w:pos="5299" w:val="left" w:leader="none"/>
                <w:tab w:pos="5833" w:val="left" w:leader="none"/>
              </w:tabs>
              <w:spacing w:line="208" w:lineRule="auto" w:before="7"/>
              <w:ind w:right="87"/>
              <w:rPr>
                <w:sz w:val="20"/>
              </w:rPr>
            </w:pPr>
            <w:r>
              <w:rPr>
                <w:sz w:val="20"/>
              </w:rPr>
              <w:t>&lt;/span&gt;</w:t>
              <w:tab/>
              <w:t>&lt;/strong&gt; &lt;/span&gt;&lt;/p&gt;&lt;p style="line-height: 1.7999999999999998; margin-left: 113.4pt; margin-right: 7.35pt; text-align: justify; margin-top: 6pt; margin-bottom: 0pt;" dir="ltr"&gt; &lt;span style="color: #000000; background-color: transparent; font-weight: 400; font-style: italic; font-variant: normal; text-decoration: none; vertical-align: baseline; white- space: pre-wrap;"&gt;</w:t>
              <w:tab/>
              <w:tab/>
              <w:t>&lt;span style="font-size: medium;"&gt;</w:t>
              <w:tab/>
              <w:tab/>
              <w:t>&lt;span style="font-family: &amp;quot;times new roman&amp;quot;, times;"&gt;Art. 1.566. São deveres de ambos os cônjuges:&lt;/span&gt;</w:t>
              <w:tab/>
              <w:t>&lt;/span&gt; &lt;/span&gt;&lt;/p&gt;&lt;p style="line-height: 1.7999999999999998; margin-left: 113.4pt; margin-right: 7.35pt; text-align: justify; margin-top: 6pt; margin-bottom: 0pt;" dir="ltr"&gt; &lt;span style="color: #000000; background-color: transparent; font-weight: 400; font-style: italic; font-variant: normal; text-decoration: none; vertical-align: baseline; white-space: pre-wrap;"&gt;</w:t>
              <w:tab/>
              <w:t>&lt;span style="font-size: medium;"&gt;</w:t>
              <w:tab/>
              <w:t>&lt;span style="font-family: &amp;quot;times new roman&amp;quot;, times;"&gt;[...]&lt;/span&gt;</w:t>
              <w:tab/>
              <w:tab/>
              <w:t>&lt;/span&gt; &lt;/span&gt;&lt;/p&gt;&lt;p style="line- height: 1.7999999999999998; margin-left: 113.4pt; margin-right: 7.35pt; text-align: justify; margin-top: 6pt; margin-bottom: 0pt;" dir="ltr"&gt; &lt;span style="color: #000000; background- color: transparent; font-weight: 400; font-style: italic; font-variant: normal; text-decoration: none; vertical-align: baseline; white-space: pre-wrap;"&gt;</w:t>
              <w:tab/>
              <w:t>&lt;span style="font-size: medium;"&gt;</w:t>
              <w:tab/>
              <w:t>&lt;span style="font-family: &amp;quot;times new roman&amp;quot;, times;"&gt;III - mútua assistência;&lt;/span&gt;</w:t>
              <w:tab/>
              <w:tab/>
              <w:tab/>
              <w:t>&lt;/span&gt; &lt;/span&gt;&lt;/p&gt;&lt;p align="center"&gt; &lt;span style="font-size: small;"&gt;</w:t>
              <w:tab/>
              <w:t>&lt;strong style="font-weight: normal;"&gt;</w:t>
              <w:tab/>
              <w:t>&lt;span style="font-size: medium;"&gt;</w:t>
            </w:r>
          </w:p>
          <w:p>
            <w:pPr>
              <w:pStyle w:val="TableParagraph"/>
              <w:tabs>
                <w:tab w:pos="6345" w:val="left" w:leader="none"/>
                <w:tab w:pos="7312" w:val="left" w:leader="none"/>
              </w:tabs>
              <w:spacing w:line="189" w:lineRule="exact" w:before="0"/>
              <w:rPr>
                <w:sz w:val="20"/>
              </w:rPr>
            </w:pPr>
            <w:r>
              <w:rPr>
                <w:sz w:val="20"/>
              </w:rPr>
              <w:t>&lt;span style="font-family: &amp;quot;times new roman&amp;quot;, times;"&gt;</w:t>
              <w:tab/>
              <w:t>&lt;br /&gt;</w:t>
              <w:tab/>
              <w:t>&lt;/span&gt;</w:t>
            </w:r>
          </w:p>
          <w:p>
            <w:pPr>
              <w:pStyle w:val="TableParagraph"/>
              <w:tabs>
                <w:tab w:pos="985" w:val="left" w:leader="none"/>
              </w:tabs>
              <w:spacing w:line="215" w:lineRule="exact" w:before="0"/>
              <w:rPr>
                <w:sz w:val="20"/>
              </w:rPr>
            </w:pPr>
            <w:r>
              <w:rPr>
                <w:sz w:val="20"/>
              </w:rPr>
              <w:t>&lt;/span&gt;</w:t>
              <w:tab/>
              <w:t>&lt;/strong&gt;  &lt;/span&gt;&lt;/p&gt;&lt;p style="line-height: 1.7999999999999998; margin-left: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72" w:val="left" w:leader="none"/>
                <w:tab w:pos="1907" w:val="left" w:leader="none"/>
                <w:tab w:pos="1939" w:val="left" w:leader="none"/>
                <w:tab w:pos="4577" w:val="left" w:leader="none"/>
                <w:tab w:pos="5299" w:val="left" w:leader="none"/>
              </w:tabs>
              <w:spacing w:line="208" w:lineRule="auto" w:before="26"/>
              <w:ind w:right="231"/>
              <w:rPr>
                <w:sz w:val="20"/>
              </w:rPr>
            </w:pPr>
            <w:r>
              <w:rPr>
                <w:sz w:val="20"/>
              </w:rPr>
              <w:t>113.4pt; margin-right: 7.35pt; text-align: justify; margin-top: 6pt; margin-bottom: 0pt;" dir="ltr"&gt; &lt;span style="color: #000000; background-color: transparent; font-weight: 400; font-style: italic; font-variant: normal; text-decoration: none; vertical-align: baseline; </w:t>
            </w:r>
            <w:r>
              <w:rPr>
                <w:spacing w:val="-3"/>
                <w:sz w:val="20"/>
              </w:rPr>
              <w:t>white- </w:t>
            </w:r>
            <w:r>
              <w:rPr>
                <w:sz w:val="20"/>
              </w:rPr>
              <w:t>space: pre-wrap;"&gt;</w:t>
              <w:tab/>
              <w:tab/>
              <w:t>&lt;span style="font-size: medium;"&gt;</w:t>
              <w:tab/>
              <w:t>&lt;span style="font-family: &amp;quot;times new roman&amp;quot;, times;"&gt;Art. 1.694. Podem os parentes, os cônjuges ou companheiros pedir uns aos outros os alimentos de que necessitem para viver de modo compatível com a sua condição social, inclusive para atender às necessidades de sua educação.&lt;/span&gt;</w:t>
              <w:tab/>
              <w:t>&lt;/span&gt; &lt;/span&gt;&lt;/p&gt;&lt;p align="center"&gt; &lt;span style="font-size: small;"&gt;</w:t>
              <w:tab/>
              <w:t>&lt;strong style="font-weight: normal;"&gt;</w:t>
              <w:tab/>
              <w:t>&lt;span style="font-size: medium;"&gt;</w:t>
            </w:r>
          </w:p>
          <w:p>
            <w:pPr>
              <w:pStyle w:val="TableParagraph"/>
              <w:tabs>
                <w:tab w:pos="6345" w:val="left" w:leader="none"/>
                <w:tab w:pos="7312" w:val="left" w:leader="none"/>
              </w:tabs>
              <w:spacing w:line="190" w:lineRule="exact" w:before="0"/>
              <w:rPr>
                <w:sz w:val="20"/>
              </w:rPr>
            </w:pPr>
            <w:r>
              <w:rPr>
                <w:sz w:val="20"/>
              </w:rPr>
              <w:t>&lt;span style="font-family: &amp;quot;times new roman&amp;quot;, times;"&gt;</w:t>
              <w:tab/>
              <w:t>&lt;br /&gt;</w:t>
              <w:tab/>
              <w:t>&lt;/span&gt;</w:t>
            </w:r>
          </w:p>
          <w:p>
            <w:pPr>
              <w:pStyle w:val="TableParagraph"/>
              <w:tabs>
                <w:tab w:pos="985" w:val="left" w:leader="none"/>
                <w:tab w:pos="3773" w:val="left" w:leader="none"/>
                <w:tab w:pos="4431" w:val="left" w:leader="none"/>
                <w:tab w:pos="5347" w:val="left" w:leader="none"/>
              </w:tabs>
              <w:spacing w:line="208" w:lineRule="auto" w:before="10"/>
              <w:ind w:right="31"/>
              <w:rPr>
                <w:sz w:val="20"/>
              </w:rPr>
            </w:pPr>
            <w:r>
              <w:rPr>
                <w:sz w:val="20"/>
              </w:rPr>
              <w:t>&lt;/span&gt;</w:t>
              <w:tab/>
              <w:t>&lt;/strong&gt; &lt;/span&gt;&lt;/p&gt;&lt;p style="line-height: 1.7999999999999998; margin-left: 0.05pt; margin-right: 7.35pt; text-indent: 70.8pt; text-align: justify; margin-top: 6pt; margin- bottom: 0pt;" dir="ltr"&gt;  &lt;span style="font-size: medium;"&gt;</w:t>
              <w:tab/>
              <w:t>&lt;span style="font-family: &amp;quot;times new roman&amp;quot;, times;"&gt;</w:t>
              <w:tab/>
              <w:t>&lt;span style="color: #000000; background-color: transparent; font-weight: 400; font-style: normal; font-variant: normal; text-decoration: none; vertical-align: baseline; white-space: pre-wrap;"&gt;Todavia, o arbitramento depende de </w:t>
            </w:r>
            <w:r>
              <w:rPr>
                <w:spacing w:val="-4"/>
                <w:sz w:val="20"/>
              </w:rPr>
              <w:t>prova </w:t>
            </w:r>
            <w:r>
              <w:rPr>
                <w:sz w:val="20"/>
              </w:rPr>
              <w:t>inequívoca da necessidade do auxílio,&lt;/span&gt;</w:t>
              <w:tab/>
              <w:t>&lt;span style="color: #000000;</w:t>
            </w:r>
          </w:p>
          <w:p>
            <w:pPr>
              <w:pStyle w:val="TableParagraph"/>
              <w:tabs>
                <w:tab w:pos="1216" w:val="left" w:leader="none"/>
                <w:tab w:pos="7189" w:val="left" w:leader="none"/>
              </w:tabs>
              <w:spacing w:line="208" w:lineRule="auto" w:before="0"/>
              <w:ind w:right="63"/>
              <w:rPr>
                <w:sz w:val="20"/>
              </w:rPr>
            </w:pPr>
            <w:r>
              <w:rPr>
                <w:sz w:val="20"/>
              </w:rPr>
              <w:t>background-color: transparent; font-weight: 700; font-style: normal; font-variant: normal; text-decoration: none; vertical-align: baseline; white-space: pre-wrap;"&gt;o que não restou evidente no presente caso.&lt;/span&gt;&lt;/span&gt; &lt;/span&gt;&lt;/p&gt;&lt;p style="line-height: 1.7999999999999998; margin-left: 0.05pt; margin-right: 7.35pt; text-indent: 70.8pt; text- align: justify; margin-top: 6pt; margin-bottom: 0pt;" dir="ltr"&gt; &lt;span style="font-size: medium;"&gt;</w:t>
              <w:tab/>
              <w:t>&lt;span style="font-family: &amp;quot;times new roman&amp;quot;, times;"&gt;</w:t>
              <w:tab/>
              <w:t>&lt;span style="color: #000000; background-color: transparent; font-weight: 400; font-style: normal; font-variant: normal; text-decoration: none; vertical-align: baseline; white-space: pre- wrap;"&gt;Pois bem. Analisando-se os autos, é possível constatar que, a agravante não comprova o pressuposto necessário para o deferimento dos alimentos provisórios, qual seja, a sua situação de dependência econômica na constância da união. Veja-se que, </w:t>
            </w:r>
            <w:r>
              <w:rPr>
                <w:spacing w:val="-6"/>
                <w:sz w:val="20"/>
              </w:rPr>
              <w:t>com </w:t>
            </w:r>
            <w:r>
              <w:rPr>
                <w:sz w:val="20"/>
              </w:rPr>
              <w:t>base na afirmação da própria agravante, durante o período da união estável, 2020 a 2024, a autora poussía trabalho formal, conforme extrato previdenciário, ID de n. 21273720.</w:t>
            </w:r>
          </w:p>
          <w:p>
            <w:pPr>
              <w:pStyle w:val="TableParagraph"/>
              <w:tabs>
                <w:tab w:pos="2484" w:val="left" w:leader="none"/>
                <w:tab w:pos="2794" w:val="left" w:leader="none"/>
                <w:tab w:pos="3697" w:val="left" w:leader="none"/>
                <w:tab w:pos="5830" w:val="left" w:leader="none"/>
                <w:tab w:pos="7275" w:val="left" w:leader="none"/>
                <w:tab w:pos="7332" w:val="left" w:leader="none"/>
              </w:tabs>
              <w:spacing w:line="208" w:lineRule="auto" w:before="0"/>
              <w:ind w:right="20"/>
              <w:rPr>
                <w:sz w:val="20"/>
              </w:rPr>
            </w:pPr>
            <w:r>
              <w:rPr>
                <w:sz w:val="20"/>
              </w:rPr>
              <w:t>Além disso, consta nos autos,&lt;/span&gt;</w:t>
              <w:tab/>
              <w:t>&lt;span style="color: #000000; background-color: transparent; font-weight: 400; font-style: italic; font-variant: normal; text-decoration: none; vertical-align: baseline; white-space: pre-wrap;"&gt;prints&lt;/span&gt;</w:t>
              <w:tab/>
              <w:t>&lt;span style="color: #000000; background-color: transparent; font-weight: 400; font-style: normal; font-variant: normal; text-decoration: none; vertical-align: baseline; white-space: pre-wrap;"&gt;de conversa da recorrente com o ex-companheiro por meio do aplicativo w&lt;/span&gt;</w:t>
              <w:tab/>
              <w:tab/>
              <w:t>&lt;span style="color: #000000; background-color: transparent; font-weight: 400; font-style: italic; font-variant: normal; text-decoration: none; vertical-align: baseline; white-space: pre- wrap;"&gt;hatsapp,&lt;/span&gt;</w:t>
              <w:tab/>
              <w:t>&lt;span style="color: #000000; background-color: transparent; font-weight: 400; font-style: normal; font-variant: normal; text-decoration: none; vertical- align: baseline; white-space: pre-wrap;"&gt;IDs de ns. 21273723 e 21273724, em que essa relata a divisão de despesas com o recorrido.&lt;/span&gt;&lt;/span&gt; &lt;/span&gt;&lt;/p&gt;&lt;p style="line- height: 1.7999999999999998; margin-left: 0.05pt; margin-right: 7.35pt; text-indent: 70.8pt; text-align: justify; margin-top: 6pt; margin-bottom: 0pt;" dir="ltr"&gt; &lt;span style="color: #000000; background-color: transparent; font-weight: 400; font-style: normal; font-variant: normal; text-decoration: none; vertical-align: baseline; white-space: pre-wrap;"&gt;</w:t>
              <w:tab/>
              <w:t>&lt;span style="font-size: medium;"&gt;</w:t>
              <w:tab/>
              <w:tab/>
              <w:t>&lt;span style="font-family: &amp;quot;times new roman&amp;quot;, times;"&gt;Ademais, a autora encontrava-se trabalhando quando sofreu acidente, tanto é, </w:t>
            </w:r>
            <w:r>
              <w:rPr>
                <w:spacing w:val="-6"/>
                <w:sz w:val="20"/>
              </w:rPr>
              <w:t>que </w:t>
            </w:r>
            <w:r>
              <w:rPr>
                <w:sz w:val="20"/>
              </w:rPr>
              <w:t>informa ter solicitado o benefício de auxílio-doença junto à autarquia previdenciária (INSS), fazendo prova o documento ID de n. 21273725, com abertura do pedido em 08/10/2024.</w:t>
            </w:r>
          </w:p>
          <w:p>
            <w:pPr>
              <w:pStyle w:val="TableParagraph"/>
              <w:spacing w:line="208" w:lineRule="auto" w:before="0"/>
              <w:ind w:right="301"/>
              <w:rPr>
                <w:sz w:val="20"/>
              </w:rPr>
            </w:pPr>
            <w:r>
              <w:rPr>
                <w:sz w:val="20"/>
              </w:rPr>
              <w:t>Tal informação, por si, é apta a infirmar a probabilidade do direito da recorrente, ante as evidências de obtenção de recursos por si mesma para o seu próprio sustento.&lt;/span&gt;</w:t>
            </w:r>
          </w:p>
          <w:p>
            <w:pPr>
              <w:pStyle w:val="TableParagraph"/>
              <w:tabs>
                <w:tab w:pos="2662" w:val="left" w:leader="none"/>
                <w:tab w:pos="4624" w:val="left" w:leader="none"/>
                <w:tab w:pos="6054" w:val="left" w:leader="none"/>
              </w:tabs>
              <w:spacing w:line="208" w:lineRule="auto" w:before="0"/>
              <w:ind w:right="127"/>
              <w:rPr>
                <w:sz w:val="20"/>
              </w:rPr>
            </w:pPr>
            <w:r>
              <w:rPr>
                <w:sz w:val="20"/>
              </w:rPr>
              <w:t>&lt;/span&gt; &lt;/span&gt;&lt;/p&gt;&lt;p style="line-height: 1.7999999999999998; margin-left: 0.05pt; margin-right: 7.35pt; text-indent: 70.8pt; text-align: justify; margin-top: 6pt; margin-bottom: 0pt;" dir="ltr"&gt;  &lt;span style="font-size: medium;"&gt;</w:t>
              <w:tab/>
              <w:t>&lt;span style="font-family: &amp;quot;times new roman&amp;quot;, times;"&gt;</w:t>
              <w:tab/>
              <w:t>&lt;span style="color: #000000; background-color: </w:t>
            </w:r>
            <w:r>
              <w:rPr>
                <w:spacing w:val="-2"/>
                <w:sz w:val="20"/>
              </w:rPr>
              <w:t>transparent; </w:t>
            </w:r>
            <w:r>
              <w:rPr>
                <w:sz w:val="20"/>
              </w:rPr>
              <w:t>font-weight: 400; font-style: normal; font-variant: normal; text-decoration: none; vertical- align: baseline; white-space: pre-wrap;"&gt;Não se ignora que as condições de saúde da recorrente possam onerar sobremaneira seu orçamento,&lt;/span&gt;</w:t>
              <w:tab/>
              <w:t>&lt;span style="color: #000000; background-color: transparent; font-weight: 700; font-style: normal; font-variant: normal; text-decoration: none; vertical-align: baseline; white-space: pre-wrap;"&gt;mas ainda não há elementos suficientes a evidenciar a necessidade da percepção da verba.&lt;/span&gt;</w:t>
            </w:r>
          </w:p>
          <w:p>
            <w:pPr>
              <w:pStyle w:val="TableParagraph"/>
              <w:spacing w:line="208" w:lineRule="auto" w:before="0"/>
              <w:ind w:right="292"/>
              <w:rPr>
                <w:sz w:val="20"/>
              </w:rPr>
            </w:pPr>
            <w:r>
              <w:rPr>
                <w:sz w:val="20"/>
              </w:rPr>
              <w:t>&lt;span style="color: #000000; background-color: transparent; font-weight: 400; font-style: normal; font-variant: normal; text-decoration: none; vertical-align: baseline; white-space: pre-wrap;"&gt;Sobre o assunto, é o entendimento deste Tribunal de Justiça, veja- se:&lt;/span&gt;&lt;/span&gt; &lt;/span&gt;&lt;/p&gt;&lt;p align="center"&gt; &lt;span style="font-size: small;"&gt;</w:t>
            </w:r>
          </w:p>
          <w:p>
            <w:pPr>
              <w:pStyle w:val="TableParagraph"/>
              <w:tabs>
                <w:tab w:pos="3644" w:val="left" w:leader="none"/>
                <w:tab w:pos="5739" w:val="left" w:leader="none"/>
                <w:tab w:pos="6706" w:val="left" w:leader="none"/>
                <w:tab w:pos="7115" w:val="left" w:leader="none"/>
              </w:tabs>
              <w:spacing w:line="208" w:lineRule="auto" w:before="0"/>
              <w:ind w:right="486"/>
              <w:rPr>
                <w:sz w:val="20"/>
              </w:rPr>
            </w:pPr>
            <w:r>
              <w:rPr>
                <w:sz w:val="20"/>
              </w:rPr>
              <w:t>&lt;strong style="font-weight: normal;"&gt;</w:t>
              <w:tab/>
              <w:t>&lt;span style="font-size: medium;"&gt;</w:t>
              <w:tab/>
              <w:tab/>
            </w:r>
            <w:r>
              <w:rPr>
                <w:spacing w:val="-4"/>
                <w:sz w:val="20"/>
              </w:rPr>
              <w:t>&lt;span </w:t>
            </w:r>
            <w:r>
              <w:rPr>
                <w:sz w:val="20"/>
              </w:rPr>
              <w:t>style="font-family: &amp;quot;times new roman&amp;quot;, times;"&gt;</w:t>
              <w:tab/>
              <w:t>&lt;br /&gt;</w:t>
              <w:tab/>
              <w:t>&lt;/span&gt;</w:t>
            </w:r>
          </w:p>
          <w:p>
            <w:pPr>
              <w:pStyle w:val="TableParagraph"/>
              <w:tabs>
                <w:tab w:pos="985" w:val="left" w:leader="none"/>
              </w:tabs>
              <w:spacing w:line="208" w:lineRule="auto" w:before="0"/>
              <w:ind w:right="143"/>
              <w:rPr>
                <w:sz w:val="20"/>
              </w:rPr>
            </w:pPr>
            <w:r>
              <w:rPr>
                <w:sz w:val="20"/>
              </w:rPr>
              <w:t>&lt;/span&gt;</w:t>
              <w:tab/>
              <w:t>&lt;/strong&gt; &lt;/span&gt;&lt;/p&gt;&lt;p style="line-height: 1.7999999999999998; </w:t>
            </w:r>
            <w:r>
              <w:rPr>
                <w:spacing w:val="-2"/>
                <w:sz w:val="20"/>
              </w:rPr>
              <w:t>margin-left: </w:t>
            </w:r>
            <w:r>
              <w:rPr>
                <w:sz w:val="20"/>
              </w:rPr>
              <w:t>113.1pt; margin-right: 7.35pt; text-align: justify; margin-top: 6pt; margin-bottom: 0pt;"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1"/>
              <w:rPr>
                <w:sz w:val="20"/>
              </w:rPr>
            </w:pPr>
            <w:r>
              <w:rPr>
                <w:sz w:val="20"/>
              </w:rPr>
              <w:t>dir="ltr"&gt;&lt;span style="font-size: medium;"&gt; &lt;span style="font-family: &amp;quot;times new roman&amp;quot;, times;"&gt; &lt;span style="color: #000000; background-color: #ffffff; font-weight: 700; font-style: normal; font-variant: normal; text-decoration: none; vertical-align: baseline; white-space: pre-wrap;"&gt;DIREITO DE FAMÍLIA. AGRAVO DE INSTRUMENTO EM AÇÃO DE RECONHECIMENTO E DISSOLUÇÃO DE UNIÃO ESTÁVEL. PEDIDO DE ALIMENTOS PROVISÓRIOS EM FAVOR DE EX-COMPANHEIRO. NECESSIDADE NÃO COMPROVADA. RECURSO CONHECIDO E DESPROVIDO.&lt;/span&gt;   &lt;span</w:t>
            </w:r>
            <w:r>
              <w:rPr>
                <w:spacing w:val="8"/>
                <w:sz w:val="20"/>
              </w:rPr>
              <w:t> </w:t>
            </w:r>
            <w:r>
              <w:rPr>
                <w:spacing w:val="-2"/>
                <w:sz w:val="20"/>
              </w:rPr>
              <w:t>style="color:</w:t>
            </w:r>
          </w:p>
          <w:p>
            <w:pPr>
              <w:pStyle w:val="TableParagraph"/>
              <w:spacing w:line="208" w:lineRule="auto" w:before="0"/>
              <w:ind w:right="53"/>
              <w:rPr>
                <w:sz w:val="20"/>
              </w:rPr>
            </w:pPr>
            <w:r>
              <w:rPr>
                <w:sz w:val="20"/>
              </w:rPr>
              <w:t>#000000; background-color: #ffffff; font-weight: 400; font-style: normal; font-variant: </w:t>
            </w:r>
            <w:r>
              <w:rPr>
                <w:spacing w:val="-3"/>
                <w:sz w:val="20"/>
              </w:rPr>
              <w:t>normal; </w:t>
            </w:r>
            <w:r>
              <w:rPr>
                <w:sz w:val="20"/>
              </w:rPr>
              <w:t>text-decoration: none; vertical-align: baseline; white-space: pre-wrap;"&gt;I. CASO EM EXAME: Agravo de instrumento interposto contra a decisão interlocutória que, nos autos da Ação de Reconhecimento e Dissolução de União Estável originária, indeferiu o pedido de alimentos provisórios formulado pelo Promovente, ora Agravante. II. QUESTÃO EM DISCUSSÃO: O cerne da controvérsia recursal reside no exame do cabimento de alimentos provisórios da ex-companheira em favor do ora Agravante, requestados no valor equivalente a 40% (quarenta por cento) dos rendimentos da ora Agravada. III. RAZÕES DE DECIDIR: (i) Nos termos do caput do art. 1.694 do Código Civil, ¿podem os parentes, os cônjuges ou companheiros pedir uns aos outros os alimentos de que necessitem para viver de modo compatível com a sua condição social, inclusive para atender às necessidades de sua educação¿. (ii) No caso de alimentos entre ex-cônjuges, a regra é que a prestação material exija efetiva comprovação da necessidade do(a) alimentando(a) e tenha caráter transitório, ou seja, tenha termo certo, visando apenas a assegurar ao beneficiário tempo hábil para que reingresse ou se recoloque no mercado de trabalho. (iii) É incontroverso, in casu, que o Agravante aufere benefício previdenciário mensal no valor de quase quatro mil reais. Além disso, há notícia de outros aspectos indicativos da desnecessidade da verba alimentar, como a existência de um imóvel de propriedade do Recorrente que estaria atualmente locado e, portanto, proporcionando-lhe renda adicional; bem como de um veículo automotor próprio e de aplicações financeiras, pesando todos esses elementos em desfavor da pretensão objeto deste recurso. (iv) O próprio Agravante apresentou, nos autos, comprovantes de pagamento de taxas condominiais em seu nome, evidenciando contribuição própria para as despesas comuns e disponibilidade de recursos para o pagamento de despesas ordinárias. (v) Os alimentos em questão não podem ser destinados à recomposição do padrão de vida experimentado pelo postulante na constância do relacionamento, sob pena de distorção da finalidade do instituto. (vi) Ainda não há elementos suficientes a evidenciar a necessidade da percepção da verba. Impõe- se aprofundamento cognitivo a respeito de diversos pontos suscitados pelas partes, sobretudo em relação ao patrimônio pessoal do Recorrente, aos seus gastos ordinários e de saúde e à possível percepção de renda complementar ao seu benefício previdenciário.</w:t>
            </w:r>
          </w:p>
          <w:p>
            <w:pPr>
              <w:pStyle w:val="TableParagraph"/>
              <w:tabs>
                <w:tab w:pos="4509" w:val="left" w:leader="none"/>
              </w:tabs>
              <w:spacing w:line="208" w:lineRule="auto" w:before="0"/>
              <w:ind w:right="100"/>
              <w:rPr>
                <w:sz w:val="20"/>
              </w:rPr>
            </w:pPr>
            <w:r>
              <w:rPr>
                <w:sz w:val="20"/>
              </w:rPr>
              <w:t>IV. DISPOSITIVO: Recurso conhecido e desprovido.&lt;/span&gt;&lt;/span&gt;&lt;/span&gt; &lt;span style="font-family: &amp;quot;times new roman&amp;quot;, times; font-size: medium; white-space- collapse: preserve;"&gt;(Agravo de Instrumento&amp;#160;- 0624041-66.2025.8.06.0000, Rel. Desembargador JOSÉ RICARDO VIDAL PATROCÍNIO, 1ª Câmara Direito Privado, data do julgamento:&amp;#160; 30/07/2025, data da publicação:&amp;#160; 31/07/2025).&lt;/span&gt;&lt;/p&gt;&lt;p align="center"&gt;  &lt;span style="font-size: small;"&gt;</w:t>
              <w:tab/>
              <w:t>&lt;strong style="font-weight: normal;"&gt;</w:t>
            </w:r>
          </w:p>
          <w:p>
            <w:pPr>
              <w:pStyle w:val="TableParagraph"/>
              <w:tabs>
                <w:tab w:pos="1216" w:val="left" w:leader="none"/>
                <w:tab w:pos="2573" w:val="left" w:leader="none"/>
                <w:tab w:pos="3511" w:val="left" w:leader="none"/>
                <w:tab w:pos="4596" w:val="left" w:leader="none"/>
                <w:tab w:pos="5541" w:val="left" w:leader="none"/>
                <w:tab w:pos="6573" w:val="left" w:leader="none"/>
                <w:tab w:pos="7189" w:val="left" w:leader="none"/>
              </w:tabs>
              <w:spacing w:line="208" w:lineRule="auto" w:before="0"/>
              <w:ind w:right="176"/>
              <w:rPr>
                <w:sz w:val="20"/>
              </w:rPr>
            </w:pPr>
            <w:r>
              <w:rPr>
                <w:sz w:val="20"/>
              </w:rPr>
              <w:t>&lt;span style="font-size: medium;"&gt;</w:t>
              <w:tab/>
              <w:t>&lt;span style="font-family: &amp;quot;times new roman&amp;quot;, times;"&gt;</w:t>
              <w:tab/>
              <w:t>&lt;br /&gt;</w:t>
              <w:tab/>
              <w:t>&lt;/span&gt;</w:t>
              <w:tab/>
              <w:t>&lt;/span&gt;</w:t>
              <w:tab/>
              <w:t>&lt;/strong&gt; &lt;/span&gt;&lt;/p&gt;&lt;p style="line-height: 1.7999999999999998; margin-left: 113.1pt; margin-right: 7.3pt; text- align: justify; margin-top: 6pt; margin-bottom: 0pt;" dir="ltr"&gt; &lt;span style="font-size: medium;"&gt;</w:t>
              <w:tab/>
              <w:t>&lt;span style="font-family: &amp;quot;times new roman&amp;quot;, times;"&gt;</w:t>
              <w:tab/>
              <w:t>&lt;span style="color: #000000; background-color: transparent; font-weight: 400; font-style: </w:t>
            </w:r>
            <w:r>
              <w:rPr>
                <w:spacing w:val="-3"/>
                <w:sz w:val="20"/>
              </w:rPr>
              <w:t>normal; </w:t>
            </w:r>
            <w:r>
              <w:rPr>
                <w:sz w:val="20"/>
              </w:rPr>
              <w:t>font-variant: normal; text-decoration: none; vertical-align: baseline; white-space: pre- wrap;"&gt;AGRAVO DE INSTRUMENTO. DIREITO DE FAMÍLIA.&lt;/span&gt;</w:t>
              <w:tab/>
              <w:t>&lt;span</w:t>
            </w:r>
          </w:p>
          <w:p>
            <w:pPr>
              <w:pStyle w:val="TableParagraph"/>
              <w:spacing w:line="208" w:lineRule="auto" w:before="0"/>
              <w:ind w:right="176"/>
              <w:rPr>
                <w:sz w:val="20"/>
              </w:rPr>
            </w:pPr>
            <w:r>
              <w:rPr>
                <w:sz w:val="20"/>
              </w:rPr>
              <w:t>style="color: #000000; background-color: transparent; font-weight: 700; font-style: normal; font-variant: normal; text-decoration: none; vertical-align: baseline; white-space: pre- wrap;"&gt;PENSIONAMENTO ENTRE EX-CÔNJUGES. EXCEPCIONALIDADE.</w:t>
            </w:r>
          </w:p>
          <w:p>
            <w:pPr>
              <w:pStyle w:val="TableParagraph"/>
              <w:tabs>
                <w:tab w:pos="4097" w:val="left" w:leader="none"/>
              </w:tabs>
              <w:spacing w:line="208" w:lineRule="auto" w:before="0"/>
              <w:ind w:right="53"/>
              <w:rPr>
                <w:sz w:val="20"/>
              </w:rPr>
            </w:pPr>
            <w:r>
              <w:rPr>
                <w:sz w:val="20"/>
              </w:rPr>
              <w:t>IMPOSSIBILIDADE NA ESPÉCIE.&lt;/span&gt;</w:t>
              <w:tab/>
              <w:t>&lt;span style="color: #000000; background- color: transparent; font-weight: 400; font-style: normal; font-variant: normal; text-decoration: none; vertical-align: baseline; white-space: pre-wrap;"&gt;ALIMENTOS PROVISÓRIOS. FIXADOS EM BENEFÍCIO DA FILHA MENOR. MAJORAÇÃO. INDEFERIMENTO.</w:t>
            </w:r>
          </w:p>
          <w:p>
            <w:pPr>
              <w:pStyle w:val="TableParagraph"/>
              <w:spacing w:line="208" w:lineRule="auto" w:before="0"/>
              <w:ind w:right="98"/>
              <w:rPr>
                <w:sz w:val="20"/>
              </w:rPr>
            </w:pPr>
            <w:r>
              <w:rPr>
                <w:sz w:val="20"/>
              </w:rPr>
              <w:t>RECURSO IMPROVIDO.&lt;/span&gt;&lt;/span&gt; &lt;/span&gt;&lt;/p&gt;&lt;p style="line-height: 1.7999999999999998; margin-left: 113.1pt; margin-right: 7.35pt; text-align: justify; margin- top: 6pt; margin-bottom: 0pt;" dir="ltr"&gt;&lt;span style="font-size: medium;"&gt; &lt;span style="font-family: &amp;quot;times new roman&amp;quot;, times;"&gt; &lt;span style="color: #000000; background-color: transparent; font-weight: 400; font-style: normal; font-variant: normal; text-decoration: none; vertical-align: baseline; white-space: pre-wrap;"&gt;1. Compulsando </w:t>
            </w:r>
            <w:r>
              <w:rPr>
                <w:spacing w:val="-9"/>
                <w:sz w:val="20"/>
              </w:rPr>
              <w:t>os </w:t>
            </w:r>
            <w:r>
              <w:rPr>
                <w:sz w:val="20"/>
              </w:rPr>
              <w:t>autos, observa-se que os argumentos e os documentos colacionados não permitem formular um juízo de probabilidade acerca da existência do direito alegado pelas</w:t>
            </w:r>
          </w:p>
          <w:p>
            <w:pPr>
              <w:pStyle w:val="TableParagraph"/>
              <w:spacing w:line="208" w:lineRule="auto" w:before="0"/>
              <w:ind w:right="19"/>
              <w:rPr>
                <w:sz w:val="20"/>
              </w:rPr>
            </w:pPr>
            <w:r>
              <w:rPr>
                <w:sz w:val="20"/>
              </w:rPr>
              <w:t>agravantes, pois as recorrentes não comprovaram as suas alegações de forma suficiente </w:t>
            </w:r>
            <w:r>
              <w:rPr>
                <w:spacing w:val="-18"/>
                <w:sz w:val="20"/>
              </w:rPr>
              <w:t>a </w:t>
            </w:r>
            <w:r>
              <w:rPr>
                <w:sz w:val="20"/>
              </w:rPr>
              <w:t>ensejar a reforma da decisão para fixar alimentos a ex-consorte e para majorar os alimentos fixados à filha do ex-casal. 2. Como bem ressaltou o Min. Luiz Felipe Salomão no Resp 1.454.263/CE&lt;/span&gt; &lt;span style="color: #000000; background-color: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transparent; font-weight: 700; font-style: normal; font-variant: normal; text-decoration: none; vertical-align: baseline; white-space: pre-wrap;"&gt;, o pensionamento entre ex-cônjuges "é excepcional, de modo que, quando devidos, ostentam, ordinariamente, caráter assistencial e transitório, persistindo apenas pelo prazo necessário e suficiente ao soerguimento do alimentado, com sua reinserção no mercado de trabalho ou, de outra forma, com seu autossustento e autonomia financeira.".&lt;/span&gt; &lt;span style="color: #000000; background-color: transparent; font-weight: 400; font-style: normal; font-variant: normal; text-decoration: none; vertical-align: baseline; white-space: pre-wrap;"&gt;3&lt;/span&gt; &lt;span style="color: #000000; background-color: transparent; font-weight: 700; font-style: normal; font-variant: normal; text-decoration: none; vertical-align: baseline; white-space: pre- wrap;"&gt;. Para que fosse fixada a obrigação alimentar entre ex-cônjuges seria&lt;/span&gt;</w:t>
            </w:r>
          </w:p>
          <w:p>
            <w:pPr>
              <w:pStyle w:val="TableParagraph"/>
              <w:spacing w:line="208" w:lineRule="auto" w:before="0"/>
              <w:ind w:right="41"/>
              <w:rPr>
                <w:sz w:val="20"/>
              </w:rPr>
            </w:pPr>
            <w:r>
              <w:rPr>
                <w:sz w:val="20"/>
              </w:rPr>
              <w:t>&lt;span style="color: #000000; background-color: transparent; font-weight: 700; font-style: normal; font-variant: normal; text-decoration-skip-ink: none; vertical-align: baseline; white- space: pre-wrap; text-decoration: underline;"&gt;indispensável a prova da incapacidade financeira de prover o seu&lt;/span&gt; &lt;span style="color: #000000; background-color: transparent; font-weight: 700; font-style: normal; font-variant: normal; text-decoration-skip- ink: none; vertical-align: baseline; white-space: pre-wrap; text-decoration: underline;"&gt;autossustento, ou da impossibilidade laboral, ou da dificuldade de reinserção no&lt;/span&gt; &lt;span style="color: #000000; background-color: transparent; font-weight: 700; font-style: normal; font-variant: normal; text-decoration-skip-ink: none; vertical-align: baseline; white-space: pre-wrap; text-decoration: underline;"&gt;mercado de trabalho, em razão da idade ou da falta de qualificação, requisitos&lt;/span&gt;  &lt;span style="color: #000000; background-color: transparent; font-weight: 700; font-style: normal; font-variant: normal; text-decoration-skip-ink: none; vertical-align: baseline; white-space: pre-wrap; text- decoration: underline;"&gt;estes não evidenciados na presente lide&lt;/span&gt; &lt;span style="color: #000000; background-color: transparent; font-weight: 400; font-style: normal; font-variant: normal; text-decoration: none; vertical-align: baseline; white-space: pre- wrap;"&gt;. Afinal, a primeira agravante é uma pessoa jovem de 33 (trinta e três) anos, graduada em Engenharia de Pesca, que goza de saúde, transparecendo, assim, ser </w:t>
            </w:r>
            <w:r>
              <w:rPr>
                <w:spacing w:val="-4"/>
                <w:sz w:val="20"/>
              </w:rPr>
              <w:t>capaz </w:t>
            </w:r>
            <w:r>
              <w:rPr>
                <w:sz w:val="20"/>
              </w:rPr>
              <w:t>de manter a sua própria subsistência, motivo pelo qual não se pode reformar a decisão do Juízo a quo. 4. Quanto ao pleito para majorar os alimentos da segunda agravante, é cediço que a obrigação alimentar possui o caráter de variabilidade, devendo coadunar-se com o binômio da necessidade do alimentado e a possibilidade do alimentante. 5. Afinal, o Código Civil, em seu art. 1.694, dispõe que os alimentos devem ser fixados na proporção das necessidades do alimentando e dos recursos do alimentante, o que significa dizer que a verba alimentar deve ser arbitrada observando-se a justa ponderação do binômio necessidade e possibilidade, em atenção, desta forma, ao princípio da proporcionalidade.</w:t>
            </w:r>
          </w:p>
          <w:p>
            <w:pPr>
              <w:pStyle w:val="TableParagraph"/>
              <w:tabs>
                <w:tab w:pos="1216" w:val="left" w:leader="none"/>
                <w:tab w:pos="7300" w:val="left" w:leader="none"/>
              </w:tabs>
              <w:spacing w:line="208" w:lineRule="auto" w:before="0"/>
              <w:ind w:right="108"/>
              <w:rPr>
                <w:sz w:val="20"/>
              </w:rPr>
            </w:pPr>
            <w:r>
              <w:rPr>
                <w:sz w:val="20"/>
              </w:rPr>
              <w:t>6. Ao se compulsar os autos, observa-se que os elementos probatórios não autorizam a alteração dos alimentos para o montante de 10 (dez) salários-mínimos, já que o alimentante não sobeja ter a capacidade financeira alegada pelas agravantes, sobretudo quando se analisa o contracheque de 09/2020 do agravado, fl. 468, o qual demonstra que o alimentante percebe uma remuneração de R$ 13.439,00 (treze mil, quatrocentos e </w:t>
            </w:r>
            <w:r>
              <w:rPr>
                <w:spacing w:val="-3"/>
                <w:sz w:val="20"/>
              </w:rPr>
              <w:t>trinta </w:t>
            </w:r>
            <w:r>
              <w:rPr>
                <w:sz w:val="20"/>
              </w:rPr>
              <w:t>e nove reais). 7. Recurso improvido.&amp;#160; [...]&amp;#160; (&lt;/span&gt; &lt;span style="color: #000000; background-color: transparent; font-weight: 700; font-style: normal; font-variant: normal; text-decoration: none; vertical-align: baseline; white-space: pre-wrap;"&gt;TJ- CE&amp;#160;&lt;/span&gt; &lt;span style="color: #000000; background-color: transparent; font- weight: 400; font-style: normal; font-variant: normal; text-decoration: none; vertical-align: baseline; white-space: pre-wrap;"&gt;-&amp;#160; AI:&amp;#160; 06374456320208060000&amp;#160; CE 0637445-63.2020.8.06.0000, Relator: CARLOS ALBERTO MENDES FORTE,&lt;/span&gt;&lt;/span&gt;&lt;/span&gt; &lt;span style="font-family: &amp;quot;times new roman&amp;quot;, times; font-size: medium; background-color: transparent; white-space-collapse: preserve;"&gt;Data de Julgamento: 11/08/2021, 2ª Câmara Direito Privado, Data de Publicação: 11/08/2021).&lt;/span&gt;&lt;/p&gt;&lt;p align="center"&gt; &lt;span style="font-size: medium;"&gt;</w:t>
              <w:tab/>
              <w:t>&lt;span style="font-family: &amp;quot;times new roman&amp;quot;, times;"&gt;</w:t>
              <w:tab/>
              <w:t>&lt;br /&gt;</w:t>
            </w:r>
          </w:p>
          <w:p>
            <w:pPr>
              <w:pStyle w:val="TableParagraph"/>
              <w:tabs>
                <w:tab w:pos="2662" w:val="left" w:leader="none"/>
                <w:tab w:pos="4419" w:val="left" w:leader="none"/>
                <w:tab w:pos="4624" w:val="left" w:leader="none"/>
              </w:tabs>
              <w:spacing w:line="208" w:lineRule="auto" w:before="0"/>
              <w:ind w:right="127"/>
              <w:rPr>
                <w:sz w:val="20"/>
              </w:rPr>
            </w:pPr>
            <w:r>
              <w:rPr>
                <w:sz w:val="20"/>
              </w:rPr>
              <w:t>&lt;/span&gt; &lt;/span&gt;&lt;/p&gt;&lt;p style="line-height: 1.7999999999999998; margin-left: 0.05pt; margin-right: 7.35pt; text-indent: 70.8pt; text-align: justify; margin-top: 6pt; margin-bottom: 0pt;" dir="ltr"&gt;  &lt;span style="font-size: medium;"&gt;</w:t>
              <w:tab/>
              <w:tab/>
              <w:t>&lt;span style="font-family: &amp;quot;times new roman&amp;quot;, times;"&gt;</w:t>
              <w:tab/>
              <w:t>&lt;span style="color: #000000; background-color: </w:t>
            </w:r>
            <w:r>
              <w:rPr>
                <w:spacing w:val="-2"/>
                <w:sz w:val="20"/>
              </w:rPr>
              <w:t>transparent; </w:t>
            </w:r>
            <w:r>
              <w:rPr>
                <w:sz w:val="20"/>
              </w:rPr>
              <w:t>font-weight: 400; font-style: normal; font-variant: normal; text-decoration: none; vertical- align: baseline; white-space: pre-wrap;"&gt;Todos esses aspectos demandam o aprofundamento cognitivo próprio da instrução probatória. Por ora, não há elementos suficientes ao deferimento dos alimentos requestados, razão pela qual não vislumbro lastro fático-jurídico para a reforma do&lt;/span&gt;</w:t>
              <w:tab/>
              <w:t>&lt;span style="color: #000000; background-color: transparent; font-weight: 400; font-style: italic; font-variant: normal; text- decoration: none; vertical-align: baseline; white-space: pre-wrap;"&gt;decisum&lt;/span&gt;</w:t>
            </w:r>
          </w:p>
          <w:p>
            <w:pPr>
              <w:pStyle w:val="TableParagraph"/>
              <w:spacing w:line="208" w:lineRule="auto" w:before="0"/>
              <w:ind w:right="292"/>
              <w:rPr>
                <w:sz w:val="20"/>
              </w:rPr>
            </w:pPr>
            <w:r>
              <w:rPr>
                <w:sz w:val="20"/>
              </w:rPr>
              <w:t>&lt;span style="color: #000000; background-color: transparent; font-weight: 400; font-style: normal; font-variant: normal; text-decoration: none; vertical-align: baseline; white-space: pre-wrap;"&gt;objurgado.&lt;/span&gt;&lt;/span&gt; &lt;/span&gt;&lt;/p&gt;&lt;p style="line-height: 1.7999999999999998; margin-left: 0.05pt; margin-right: 7.35pt; text-indent: 70.8pt; text- align: justify; margin-top: 6pt; margin-bottom: 0pt;" dir="ltr"&gt; &lt;span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0638932-29.2024.8.06.0000</w:t>
            </w:r>
          </w:p>
        </w:tc>
      </w:tr>
      <w:tr>
        <w:trPr>
          <w:trHeight w:val="10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161" w:val="left" w:leader="none"/>
                <w:tab w:pos="1216" w:val="left" w:leader="none"/>
                <w:tab w:pos="2660" w:val="left" w:leader="none"/>
                <w:tab w:pos="5611" w:val="left" w:leader="none"/>
                <w:tab w:pos="6667" w:val="left" w:leader="none"/>
                <w:tab w:pos="7300" w:val="left" w:leader="none"/>
              </w:tabs>
              <w:spacing w:line="208" w:lineRule="auto" w:before="26"/>
              <w:ind w:right="176"/>
              <w:rPr>
                <w:sz w:val="20"/>
              </w:rPr>
            </w:pPr>
            <w:r>
              <w:rPr>
                <w:sz w:val="20"/>
              </w:rPr>
              <w:t>medium;"&gt;</w:t>
              <w:tab/>
              <w:tab/>
              <w:t>&lt;span style="font-family: &amp;quot;times new roman&amp;quot;, times;"&gt;</w:t>
              <w:tab/>
              <w:t>&lt;span style="color: #000000; background-color: transparent; font-weight: 400; font-style: </w:t>
            </w:r>
            <w:r>
              <w:rPr>
                <w:spacing w:val="-3"/>
                <w:sz w:val="20"/>
              </w:rPr>
              <w:t>normal; </w:t>
            </w:r>
            <w:r>
              <w:rPr>
                <w:sz w:val="20"/>
              </w:rPr>
              <w:t>font-variant: normal; text-decoration: none; vertical-align: baseline; white-space: pre- wrap;"&gt;</w:t>
              <w:tab/>
              <w:t>&lt;span style="font-size: large;"&gt;&amp;#160;&lt;/span&gt;</w:t>
              <w:tab/>
              <w:t>&lt;/span&gt;</w:t>
              <w:tab/>
              <w:t>&lt;strong style="text-indent: 8%;"&gt;</w:t>
              <w:tab/>
              <w:t>&lt;span style="font-size: large;"&gt;DISPOSITIVO&lt;/span&gt;</w:t>
            </w:r>
          </w:p>
          <w:p>
            <w:pPr>
              <w:pStyle w:val="TableParagraph"/>
              <w:tabs>
                <w:tab w:pos="1107" w:val="left" w:leader="none"/>
                <w:tab w:pos="2117" w:val="left" w:leader="none"/>
                <w:tab w:pos="2273" w:val="left" w:leader="none"/>
                <w:tab w:pos="3773" w:val="left" w:leader="none"/>
                <w:tab w:pos="5347" w:val="left" w:leader="none"/>
                <w:tab w:pos="5664" w:val="left" w:leader="none"/>
                <w:tab w:pos="5919" w:val="left" w:leader="none"/>
              </w:tabs>
              <w:spacing w:line="208" w:lineRule="auto" w:before="0"/>
              <w:ind w:right="76"/>
              <w:rPr>
                <w:sz w:val="20"/>
              </w:rPr>
            </w:pPr>
            <w:r>
              <w:rPr>
                <w:sz w:val="20"/>
              </w:rPr>
              <w:t>&lt;/strong&gt;</w:t>
              <w:tab/>
              <w:t>&lt;/span&gt; &lt;/span&gt;&lt;/p&gt;&lt;p style="line-height: 1.7999999999999998; margin-left: 0.05pt; margin-right: 7.35pt; text-indent: 70.8pt; text-align: justify; margin-top: 6pt; margin- bottom: 0pt;" dir="ltr"&gt;  &lt;span style="font-size: medium;"&gt;</w:t>
              <w:tab/>
              <w:t>&lt;span style="font-family: &amp;quot;times new roman&amp;quot;, times;"&gt;</w:t>
              <w:tab/>
              <w:t>&lt;strong style="font-size: small; text-indent: 8%;"&gt;&amp;#160;&lt;/strong&gt;</w:t>
              <w:tab/>
              <w:tab/>
              <w:t>&lt;span style="background-color: transparent; text-indent: 70.8pt; font-variant-numeric: normal; font-variant-east-asian: normal; font-variant-alternates: normal; font-variant-position: normal; font-variant-emoji: normal; vertical-align: baseline; white-space-collapse: preserve;"&gt;Por todo o exposto&lt;/span&gt;</w:t>
              <w:tab/>
              <w:t>&lt;span style="background- color: transparent; text-indent: 70.8pt; font-style: italic; font-variant-numeric: normal; font- variant-east-asian: normal; font-variant-alternates: normal; font-variant-position: normal; font-variant-emoji: normal; vertical-align: baseline; white-space-collapse: preserve;"&gt;,&lt;/span&gt;</w:t>
              <w:tab/>
              <w:t>&lt;span style="background-color: transparent; text-indent: 70.8pt; font-weight: 700; font-variant-numeric: normal; font-variant-east-asian: normal; </w:t>
            </w:r>
            <w:r>
              <w:rPr>
                <w:spacing w:val="-2"/>
                <w:sz w:val="20"/>
              </w:rPr>
              <w:t>font-variant- </w:t>
            </w:r>
            <w:r>
              <w:rPr>
                <w:sz w:val="20"/>
              </w:rPr>
              <w:t>alternates: normal; font-variant-position: normal; font-variant-emoji: normal; vertical-align: baseline; white-space-collapse: preserve;"&gt;CONHEÇO&lt;/span&gt;</w:t>
              <w:tab/>
              <w:tab/>
              <w:t>&lt;span style="background-color: transparent; text-indent: 70.8pt; font-variant-numeric: normal;</w:t>
            </w:r>
          </w:p>
          <w:p>
            <w:pPr>
              <w:pStyle w:val="TableParagraph"/>
              <w:tabs>
                <w:tab w:pos="1216" w:val="left" w:leader="none"/>
                <w:tab w:pos="2329" w:val="left" w:leader="none"/>
                <w:tab w:pos="3397" w:val="left" w:leader="none"/>
                <w:tab w:pos="3906" w:val="left" w:leader="none"/>
                <w:tab w:pos="4328" w:val="left" w:leader="none"/>
                <w:tab w:pos="4518" w:val="left" w:leader="none"/>
                <w:tab w:pos="4732" w:val="left" w:leader="none"/>
                <w:tab w:pos="5108" w:val="left" w:leader="none"/>
                <w:tab w:pos="6414" w:val="left" w:leader="none"/>
                <w:tab w:pos="7300" w:val="left" w:leader="none"/>
                <w:tab w:pos="7542" w:val="left" w:leader="none"/>
              </w:tabs>
              <w:spacing w:line="208" w:lineRule="auto" w:before="0"/>
              <w:ind w:right="59"/>
              <w:rPr>
                <w:sz w:val="20"/>
              </w:rPr>
            </w:pPr>
            <w:r>
              <w:rPr>
                <w:sz w:val="20"/>
              </w:rPr>
              <w:t>font-variant-east-asian: normal; font-variant-alternates: normal; font-variant-position: normal; font-variant-emoji: normal; vertical-align: baseline; white-space-collapse: preserve;"&gt;do agravo de instrumento para lhe&lt;/span&gt;</w:t>
              <w:tab/>
              <w:t>&lt;span style="background-color: transparent; text-indent: 70.8pt; font-weight: 700; font-variant-numeric: normal; font-variant- east-asian: normal; font-variant-alternates: normal; font-variant-position: normal; font- variant-emoji: normal; vertical-align: baseline; white-space-collapse: preserve;"&gt;NEGAR PROVIMENTO&lt;/span&gt;</w:t>
              <w:tab/>
              <w:t>&lt;span style="background-color: transparent; text-indent: 70.8pt; font-variant-numeric: normal; font-variant-east-asian: normal; font-variant-alternates: normal; font-variant-position: normal; font-variant-emoji: normal; vertical-align: baseline; white-space-collapse: preserve;"&gt;, mantendo incólume a decisão agravada.&lt;/span&gt;&lt;/span&gt; &lt;/span&gt;&lt;/p&gt;&lt;p style="line-height: 1.7999999999999998; margin-left: 0.05pt; margin-right: 7.35pt; text-indent: 70.8pt; text-align: justify; margin-top: 6pt; margin-bottom: 0pt;" dir="ltr"&gt;  &lt;span style="font-size: medium;"&gt;</w:t>
              <w:tab/>
              <w:t>&lt;span style="font- family: &amp;quot;times new roman&amp;quot;, times;"&gt;</w:t>
              <w:tab/>
              <w:tab/>
              <w:t>&lt;span style="background-color: transparent; text-indent: 70.8pt; font-variant-numeric: normal; font-variant-east-asian: normal; font-variant-alternates: normal; font-variant-position: normal; font-variant-emoji: normal; vertical-align: baseline; white-space-collapse: preserve;"&gt;&amp;#160;&lt;/span&gt;</w:t>
              <w:tab/>
              <w:tab/>
            </w:r>
            <w:r>
              <w:rPr>
                <w:spacing w:val="-4"/>
                <w:sz w:val="20"/>
              </w:rPr>
              <w:t>&lt;span </w:t>
            </w:r>
            <w:r>
              <w:rPr>
                <w:sz w:val="20"/>
              </w:rPr>
              <w:t>style="text-indent: 8%;"&gt;É como voto.&lt;/span&gt;</w:t>
              <w:tab/>
              <w:t>&lt;/span&gt; &lt;/span&gt;&lt;/p&gt;&lt;p style="line- height: 1.7999999999999998; margin-left: 0.05pt; margin-right: 7.35pt; text-indent: 70.8pt; text-align: justify; margin-top: 6pt; margin-bottom: 0pt;" dir="ltr"&gt; &lt;span style="font-size: medium;"&gt;</w:t>
              <w:tab/>
              <w:t>&lt;span style="font-family: &amp;quot;times new roman&amp;quot;, times;"&gt;</w:t>
              <w:tab/>
              <w:t>&lt;span style="text-indent: 8%;"&gt;&amp;#160;&lt;/span&gt;</w:t>
              <w:tab/>
              <w:t>&lt;span style="text-indent: 8%;"&gt;Fortaleza/CE, data registrada no sistema.&lt;/span&gt;</w:t>
              <w:tab/>
              <w:t>&lt;/span&gt; &lt;/span&gt;&lt;/p&gt;&lt;p style="text-indent: 8%; text- align: center;"&gt;  &lt;span style="font-size: medium;"&gt;</w:t>
              <w:tab/>
              <w:tab/>
              <w:t>&lt;strong style="font-size: small;"&gt;</w:t>
            </w:r>
          </w:p>
          <w:p>
            <w:pPr>
              <w:pStyle w:val="TableParagraph"/>
              <w:tabs>
                <w:tab w:pos="2573" w:val="left" w:leader="none"/>
                <w:tab w:pos="3511" w:val="left" w:leader="none"/>
                <w:tab w:pos="3651" w:val="left" w:leader="none"/>
                <w:tab w:pos="4240" w:val="left" w:leader="none"/>
                <w:tab w:pos="5297" w:val="left" w:leader="none"/>
                <w:tab w:pos="6242" w:val="left" w:leader="none"/>
              </w:tabs>
              <w:spacing w:line="208" w:lineRule="auto" w:before="0"/>
              <w:ind w:right="174"/>
              <w:rPr>
                <w:sz w:val="20"/>
              </w:rPr>
            </w:pPr>
            <w:r>
              <w:rPr>
                <w:sz w:val="20"/>
              </w:rPr>
              <w:t>&lt;span style="font-size: medium;"&gt;</w:t>
              <w:tab/>
              <w:t>&lt;span style="font-family: &amp;quot;times new roman&amp;quot;, times;"&gt;</w:t>
              <w:tab/>
              <w:t>&lt;br /&gt;</w:t>
              <w:tab/>
              <w:tab/>
              <w:t>&lt;strong style="font-size: medium;"&gt;FRANCISCO LUCÍDIO DE QUEIROZ JÚNIOR&lt;/strong&gt;</w:t>
              <w:tab/>
              <w:t>&lt;/span&gt;</w:t>
              <w:tab/>
              <w:t>&lt;/span&gt;</w:t>
              <w:tab/>
              <w:t>&lt;/strong&gt;</w:t>
            </w:r>
          </w:p>
          <w:p>
            <w:pPr>
              <w:pStyle w:val="TableParagraph"/>
              <w:tabs>
                <w:tab w:pos="1550" w:val="left" w:leader="none"/>
                <w:tab w:pos="2549" w:val="left" w:leader="none"/>
                <w:tab w:pos="4062" w:val="left" w:leader="none"/>
                <w:tab w:pos="5119" w:val="left" w:leader="none"/>
                <w:tab w:pos="6020" w:val="left" w:leader="none"/>
                <w:tab w:pos="6064" w:val="left" w:leader="none"/>
                <w:tab w:pos="6883" w:val="left" w:leader="none"/>
              </w:tabs>
              <w:spacing w:line="208" w:lineRule="auto" w:before="0"/>
              <w:ind w:right="115"/>
              <w:rPr>
                <w:sz w:val="20"/>
              </w:rPr>
            </w:pPr>
            <w:r>
              <w:rPr>
                <w:sz w:val="20"/>
              </w:rPr>
              <w:t>&lt;/span&gt;&lt;/p&gt;&lt;p style="text-align: center;"&gt;  &lt;span style="font-size: small;"&gt;</w:t>
              <w:tab/>
              <w:t>&lt;strong style="font-size: small;"&gt;</w:t>
              <w:tab/>
              <w:t>&lt;span style="font-size: medium;"&gt;</w:t>
              <w:tab/>
              <w:t>&lt;span style="font-size: medium;"&gt;</w:t>
              <w:tab/>
              <w:t>&lt;span style="font-family: &amp;quot;times new roman&amp;quot;, times;"&gt;Desembargador Relator&lt;/span&gt;</w:t>
              <w:tab/>
              <w:t>&lt;/span&gt;</w:t>
              <w:tab/>
              <w:t>&lt;/span&gt;</w:t>
              <w:tab/>
              <w:tab/>
              <w:t>&lt;/strong&gt;</w:t>
            </w:r>
          </w:p>
          <w:p>
            <w:pPr>
              <w:pStyle w:val="TableParagraph"/>
              <w:spacing w:line="190" w:lineRule="exact" w:before="0"/>
              <w:rPr>
                <w:sz w:val="20"/>
              </w:rPr>
            </w:pPr>
            <w:r>
              <w:rPr>
                <w:sz w:val="20"/>
              </w:rPr>
              <w:t>&lt;/span&gt;&lt;/p&gt;&lt;br /&gt;&lt;br /&gt;&lt;p&gt;&amp;#160;&lt;/p&gt;&lt;p&gt;&amp;#160;&lt;/p&gt;&lt;p style="text-align: center;"&gt;</w:t>
            </w:r>
          </w:p>
          <w:p>
            <w:pPr>
              <w:pStyle w:val="TableParagraph"/>
              <w:tabs>
                <w:tab w:pos="3288" w:val="left" w:leader="none"/>
              </w:tabs>
              <w:spacing w:line="215" w:lineRule="exact" w:before="0"/>
              <w:rPr>
                <w:sz w:val="20"/>
              </w:rPr>
            </w:pPr>
            <w:r>
              <w:rPr>
                <w:sz w:val="20"/>
              </w:rPr>
              <w:t>&lt;span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Reconhecimento / Dissolução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WILLIAM GOMES VIANA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AMONELI DANTAS CAVALCANTE ABREU - (CE25407-A)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ISABEL CRISTINA ALMEIDA DE OLIVEIRA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SELMA BATISTA DOS SANTOS - (CE39271-A)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&lt;strong&gt;PROCESSO&lt;/strong&gt;:&amp;#160;0138008-48.2019.8.06.0001 -&amp;#160;APELAÇÃO</w:t>
            </w:r>
          </w:p>
          <w:p>
            <w:pPr>
              <w:pStyle w:val="TableParagraph"/>
              <w:tabs>
                <w:tab w:pos="6557" w:val="left" w:leader="none"/>
              </w:tabs>
              <w:spacing w:line="200" w:lineRule="exact" w:before="0"/>
              <w:rPr>
                <w:sz w:val="20"/>
              </w:rPr>
            </w:pPr>
            <w:r>
              <w:rPr>
                <w:sz w:val="20"/>
              </w:rPr>
              <w:t>CÍVEL (198)&lt;/span&gt;  &lt;/span&gt;&lt;/p&gt;&lt;p&gt;  &lt;span style="font-size: small;"&gt;</w:t>
              <w:tab/>
              <w:t>&lt;span</w:t>
            </w:r>
          </w:p>
          <w:p>
            <w:pPr>
              <w:pStyle w:val="TableParagraph"/>
              <w:tabs>
                <w:tab w:pos="6857" w:val="left" w:leader="none"/>
              </w:tabs>
              <w:spacing w:line="208" w:lineRule="auto" w:before="8"/>
              <w:ind w:right="23"/>
              <w:rPr>
                <w:sz w:val="20"/>
              </w:rPr>
            </w:pPr>
            <w:r>
              <w:rPr>
                <w:sz w:val="20"/>
              </w:rPr>
              <w:t>style="font-family: &amp;quot;times new roman&amp;quot;, times;"&gt;APELANTE: ANTONIO </w:t>
            </w:r>
            <w:r>
              <w:rPr>
                <w:spacing w:val="-3"/>
                <w:sz w:val="20"/>
              </w:rPr>
              <w:t>WILLIAM </w:t>
            </w:r>
            <w:r>
              <w:rPr>
                <w:sz w:val="20"/>
              </w:rPr>
              <w:t>GOMES VIANA&lt;/span&gt;  &lt;/span&gt;&lt;/p&gt;&lt;p&gt;  &lt;span style="font-size: small;"&gt;</w:t>
              <w:tab/>
              <w:t>&lt;span style="font-family: &amp;quot;times new roman&amp;quot;, times;"&gt;APELADO: ISABEL CRISTINA ALMEIDA DE OLIVEIRA&lt;/span&gt; &lt;/span&gt;&lt;/p&gt;&lt;p&gt; &lt;span style="font-size: 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spacing w:line="208" w:lineRule="auto" w:before="9"/>
              <w:ind w:right="26"/>
              <w:rPr>
                <w:sz w:val="20"/>
              </w:rPr>
            </w:pPr>
            <w:r>
              <w:rPr>
                <w:sz w:val="20"/>
              </w:rPr>
              <w:t>&lt;/span&gt;&lt;/p&gt;&lt;p style="line-height: 1.38; text-align: justify; margin-top: 6pt; margin-bottom: 6pt;" dir="ltr"&gt;&lt;span style="font-size: 12pt; font-family: 'Times New Roman',serif; color: #000000; background-color: transparent; font-weight: 400; font-style: italic; font-variant: normal; text-decoration: none; vertical-align: baseline; white-space: pre- wrap;"&gt;Ementa&lt;/span&gt;&lt;span style="font-size: 12pt; font-family: 'Times New Roman',serif; color: #000000; background-color: transparent; font-weight: 400; font-style: normal; font- variant: normal; text-decoration: none; vertical-align: baseline; white-space: pre- wrap;"&gt;:&lt;/span&gt; &lt;span style="font-size: 12pt; font-family: 'Times New Roman',serif; color: #000000; background-color: transparent; font-weight: 700; font-style: normal; font-variant: normal; text-decoration: none; vertical-align: baseline; white-space: pre-wrap;"&gt;DIREITO CIVIL. RECURSO DE APELAÇÃO EM AÇÃO DE RECONHECIMENTO E EXTINÇÃO DE UNIÃO ESTÁVEL JULGADA IMPROCEDENTE. PARTILHA DE BENS QUE SE MOSTRA INCABIVEL DIANTE DO NÃO RECONHECIMENTO DE UNIÃO ESTÁVEL. PEDIDO SUBSIDIÁRIO DE RESSARCIMENTO NÃO ACATADO ANTE A AUSÊNCIA DE PROVAS.</w:t>
            </w:r>
          </w:p>
          <w:p>
            <w:pPr>
              <w:pStyle w:val="TableParagraph"/>
              <w:spacing w:line="208" w:lineRule="auto" w:before="0"/>
              <w:ind w:right="19"/>
              <w:rPr>
                <w:sz w:val="20"/>
              </w:rPr>
            </w:pPr>
            <w:r>
              <w:rPr>
                <w:sz w:val="20"/>
              </w:rPr>
              <w:t>RECURSO CONHECIDO E DESPROVIDO&lt;/span&gt;&lt;span style="font-size: 12pt; font- family: 'Times New Roman',serif; color: #000000; background-color: transparent; font- weight: 400; font-style: normal; font-variant: normal; text-decoration: none; vertical-align: baseline; white-space: pre-wrap;"&gt;.&lt;/span&gt;&lt;/p&gt;&lt;p style="line-height: 1.38; text-align: justify; margin-top: 6pt; margin-bottom: 6pt;" dir="ltr"&gt; &lt;span style="font-size: 12pt; font- family: 'Times New Roman',serif; color: #000000; background-color: transparent; font- weight: 700; font-style: normal; font-variant: normal; text-decoration: none; vertical-align: baseline; white-space: pre-wrap;"&gt;I. CASO EM EXAME&lt;/span&gt;&lt;/p&gt;&lt;p style="line-height: 1.38; text-align: justify; margin-top: 6pt; margin-bottom: 6pt;" dir="ltr"&gt; &lt;span style="font- size: 12pt; font-family: 'Times New Roman',serif; color: #000000; background-color: transparent; font-weight: 400; font-style: normal; font-variant: normal; text-decoration: none; vertical-align: baseline; white-space: pre-wrap;"&gt;1. Recurso de Apelação interposto contra sentença proferida em Ação de Reconhecimento e Extinção de União Estável (ajuizada em reconvenção).&lt;/span&gt;&lt;/p&gt;&lt;p style="line-height: 1.38; text-align: justify; margin-top: 6pt; margin-bottom: 6pt;" dir="ltr"&gt; &lt;span style="font-size: 12pt; font-family: 'Times New Roman',serif; color: #000000; background-color: transparent; font-weight: 700; font-style: normal; font-variant: normal; text-decoration: none; vertical-align: baseline; white-space: pre-wrap;"&gt;II. QUESTÃO EM DISCUSSÃO&lt;/span&gt; &lt;span style="font-size: 12pt; font- family: 'Times New Roman',serif; color: #000000; background-color: transparent; font- weight: 400; font-style: normal; font-variant: normal; text-decoration: none; vertical-align: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baseline; white-space: pre-wrap;"&gt;&amp;#160;&lt;/span&gt;&lt;/p&gt;&lt;p style="line-height: 1.38; text- align: justify; margin-top: 6pt; margin-bottom: 6pt;" dir="ltr"&gt; &lt;span style="font-size: 12pt; font-family: 'Times New Roman',serif; color: #000000; background-color: transparent; font- weight: 400; font-style: normal; font-variant: normal; text-decoration: none; vertical-align: baseline; white-space: pre-wrap;"&gt;2. A questão em discussão consiste em (I) verificar se o relacionamento havido entre as partes preencheu os requisitos legais para a configuração de união estável (art. 1.723, CC); e (II) saber se o apelante faz jus ao ressarcimento de valores supostamente investidos no imóvel da apelada, na ausência de reconhecimento da união e de provas dos gastos.&lt;/span&gt;&lt;/p&gt;&lt;p style="line-height: 1.38; text-align: justify; margin-top: 6pt; margin-bottom: 6pt;"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pre-wrap;"&gt;III. RAZÕES DE DECIDIR&lt;/span&gt;&lt;/p&gt;&lt;p style="line-height: 1.38; text- align: justify; margin-top: 6pt; margin-bottom: 6pt;" dir="ltr"&gt; &lt;span style="font-size: 12pt; font-family: 'Times New Roman',serif; color: #000000; background-color: transparent; font- weight: 400; font-style: normal; font-variant: normal; text-decoration: none; vertical-align: baseline; white-space: pre-wrap;"&gt;3. Para a configuração da união estável, o art. 1.723 do Código Civil exige a comprovação cumulativa de convivência pública, contínua, duradoura e com o objetivo de constituir família (&lt;/span&gt; &lt;span style="font-size: 12pt; font-family: 'Times New Roman',serif; color: #000000; background-color: transparent; font-weight: 400; font-style: italic; font-variant: normal; text-decoration: none; vertical-align: baseline; white- space: pre-wrap;"&gt;animus familiae&lt;/span&gt; &lt;span style="font-size: 12pt; font-family: </w:t>
            </w:r>
            <w:r>
              <w:rPr>
                <w:spacing w:val="-3"/>
                <w:sz w:val="20"/>
              </w:rPr>
              <w:t>'Times </w:t>
            </w:r>
            <w:r>
              <w:rPr>
                <w:sz w:val="20"/>
              </w:rPr>
              <w:t>New Roman',serif; color: #000000; background-color: transparent; font-weight: 400; font- style: normal; font-variant: normal; text-decoration: none; vertical-align: baseline; white- space: pre-wrap;"&gt;). O apelante não logrou êxito em demonstrar a integralidade desses requisitos. A prova testemunhal mostrou-se frágil, e o longo lapso temporal, isoladamente, não é suficiente para converter namoro em união estável, especialmente diante de alegações de relacionamentos paralelos, que afastam a publicidade e a intenção de formar núcleo familiar.&lt;/span&gt;&lt;/p&gt;&lt;p style="line-height: 1.38; text-align: justify; margin-top: 6pt; margin-bottom: 6pt;" dir="ltr"&gt; &lt;span style="font-size: 12pt; font-family: 'Times New Roman',serif; color: #000000; background-color: transparent; font-weight: 400; font-style: normal; font-variant: normal; text-decoration: none; vertical-align: baseline; white-space: pre-wrap;"&gt;4. O pedido de partilha de bens é uma decorrência lógica do reconhecimento da união estável (art. 1.725, CC). Não sendo reconhecida a entidade familiar, não há que se falar em partilha de patrimônio.&lt;/span&gt;&lt;/p&gt;&lt;p style="line-height: 1.38; text-align: justify; margin-top: 6pt;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pre-wrap;"&gt;5. O pedido subsidiário de ressarcimento é improcedente, pois o apelante não apresentou qualquer prova (recibos, comprovantes ou extratos) que demonstrasse o dispêndio dos valores alegados. A posse exercida sobre o imóvel decorria de mera permissão (comodato).&lt;/span&gt;&lt;/p&gt;&lt;p style="line-height: 1.38; text-align: justify; margin-top: 6pt; margin-bottom: 6pt;"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pre-wrap;"&gt;IV. DISPOSITIVO E TESE&amp;#160;&lt;/span&gt;&lt;/p&gt;&lt;p style="line-height: 1.38; text-align: justify; margin-top: 6pt; margin-bottom: 6pt;" dir="ltr"&gt; &lt;span style="font- size: 12pt; font-family: 'Times New Roman',serif; color: #000000; background-color: transparent; font-weight: 400; font-style: normal; font-variant: normal; text-decoration: none; vertical-align: baseline; white-space: pre-wrap;"&gt;6. Recurso conhecido e desprovido.&amp;#160;&lt;/span&gt;&lt;/p&gt;&lt;p style="line-height: 1.38; text-align: justify; margin-top: 6pt; margin-bottom: 6pt;" dir="ltr"&gt;&lt;span style="font-size: 12pt; font-family: 'Times New Roman',serif; color: #000000; background-color: transparent; font-weight: 400; font-style: italic; font-variant: normal; text-decoration: none; vertical-align: baseline; white-space: pre- wrap;"&gt;Tese de julgamento:&lt;/span&gt; &lt;span style="font-size: 12pt; font-family: 'Times New Roman',serif; color: #000000; background-color: transparent; font-weight: 400; font-style: normal; font-variant: normal; text-decoration: none; vertical-align: baseline; white-space: pre-wrap;"&gt;"1. O longo período de relacionamento, isoladamente, não é suficiente para configurar união estável, sendo indispensável a comprovação cumulativa dos requisitos do art. 1.723 do Código Civil, especialmente a convivência pública e o&lt;/span&gt; &lt;span style="font-size: 12pt; font-family: 'Times New Roman',serif; color: #000000; background- color: transparent; font-weight: 400; font-style: italic; font-variant: normal; text-decoration: none; vertical-align: baseline; white-space: pre-wrap;"&gt;animus familiae&lt;/span&gt;&lt;span style="font-size: 12pt; font-family: 'Times New Roman',serif; color: #000000; background- color: transparent; font-weight: 400; font-style: normal; font-variant: normal; text-decoration: none; vertical-align: baseline; white-space: pre-wrap;"&gt;."&lt;/span&gt;&lt;/p&gt;&lt;p style="line-height: 100%; orphans: 0; widows: 0; margin-bottom: 0.21cm;" align="justify"&gt; &lt;span id="docs- internal-guid-b8d8d319-7fff-e0ed-41f6-40228b5cc557"&gt;&amp;#160;&lt;/span&gt;&lt;/p&gt;&lt;p style="line- height: 1.38; text-align: justify; margin-top: 6pt; margin-bottom: 6pt;" dir="ltr"&gt;&lt;span style="font-size: 12pt; font-family: 'Times New Roman',serif; color: #000000; 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3"/>
              <w:rPr>
                <w:sz w:val="20"/>
              </w:rPr>
            </w:pPr>
            <w:r>
              <w:rPr>
                <w:sz w:val="20"/>
              </w:rPr>
              <w:t>color: transparent; font-weight: 400; font-style: italic; font-variant: normal; text-decoration: none; vertical-align: baseline; white-space: pre-wrap;"&gt;Dispositivos relevantes citados&lt;/span&gt;&lt;span style="font-size: 12pt; font-family: 'Times New Roman',serif; color: #000000; background-color: transparent; font-weight: 400; font-style: normal; font-variant: normal; text-decoration: none; vertical-align: baseline; white-space: pre-wrap;"&gt;: CC, arts. 1.723 e 1.725; CPC, arts. 85, §11, e 98, § 3º.&lt;/span&gt; &lt;span style="font-size: 12pt; font- family: 'Times New Roman',serif; color: #000000; background-color: transparent; font- weight: 400; font-style: italic; font-variant: normal; text-decoration: none; vertical-align: baseline; white-space: pre-wrap;"&gt;Jurisprudência relevante citada&lt;/span&gt;&lt;span style="font-size: 12pt; font-family: 'Times New Roman',serif; color: #000000; background- color: transparent; font-weight: 400; font-style: normal; font-variant: normal; text-decoration: none; vertical-align: baseline; white-space: pre-wrap;"&gt;: Apelação Cível 0006022- 60.2018.8.06.0112, Rel. Des. Francisco Gladyson Pontes, 2ª Câmara Direito Público, j.</w:t>
            </w:r>
          </w:p>
          <w:p>
            <w:pPr>
              <w:pStyle w:val="TableParagraph"/>
              <w:tabs>
                <w:tab w:pos="1094" w:val="left" w:leader="none"/>
                <w:tab w:pos="1839" w:val="left" w:leader="none"/>
                <w:tab w:pos="1950" w:val="left" w:leader="none"/>
                <w:tab w:pos="2239" w:val="left" w:leader="none"/>
                <w:tab w:pos="2552" w:val="left" w:leader="none"/>
                <w:tab w:pos="2682" w:val="left" w:leader="none"/>
                <w:tab w:pos="3753" w:val="left" w:leader="none"/>
              </w:tabs>
              <w:spacing w:line="208" w:lineRule="auto" w:before="0"/>
              <w:ind w:right="49"/>
              <w:rPr>
                <w:sz w:val="20"/>
              </w:rPr>
            </w:pPr>
            <w:r>
              <w:rPr>
                <w:sz w:val="20"/>
              </w:rPr>
              <w:t>27.09.2023; Apelação Cível 0133544-83.2016.8.06.0001, Rel. Des. Francisco Luciano Lima Rodrigues, 3ª Câmara Direito Privado, j. 07.07.2021.&lt;/span&gt;&lt;/p&gt;&lt;p style="line- height: 100%; orphans: 0; widows: 0; margin-bottom: 0.21cm;" align="justify"&gt; &lt;span style="font-size: medium;"&gt;</w:t>
              <w:tab/>
              <w:tab/>
              <w:t>&lt;span style="font-family: &amp;quot;times new roman&amp;quot;, times;"&gt;</w:t>
              <w:tab/>
              <w:t>&lt;br /&gt;</w:t>
              <w:tab/>
              <w:t>&lt;/span&gt; &lt;/span&gt;&lt;/p&gt;&lt;p style="line-height: 150%; orphans: 0; </w:t>
            </w:r>
            <w:r>
              <w:rPr>
                <w:spacing w:val="-3"/>
                <w:sz w:val="20"/>
              </w:rPr>
              <w:t>widows: </w:t>
            </w:r>
            <w:r>
              <w:rPr>
                <w:sz w:val="20"/>
              </w:rPr>
              <w:t>0; margin-bottom: 0.21cm;" align="justify"&gt; &lt;span style="font-family: &amp;quot;times new roman&amp;quot;, times;"&gt;</w:t>
              <w:tab/>
              <w:t>&lt;span style="font-size: medium;"&gt;ACÓRDÃO: Vistos, relatados e discutidos estes autos, acorda a Quinta Câmara de Direito Privado Tribunal de Justiça do Estado do Ceará, por unanimidade em</w:t>
              <w:tab/>
              <w:t>&lt;strong&gt;CONHECER&lt;/strong&gt; do recurso de Apelação, para no mérito</w:t>
              <w:tab/>
              <w:t>&lt;strong&gt;NEGAR-LHE PROVIMENTO&lt;/strong&gt;&amp;#160; nos termos do voto do relator, parte integrante deste.&lt;/span&gt; &lt;/span&gt;&lt;/p&gt;&lt;p style="line- height: 115%; orphans: 0; widows: 0; margin-bottom: 0.21cm;" align="justify"&gt; &lt;span style="font-size: medium;"&gt;</w:t>
              <w:tab/>
              <w:tab/>
              <w:t>&lt;span style="font-family: &amp;quot;times new roman&amp;quot;, times;"&gt;</w:t>
              <w:tab/>
              <w:t>&lt;br /&gt;</w:t>
              <w:tab/>
              <w:tab/>
              <w:t>&lt;br /&gt;</w:t>
              <w:tab/>
              <w:tab/>
              <w:t>&lt;/span&gt; &lt;/span&gt;&lt;/p&gt;&lt;p style="line-height: 115%; orphans: 0; widows: 0; margin-bottom: 0.21cm;" align="justify"&gt; &lt;span style="font-size: medium;"&gt;</w:t>
            </w:r>
          </w:p>
          <w:p>
            <w:pPr>
              <w:pStyle w:val="TableParagraph"/>
              <w:tabs>
                <w:tab w:pos="2682" w:val="left" w:leader="none"/>
                <w:tab w:pos="3805" w:val="left" w:leader="none"/>
                <w:tab w:pos="6307" w:val="left" w:leader="none"/>
                <w:tab w:pos="6857" w:val="left" w:leader="none"/>
              </w:tabs>
              <w:spacing w:line="208" w:lineRule="auto" w:before="0"/>
              <w:ind w:right="139"/>
              <w:rPr>
                <w:sz w:val="20"/>
              </w:rPr>
            </w:pPr>
            <w:r>
              <w:rPr>
                <w:sz w:val="20"/>
              </w:rPr>
              <w:t>&lt;span style="font-family: &amp;quot;times new roman&amp;quot;, times;"&gt;F&lt;/span&gt;</w:t>
              <w:tab/>
              <w:t>&lt;span style="font-family: &amp;quot;times new roman&amp;quot;, times;"&gt;ortaleza, data registrada no sistema.&lt;/span&gt; &lt;/span&gt; &lt;span style="font-family: &amp;quot;times new roman&amp;quot;, </w:t>
            </w:r>
            <w:r>
              <w:rPr>
                <w:spacing w:val="-4"/>
                <w:sz w:val="20"/>
              </w:rPr>
              <w:t>times; </w:t>
            </w:r>
            <w:r>
              <w:rPr>
                <w:sz w:val="20"/>
              </w:rPr>
              <w:t>font-size: medium; text-align: start;"&gt;&amp;#160;&lt;/span&gt;&lt;/p&gt;&lt;p&gt;&amp;#160;&lt;/p&gt;&lt;p style="line- height: 100%; orphans: 0; widows: 0; margin-bottom: 0.21cm;" align="center"&gt; &lt;span style="font-size: medium;"&gt;</w:t>
              <w:tab/>
              <w:t>&lt;strong&gt;</w:t>
              <w:tab/>
              <w:t>&lt;span style="font-family: &amp;quot;times new 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times;"&gt;Presidente do Órgão Julgador&lt;/span&gt; &lt;/span&gt;&lt;/p&gt;&lt;p style="line-height: 100%; orphans: 0; widows: 0; margin-bottom: 0.21cm;" align="center"&gt;</w:t>
            </w:r>
          </w:p>
          <w:p>
            <w:pPr>
              <w:pStyle w:val="TableParagraph"/>
              <w:tabs>
                <w:tab w:pos="1683" w:val="left" w:leader="none"/>
                <w:tab w:pos="2350" w:val="left" w:leader="none"/>
                <w:tab w:pos="3206" w:val="left" w:leader="none"/>
                <w:tab w:pos="3288" w:val="left" w:leader="none"/>
                <w:tab w:pos="3951" w:val="left" w:leader="none"/>
                <w:tab w:pos="7767" w:val="left" w:leader="none"/>
              </w:tabs>
              <w:spacing w:line="208" w:lineRule="auto" w:before="0"/>
              <w:ind w:right="91"/>
              <w:rPr>
                <w:sz w:val="20"/>
              </w:rPr>
            </w:pPr>
            <w:r>
              <w:rPr>
                <w:sz w:val="20"/>
              </w:rPr>
              <w:t>&lt;span style="font-size: medium;"&gt;</w:t>
              <w:tab/>
              <w:tab/>
              <w:t>&lt;span style="font-family: &amp;quot;times new roman&amp;quot;, times;"&gt;</w:t>
              <w:tab/>
              <w:t>&lt;br /&gt;</w:t>
              <w:tab/>
              <w:t>&lt;br /&gt;</w:t>
              <w:tab/>
              <w:t>&lt;/span&gt; &lt;/span&gt;&lt;/p&gt;&lt;p style="line-height: 100%; orphans: 0; widows: 0; margin-bottom: 0.21cm;" align="center"&gt; &lt;span style="font- size: medium;"&gt;</w:t>
              <w:tab/>
              <w:t>&lt;span style="font-family: &amp;quot;times new roman&amp;quot;, times;"&gt;</w:t>
              <w:tab/>
            </w:r>
            <w:r>
              <w:rPr>
                <w:spacing w:val="-6"/>
                <w:sz w:val="20"/>
              </w:rPr>
              <w:t>&lt;br</w:t>
            </w:r>
          </w:p>
          <w:p>
            <w:pPr>
              <w:pStyle w:val="TableParagraph"/>
              <w:tabs>
                <w:tab w:pos="545" w:val="left" w:leader="none"/>
                <w:tab w:pos="1290" w:val="left" w:leader="none"/>
                <w:tab w:pos="6992" w:val="left" w:leader="none"/>
              </w:tabs>
              <w:spacing w:line="208" w:lineRule="auto" w:before="0"/>
              <w:ind w:right="370"/>
              <w:rPr>
                <w:sz w:val="20"/>
              </w:rPr>
            </w:pPr>
            <w:r>
              <w:rPr>
                <w:sz w:val="20"/>
              </w:rPr>
              <w:t>/&gt;</w:t>
              <w:tab/>
              <w:t>&lt;br /&gt;</w:t>
              <w:tab/>
              <w:t>&lt;/span&gt; &lt;/span&gt;&lt;/p&gt;&lt;p style="line-height: 100%; orphans: 0; widows: </w:t>
            </w:r>
            <w:r>
              <w:rPr>
                <w:spacing w:val="-6"/>
                <w:sz w:val="20"/>
              </w:rPr>
              <w:t>0; </w:t>
            </w:r>
            <w:r>
              <w:rPr>
                <w:sz w:val="20"/>
              </w:rPr>
              <w:t>margin-bottom: 0.21cm;" align="center"&gt;  &lt;span style="font-size: medium;"&gt;</w:t>
              <w:tab/>
            </w:r>
            <w:r>
              <w:rPr>
                <w:spacing w:val="-3"/>
                <w:sz w:val="20"/>
              </w:rPr>
              <w:t>&lt;strong&gt;</w:t>
            </w:r>
          </w:p>
          <w:p>
            <w:pPr>
              <w:pStyle w:val="TableParagraph"/>
              <w:tabs>
                <w:tab w:pos="972" w:val="left" w:leader="none"/>
                <w:tab w:pos="1216" w:val="left" w:leader="none"/>
                <w:tab w:pos="2095" w:val="left" w:leader="none"/>
                <w:tab w:pos="3029" w:val="left" w:leader="none"/>
                <w:tab w:pos="5406" w:val="left" w:leader="none"/>
                <w:tab w:pos="5566" w:val="left" w:leader="none"/>
                <w:tab w:pos="5763" w:val="left" w:leader="none"/>
                <w:tab w:pos="6708" w:val="left" w:leader="none"/>
              </w:tabs>
              <w:spacing w:line="208" w:lineRule="auto" w:before="0"/>
              <w:ind w:right="25"/>
              <w:rPr>
                <w:sz w:val="20"/>
              </w:rPr>
            </w:pPr>
            <w:r>
              <w:rPr>
                <w:sz w:val="20"/>
              </w:rPr>
              <w:t>&lt;span style="font-family: &amp;quot;times new roman&amp;quot;, times;"&gt;FRANCISCO LUCÍDIO DE QUEIROZ JUNIOR&lt;/span&gt;</w:t>
              <w:tab/>
              <w:t>&lt;/strong&gt; &lt;/span&gt;&lt;/p&gt;&lt;p style="line-height: 100%; orphans: 0; widows: 0; margin-bottom: 0.21cm;" align="center"&gt; &lt;span style="font-size: medium;"&gt;</w:t>
              <w:tab/>
              <w:t>&lt;span style="font-family: &amp;quot;times new roman&amp;quot;, times;"&gt;Desembargador Relator&lt;/span&gt; &lt;/span&gt;&lt;/p&gt;&lt;p align="center"&gt; &lt;span style="font-family: &amp;quot;times new roman&amp;quot;, times;"&gt;</w:t>
              <w:tab/>
              <w:t>&lt;br /&gt; &lt;/span&gt;&lt;/p&gt;&lt;p style="text-align: center;"&gt;&amp;#160;&lt;/p&gt;&lt;p style="text-align: center;"&gt;&amp;#160;&lt;/p&gt;&lt;p style="text-align: center;"&gt;&amp;#160;&lt;/p&gt;&lt;p style="text-align: center;"&gt; &lt;span style="font-size: small;"&gt;</w:t>
              <w:tab/>
              <w:t>&lt;strong&gt;</w:t>
              <w:tab/>
              <w:t>&lt;span style="font-size: medium;"&gt;</w:t>
              <w:tab/>
              <w:tab/>
              <w:t>&lt;span style="font-family: &amp;quot;times new roman&amp;quot;, times;"&gt;RELATÓRIO&lt;/span&gt;</w:t>
              <w:tab/>
              <w:tab/>
              <w:t>&lt;/span&gt;</w:t>
              <w:tab/>
              <w:t>&lt;/strong&gt;</w:t>
            </w:r>
          </w:p>
          <w:p>
            <w:pPr>
              <w:pStyle w:val="TableParagraph"/>
              <w:spacing w:line="208" w:lineRule="auto" w:before="0"/>
              <w:ind w:right="20"/>
              <w:rPr>
                <w:sz w:val="20"/>
              </w:rPr>
            </w:pPr>
            <w:r>
              <w:rPr>
                <w:sz w:val="20"/>
              </w:rPr>
              <w:t>&lt;/span&gt;&lt;/p&gt;&lt;p style="line-height: 2.16; text-indent: 57pt; text-align: justify; margin-top: 12pt; margin-bottom: 12pt;" dir="ltr"&gt;&lt;span style="font-size: 12pt; font-family: 'Times New Roman',serif; color: #000000; background-color: transparent; font-weight: 700; font-style: normal; font-variant: normal; text-decoration: none; vertical-align: baseline; white-space: pre-wrap;"&gt;Antonio William Gomes Viana&lt;/span&gt;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pre-wrap;"&gt;interpôs o presente&lt;/span&gt;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pre-wrap;"&gt;Recurso de Apelação&lt;/span&gt;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pre-wrap;"&gt;(id. 28248839) visando reformar a sentença (id. 28248836) proferida nos autos da&lt;/span&gt; &lt;span style="font-size: 12pt; font-family: 'Times New Roman',serif;</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0"/>
              <w:rPr>
                <w:sz w:val="20"/>
              </w:rPr>
            </w:pPr>
            <w:r>
              <w:rPr>
                <w:sz w:val="20"/>
              </w:rPr>
              <w:t>color: #000000; background-color: transparent; font-weight: 700; font-style: normal; font- variant: normal; text-decoration: none; vertical-align: baseline; white-space: pre- wrap;"&gt;Ação de Reconhecimento e Extinção de União Estável&lt;/span&gt;&lt;span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 ajuizada em&lt;/span&gt; &lt;span style="font- size: 12pt; font-family: 'Times New Roman',serif; color: #000000; background-color: transparent; font-weight: 700; font-style: normal; font-variant: normal; text-decoration: </w:t>
            </w:r>
            <w:r>
              <w:rPr>
                <w:spacing w:val="-4"/>
                <w:sz w:val="20"/>
              </w:rPr>
              <w:t>none; </w:t>
            </w:r>
            <w:r>
              <w:rPr>
                <w:sz w:val="20"/>
              </w:rPr>
              <w:t>vertical-align: baseline; white-space: pre-wrap;"&gt;reconvenção contra Isabel Cristina Almeida de Oliveira&lt;/span&gt;&lt;span style="font-size: 12pt; font-family: 'Times New Roman',serif; color: #000000; background-color: transparent; font-weight: 400; font-style: normal; font-variant: normal; text-decoration: none; vertical-align: baseline; white-space: pre-wrap;"&gt;.&amp;#160; Na decisão,&lt;/span&gt; &lt;span style="font-size: 12pt; font-family: 'Times New Roman',serif; color: #000000; background-color: transparent; font-weight: 700; font- style: normal; font-variant: normal; text-decoration: none; vertical-align: baseline; white- space: pre-wrap;"&gt;o pedido formulado pelo reconvinte foi julgado improcedente&lt;/span&gt;&lt;span style="font-size: 12pt; font-family: 'Times New Roman',serif; color: #000000; background-color: transparent; font-weight: 400; font-style: normal; font- variant: normal; text-decoration: none; vertical-align: baseline; white-space: pre-wrap;"&gt;, com resolução de mérito, com base no art. 487, I, do Código de Processo Civil, por não haver provas suficientes dos requisitos legais para a configuração da união estável, como a convivência pública, contínua, duradoura e com o objetivo de constituir família, conforme o art. 1.723 do Código Civil.&amp;#160;&lt;/span&gt;&lt;/p&gt;&lt;p style="line-height: 2.16; text-indent: 57pt; text-align: justify; margin-top: 12pt; margin-bottom: 12pt;" dir="ltr"&gt;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pre-wrap;"&gt;O juízo sentenciante concluiu que a prova produzida pelo reconvinte foi frágil, não demonstrando o período de início da relação, a continuidade, a estabilidade e a intenção de formar um núcleo familiar, ressaltando a ausência do dever de fidelidade, uma vez que o reconvinte manteve outros relacionamentos paralelos.&amp;#160;&amp;#160;&lt;/span&gt;&lt;/p&gt;&lt;p style="line-height: 2.16; text- indent: 57pt; text-align: justify; margin-top: 12pt; margin-bottom: 12pt;" dir="ltr"&gt; &lt;span style="font-size: 12pt; font-family: 'Times New Roman',serif; color: #000000; background- color: transparent; font-weight: 400; font-style: normal; font-variant: normal; text-decoration: none; vertical-align: baseline; white-space: pre-wrap;"&gt;Inconformado, o apelante alega que a relação, iniciada em 1996 e encerrada em 2019, configurou união estável, durante a </w:t>
            </w:r>
            <w:r>
              <w:rPr>
                <w:spacing w:val="-5"/>
                <w:sz w:val="20"/>
              </w:rPr>
              <w:t>qual </w:t>
            </w:r>
            <w:r>
              <w:rPr>
                <w:sz w:val="20"/>
              </w:rPr>
              <w:t>o casal adquiriu um imóvel que, embora registrado em nome da apelada, foi esforço comum. Fundamenta seu pedido nos artigos 1.723 e 1.725 do Código Civil, pugnando </w:t>
            </w:r>
            <w:r>
              <w:rPr>
                <w:spacing w:val="-5"/>
                <w:sz w:val="20"/>
              </w:rPr>
              <w:t>pela </w:t>
            </w:r>
            <w:r>
              <w:rPr>
                <w:sz w:val="20"/>
              </w:rPr>
              <w:t>reforma total da sentença para que a união seja reconhecida e o bem partilhado.</w:t>
            </w:r>
          </w:p>
          <w:p>
            <w:pPr>
              <w:pStyle w:val="TableParagraph"/>
              <w:spacing w:line="208" w:lineRule="auto" w:before="0"/>
              <w:ind w:right="20"/>
              <w:rPr>
                <w:sz w:val="20"/>
              </w:rPr>
            </w:pPr>
            <w:r>
              <w:rPr>
                <w:sz w:val="20"/>
              </w:rPr>
              <w:t>Subsidiariamente, requer o ressarcimento de R$57.404,00 pelos gastos que alega ter tido com o imóvel.&lt;/span&gt;&lt;/p&gt;&lt;p style="line-height: 2.16; text-indent: 57pt; text-align: justify; margin-top: 12pt; margin-bottom: 12pt;" dir="ltr"&gt; &lt;span style="font-size: 12pt; font-family: 'Times New Roman',serif; color: #000000; background-color: transparent; font-weight: 400; font-style: normal; font-variant: normal; text-decoration: none; vertical-align: baseline; white- space: pre-wrap;"&gt;Em contrarrazões (id. 28248844), a apelada sustenta que o relacionamento era apenas um namoro e que adquiriu o imóvel com recursos próprios.</w:t>
            </w:r>
          </w:p>
          <w:p>
            <w:pPr>
              <w:pStyle w:val="TableParagraph"/>
              <w:spacing w:line="208" w:lineRule="auto" w:before="0"/>
              <w:ind w:right="99"/>
              <w:rPr>
                <w:sz w:val="20"/>
              </w:rPr>
            </w:pPr>
            <w:r>
              <w:rPr>
                <w:sz w:val="20"/>
              </w:rPr>
              <w:t>Afirma que a permanência do apelante no bem se deu por mera permissão e que a apelação é protelatória. Pede, ao final, a manutenção integral da sentença recorrida.&lt;/span&gt;&lt;/p&gt;&lt;p style="line-height: 2.16; text-indent: 57pt; text-align: justify; margin-top: 12pt; margin-bottom: 12pt;" dir="ltr"&gt; &lt;span style="font-size: 12pt; font-family: 'Times New Roman',serif; color: #000000; background-color: transparent; font-weight: 400;</w:t>
            </w:r>
          </w:p>
          <w:p>
            <w:pPr>
              <w:pStyle w:val="TableParagraph"/>
              <w:spacing w:line="208" w:lineRule="auto" w:before="0"/>
              <w:ind w:right="20"/>
              <w:rPr>
                <w:sz w:val="20"/>
              </w:rPr>
            </w:pPr>
            <w:r>
              <w:rPr>
                <w:sz w:val="20"/>
              </w:rPr>
              <w:t>font-style: normal; font-variant: normal; text-decoration: none; vertical-align: baseline; white- space: pre-wrap;"&gt;Deixei de submeter os autos à análise do Ministério Público atuante em 2º grau, pois a discussão recursal não versa sobre matéria que enseje intervenção obrigatória do Órgão Ministerial&lt;/span&gt;&lt;/p&gt;&lt;p style="line-height: 2.16; text-indent: 57pt; text-align: justify; margin-top: 12pt; margin-bottom: 12pt;" dir="ltr"&gt; &lt;span style="font-size: 12pt; font-family: 'Times New Roman',serif; color: #000000; background-color: transparent; font-weight: 400; font-style: normal; font-variant: normal; text-decoration: none; vertical- align: baseline; white-space: pre-wrap;"&gt;É o relatório.&lt;/span&gt;&lt;/p&gt;&lt;p style="line-height: 2.16; text-align: center; margin-top: 12pt; margin-bottom: 12pt;" dir="ltr"&gt; &lt;span</w:t>
            </w:r>
          </w:p>
          <w:p>
            <w:pPr>
              <w:pStyle w:val="TableParagraph"/>
              <w:spacing w:line="208" w:lineRule="auto" w:before="0"/>
              <w:ind w:right="37"/>
              <w:rPr>
                <w:sz w:val="20"/>
              </w:rPr>
            </w:pPr>
            <w:r>
              <w:rPr>
                <w:sz w:val="20"/>
              </w:rPr>
              <w:t>style="font-size: 12pt; font-family: 'Times New Roman',serif; color: #000000; background- color: transparent; font-weight: 700; font-style: normal; font-variant: normal; text-decoration: none; vertical-align: baseline; white-space: pre-wrap;"&gt;VOTO&lt;/span&gt;&lt;/p&gt;&lt;p style="line- 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pre-wrap;"&gt;O recurso é cabível, tempestivo e o apelante está dispensado do preparo, por ser beneficiário da justiça gratuita, benefício este que mantenho. Presentes os pressupostos, conheço do recurso e passo ao exame do mérito.&lt;/span&gt;&lt;/p&gt;&lt;p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5"/>
              <w:rPr>
                <w:sz w:val="20"/>
              </w:rPr>
            </w:pPr>
            <w:r>
              <w:rPr>
                <w:sz w:val="20"/>
              </w:rPr>
              <w:t>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pre-wrap;"&gt;O cerne da controvérsia reside em verificar se o relacionamento havido entre o apelante (reconvinte) e a apelada (reconvinda) preencheu os requisitos legais para a configuração de união estável e, em caso negativo, se o apelante faz jus ao ressarcimento de valores supostamente investidos no imóvel da apelada.&lt;/span&gt;&lt;/p&gt;&lt;p style="line- 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 sentença de primeiro grau julgou improcedente o pedido, por entender que a prova dos autos foi frágil e insuficiente para demonstrar os requisitos do art. 1.723 do Código Civil.&lt;/span&gt;&lt;/p&gt;&lt;p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 align: baseline; white-space: pre-wrap;"&gt;Adianto que a decisão não merece reparos.&lt;/span&gt;&lt;/p&gt;&lt;p style="line-height: 2.16; text-indent: 56.692913385826756pt; text- align: justify; margin-top: 12pt; margin-bottom: 12pt;" dir="ltr"&gt; &lt;span style="font-size: 12pt; font-family: 'Times New Roman',serif; color: #000000; background-color: transparent; font- weight: 700; font-style: normal; font-variant: normal; text-decoration: none; vertical-align: baseline; white-space: pre-wrap;"&gt;1. Da Inexistência de União Estável&lt;/span&gt;&lt;/p&gt;&lt;p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pre-wrap;"&gt;Para que a união estável seja reconhecida como entidade familiar, o art. 1.723 do Código Civil exige a comprovação de uma convivência pública, contínua e duradoura e estabelecida com o objetivo de constituição de família.&lt;/span&gt;&lt;/p&gt;&lt;p style="line-height: 2.16; text-indent: 56.692913385826756pt; text-align: justify; margin-top: 12pt; margin- bottom: 12pt;" dir="ltr"&gt;&lt;span style="font-size: 12pt; font-family: 'Times New Roman',serif; color: #000000; background-color: transparent; font-weight: 400; font-style: normal; font- variant: normal; text-decoration: none; vertical-align: baseline; white-space: pre-wrap;"&gt;No caso dos autos, o apelante não logrou êxito em demonstrar a integralidade desses requisitos, falhando em comprovar o&lt;/span&gt; &lt;span style="font-size: 12pt; font-family: 'Times New Roman',serif; color: #000000; background-color: transparent; font-weight: 400; font-style: italic; font-variant: normal; text-decoration: none; vertical-align: baseline; white- space: pre-wrap;"&gt;animus familiae&lt;/span&gt; &lt;span style="font-size: 12pt; font-family: 'Times New Roman',serif; color: #000000; background-color: transparent; font-weight: 400; font- style: normal; font-variant: normal; text-decoration: none; vertical-align: baseline; white- space: pre-wrap;"&gt;(a intenção de formar uma família).&lt;/span&gt;&lt;/p&gt;&lt;p style="line-height: 2.16; text-indent: 56.692913385826756pt; text-align: justify; margin-top: 12pt; margin- bottom: 12pt;" dir="ltr"&gt; &lt;span style="font-size: 12pt; font-family: 'Times New Roman',serif; color: #000000; background-color: transparent; font-weight: 400; font-style: normal; font- variant: normal; text-decoration: none; vertical-align: baseline; white-space: pre-wrap;"&gt;O apelante alega que a relação perdurou de 1996 a 2019, contudo, como bem ressaltado na sentença da ação de reintegração de posse (citada pelo próprio apelante), "&lt;/span&gt;</w:t>
            </w:r>
          </w:p>
          <w:p>
            <w:pPr>
              <w:pStyle w:val="TableParagraph"/>
              <w:spacing w:line="208" w:lineRule="auto" w:before="0"/>
              <w:ind w:right="19"/>
              <w:rPr>
                <w:sz w:val="20"/>
              </w:rPr>
            </w:pPr>
            <w:r>
              <w:rPr>
                <w:sz w:val="20"/>
              </w:rPr>
              <w:t>&lt;span style="font-size: 12pt; font-family: 'Times New Roman',serif; color: #000000; background-color: transparent; font-weight: 400; font-style: italic; font-variant: normal; text- decoration: none; vertical-align: baseline; white-space: pre-wrap;"&gt;alegar que a relação amorosa das partes configurou união estável somente em virtude do extenso lapso temporal [...] é equivocado&lt;/span&gt; &lt;span style="font-size: 12pt; font-family: 'Times New Roman',serif; color: #000000; background-color: transparent; font-weight: 400; font-style: normal; font-variant: normal; text-decoration: none; vertical-align: baseline; white-space: pre-wrap;"&gt;". O tempo, isoladamente, não transforma um namoro em união estável.&lt;/span&gt;&lt;/p&gt;&lt;p style="line-height: 2.16; text-indent: 56.692913385826756pt; text- align: justify; margin-top: 12pt; margin-bottom: 12pt;" dir="ltr"&gt; &lt;span style="font-size: 12pt; font-family: 'Times New Roman',serif; color: #000000; background-color: transparent; font- weight: 400; font-style: normal; font-variant: normal; text-decoration: none; vertical-align: baseline; white-space: pre-wrap;"&gt;A prova dos autos demonstrou que a relação não era pública nem tinha o objetivo de constituir família. A apelada, em sua defesa (contestação à reconvenção) e em suas contrarrazões, foi categórica ao afirmar que o relacionamento não era publicamente conhecido, pois o apelante "&lt;/span&gt; &lt;span style="font-size: 12pt; font- family: 'Times New Roman',serif; color: #000000; background-color: transparent; font- weight: 400; font-style: italic; font-variant: normal; text-decoration: none; vertical-align: baseline; white-space: pre-wrap;"&gt;vivia em outro relacionamento amoroso e morava com outra família&lt;/span&gt; &lt;span style="font-size: 12pt; font-family: 'Times New Roman',serif; color: #000000; background-color: transparent; font-weight: 400; font-style: normal;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variant: normal; text-decoration: none; vertical-align: baseline; white-space: pre-wrap;"&gt;" , chegando a se relacionar com três mulheres ao mesmo tempo.&lt;/span&gt;&lt;/p&gt;&lt;p style="line- height: 2.16;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pre-wrap;"&gt;A fragilidade probatória, apontada pelo juízo&lt;/span&gt; &lt;span style="font-size: 12pt; font-family: 'Times New Roman',serif; color: #000000; background-color: transparent; font-weight: 400; font-style: italic; font-variant: normal; text-decoration: none; vertical-align: baseline; white-space: pre-wrap;"&gt;a quo&lt;/span&gt;&lt;span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é manifesta. A testemunha arrolada pelo próprio apelante na audiência de instrução da Vara de Família, Sra. Lindamar Vieira, prestou depoimento, no qual a testemunha&lt;/span&gt; &lt;span style="font-size: 12pt; font-family: 'Times New Roman',serif; color: #000000; background-color: transparent; font-weight: 400; font-style: italic; font- variant: normal; text-decoration: none; vertical-align: baseline; white-space: pre- wrap;"&gt;"não conhece a reconvinda, não soube dizer se o reconvinte casou ou constituiu união estável com alguém, que não sabia como era o relacionamento do reconvinte com a reconvinda".&lt;/span&gt;&lt;/p&gt;&lt;p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 align: baseline; white-space: pre-wrap;"&gt;O apelante tenta, em suas razões recursais, reavivar os depoimentos colhidos na audiência de instrução da Vara Cível (fls. 176) , mas a prova produzida perante o juízo de família (fls. 335), que foi a base da sentença ora recorrida, foi incapaz de demonstrar os fatos constitutivos do seu direito.&lt;/span&gt;&lt;/p&gt;&lt;p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 propósito:&lt;/span&gt;&lt;/p&gt;&lt;p style="line-height: 1.38; margin-left: 113.38582677165354pt; text-align: justify; margin-top: 6pt; margin-bottom: 6pt;" dir="ltr"&gt;&lt;span style="font-size: 12pt; font-family: 'Times New Roman',serif; color: #000000; background-color: transparent; font-weight: 400; font-style: normal; font-variant: normal; text-decoration: none; vertical-align: baseline; white-space: pre- wrap;"&gt;CONSTITUCIONAL. ADMINISTRATIVO. APELAÇÃO CÍVEL. AÇÃO DE INDENIZAÇÃO POR DANOS MORAIS. MORTE DE DETENTO EM ESTABELECIMENTO PRISIONAL. ILEGITIMIDADE ATIVA DA SUPOSTA COMPANHEIRA DO DE CUJUS. AUSÊNCIA DE PROVA INEQUÍVOCA DA UNIÃO ESTÁVEL. APELAÇÃO CONHECIDA E</w:t>
            </w:r>
          </w:p>
          <w:p>
            <w:pPr>
              <w:pStyle w:val="TableParagraph"/>
              <w:spacing w:line="208" w:lineRule="auto" w:before="0"/>
              <w:ind w:right="30"/>
              <w:rPr>
                <w:sz w:val="20"/>
              </w:rPr>
            </w:pPr>
            <w:r>
              <w:rPr>
                <w:sz w:val="20"/>
              </w:rPr>
              <w:t>DESPROVIDA. SENTENÇA MANTIDA. 1. O cerne da controvérsia jurídica ora em discussão consiste em analisar a responsabilidade civil do Estado do Ceará decorrente de dano moral e material em razão da morte de detento em estabelecimento prisional estadual em favor da companheira do de cujus. 2. Considerando a suposta existência de união estável com o de cujus, questão prejudicial ao reconhecimento do direito autoral ao percebimento de indenização por danos morais e materiais oriundos do óbito, impende analisar, inicialmente, esse aspecto da insurgência autoral. Nos termos do art. 1.723, do Código Civil, para que se configure a união estável, é imprescindível que haja convivência duradoura, pública e contínua, estabelecida com o objetivo de constituir uma família, bem como que não estejam presentes os impedimentos ao casamento elencados no art. 1.521, do CC.&lt;/span&gt; &lt;span style="font-size: 12pt; font-family: &amp;quot;Times New Roman&amp;quot;, serif; color: #000000; background-color: transparent; font-weight: 700; font-style: normal; font-variant: normal; text-decoration-skip-ink: none; vertical-align: baseline; white-space: pre-wrap; text-decoration: underline;"&gt;Nesse passo, diante da previsão normativa, doutrina e jurisprudência vêm reconhecendo alguns requisitos essenciais para sua configuração: a) estabilidade; b) publicidade (modus vivendi); c) continuidade; e d) objetivo de constituição de família. 3. Na hipótese ora em discussão, analisando os documentos acostados aos autos, é possível constatar a inexistência de conteúdo de prova apto a demonstrar de forma inequívoca que a promovente tenha mantido uma união estável com o de cujus, </w:t>
            </w:r>
            <w:r>
              <w:rPr>
                <w:spacing w:val="-5"/>
                <w:sz w:val="20"/>
              </w:rPr>
              <w:t>cujo </w:t>
            </w:r>
            <w:r>
              <w:rPr>
                <w:sz w:val="20"/>
              </w:rPr>
              <w:t>ônus incumbe à autora, por tratar-se de fato constitutivo do direito afirmado na petição inicial. Nesse contexto, apesar de não se exigir manifestação ou declaração de vontade para configurar uma união estável, impende destacar que a existência fática da alegada união estável não restou demonstrada. Inexiste nos autos prova testemunhal a configurar uma convivência pública e duradoura entre a autora e o falecido, bem como a presença do objetivo de estabelecer uma família&lt;/span&gt;&lt;span style="font-size: 12pt; font-family: 'Times New Roman',serif; color: #000000; background-color: transparent; font-weight: 400; font- style: normal; font-variant: normal; text-decoration: none; vertical-align: baseline; white- space: pre-wrap;"&gt;, ou até mesmo a existência de ação judicial de reconhecimento de união estável. 4. Outrossim, conforme informado pela própria promovente na peça inicial, ambos iniciaram o relacionamento no final de 2013, vindo Eduardo Leandro Alves a ser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
              <w:rPr>
                <w:sz w:val="20"/>
              </w:rPr>
            </w:pPr>
            <w:r>
              <w:rPr>
                <w:sz w:val="20"/>
              </w:rPr>
              <w:t>preso em 28 de julho de 2015. Ou seja, o casal conviveu em relacionamento amoroso durante um ano e meio aproximadamente, tempo esse muito exíguo de duração, não permitindo, a meu ver, sem a presença de outros elementos imprescindíveis, a configuração da estabilidade necessária para o reconhecimento da união estável. 5. Desse modo, no caso, malgrado as circunstâncias de fato aduzidas nos autos, tem-se que não houve a comprovação de forma inequívoca da convivência necessária para a configuração da união estável a justificar a legitimidade ativa da promovente em pleitear indenização por danos morais pela morte de Eduardo Leandro Alves, enquanto cumpria pena em estabelecimento prisional, restando prejudicada a análise da responsabilidade do ente estatal, não merecendo a sentença recorrida qualquer reforma. 4. Apelação conhecida e desprovida. Sentença mantida. (Apelação Cível - 0006022-60.2018.8.06.0112, Rel.</w:t>
            </w:r>
          </w:p>
          <w:p>
            <w:pPr>
              <w:pStyle w:val="TableParagraph"/>
              <w:tabs>
                <w:tab w:pos="6579" w:val="left" w:leader="none"/>
              </w:tabs>
              <w:spacing w:line="208" w:lineRule="auto" w:before="0"/>
              <w:ind w:right="247"/>
              <w:rPr>
                <w:sz w:val="20"/>
              </w:rPr>
            </w:pPr>
            <w:r>
              <w:rPr>
                <w:sz w:val="20"/>
              </w:rPr>
              <w:t>Desembargador(a) FRANCISCO GLADYSON PONTES, 2ª Câmara Direito Público, </w:t>
            </w:r>
            <w:r>
              <w:rPr>
                <w:spacing w:val="-5"/>
                <w:sz w:val="20"/>
              </w:rPr>
              <w:t>data </w:t>
            </w:r>
            <w:r>
              <w:rPr>
                <w:sz w:val="20"/>
              </w:rPr>
              <w:t>do julgamento:&amp;#160; 27/09/2023, data da publicação:&amp;#160; 27/09/2023) Grifamos.&lt;/span&gt;&lt;/p&gt;&lt;p style="text-align: center;"&gt; &lt;strong id="docs-internal-guid- d6275803-7fff-dac9-b162-36191b181b65" style="font-weight: normal;"&gt;</w:t>
              <w:tab/>
              <w:t>&lt;br /&gt;</w:t>
            </w:r>
          </w:p>
          <w:p>
            <w:pPr>
              <w:pStyle w:val="TableParagraph"/>
              <w:spacing w:line="208" w:lineRule="auto" w:before="0"/>
              <w:ind w:right="79"/>
              <w:rPr>
                <w:sz w:val="20"/>
              </w:rPr>
            </w:pPr>
            <w:r>
              <w:rPr>
                <w:sz w:val="20"/>
              </w:rPr>
              <w:t>&lt;/strong&gt;&lt;/p&gt;&lt;p style="line-height: 1.38; margin-left: 113.38582677165354pt; text-align: justify; margin-top: 6pt; margin-bottom: 6pt;" dir="ltr"&gt;&lt;span style="font-size: 12pt; font- family: 'Times New Roman',serif; color: #000000; background-color: transparent; font- weight: 400; font-style: normal; font-variant: normal; text-decoration: none; vertical-align: baseline; white-space: pre-wrap;"&gt;CIVIL. PROCESSUAL CIVIL. APELAÇÃO CÍVEL. AÇÃO DE RECONHECIMENTO E DISSOLUÇÃO DE UNIÃO ESTÁVEL C/C PARTILHA DE BENS. INEXISTÊNCIA DE COMPROVAÇÃO DOS REQUISITOS ESSENCIAIS DA UNIÃO ESTÁVEL (ART. 226, §3º, CF/88; ART. 1.723 DO CÓDIGO CIVIL; ART. 1º DA LEI Nº 9.728/1996). AUSENTE A PROVA DA CONTINUIDADE DA RELAÇÃO (SEM INTERRUPÇÕES OU TÉRMINOS), QUE PERMEIA A ESTABILIDADE DA UNIÃO. OCORRÊNCIA DE NAMORO. DESCARACTERIZADA A UNIÃO ESTÁVEL, RESTA PREJUDICADA A ANÁLISE DO PEDIDO DE PARTILHA DE BENS. IMPROCEDÊNCIA DA DEMANDA. RECURSO CONHECIDO E DESPROVIDO. SENTENÇA MANTIDA. 1. A</w:t>
            </w:r>
          </w:p>
          <w:p>
            <w:pPr>
              <w:pStyle w:val="TableParagraph"/>
              <w:spacing w:line="208" w:lineRule="auto" w:before="0"/>
              <w:ind w:right="18"/>
              <w:rPr>
                <w:sz w:val="20"/>
              </w:rPr>
            </w:pPr>
            <w:r>
              <w:rPr>
                <w:sz w:val="20"/>
              </w:rPr>
              <w:t>controvérsia cinge-se em analisar, no caso em comento, a existência, ou não, de união estável entre a autora e requerido, de 2005 a 2016, assim como o direito da promovente à partilha dos bens adquiridos na constância da união. 2. O art. 1.723, caput, do Código Civil, que regulamenta o art. 226, § 3º, da Constituição Federal de 1988, dispõe que "é reconhecida como entidade familiar a união estável entre o homem e a mulher, configurada na convivência pública, contínua e duradoura e estabelecida com o objetivo </w:t>
            </w:r>
            <w:r>
              <w:rPr>
                <w:spacing w:val="-9"/>
                <w:sz w:val="20"/>
              </w:rPr>
              <w:t>de </w:t>
            </w:r>
            <w:r>
              <w:rPr>
                <w:sz w:val="20"/>
              </w:rPr>
              <w:t>constituição de família". O referido dispositivo traz o mesmo conceito que consta na Lei nº 9.278/1996 (Lei da União Estável). 3. As normas, a doutrina e a jurisprudência vêm reconhecendo alguns requisitos essenciais para sua configuração: estabilidade; publicidade (notoriedade, não podendo ser oculta, clandestina); continuidade (sem interrupções); objetivo de constituição de família, sendo necessária a presença cumulativa desses requisitos. 4. No que tange à intenção de constituir família (animus familiae), ou seja, o intuito de viver como se casados fossem (a chamada "convivência more uxório"), devem ser analisados o tratamento dos companheiros entre si e o claro reconhecimento de seu estado pela sociedade. 5. Embora a autora tenha juntado elementos com o intuito de demonstrar a existência da relação, como fotos do casal, prints de conversas por meio de aplicativo de mensagens, sua condição de dependente dele em cartões de crédito e inclusive de beneficiária de seguro de vida no início do relacionamento, não se observa no processo a comprovação da continuidade do vínculo, isto é, da ausência de interrupções do relacionamento. 6. Em suas peças, o ora recorrido sempre sustentou que as partes terminaram o relacionamento várias vezes, o que descaracterizaria a convivência contínua. Na audiência de instrução, as testemunhas do promovido confirmaram os diversos términos da relação. Por seu lado, as testemunhas da requerente afirmaram ter presenciado por diversas vezes o casal no apartamento do condomínio Green Park em Fortaleza. Ocorre que uma delas trabalhou como diarista do casal por apenas cinco meses, e a outra, que foi vizinha deles por dois anos, não frequentava a residência, e não soube precisar por quanto tempo residiram no condomínio. De qualquer modo, pode-se observar que nenhuma das depoentes da autora conviveu com o casal por tempo suficiente para afirmar com segurança a continuidade da relação. 7. Portanto, como concluiu a sentença adversada,&lt;/span&gt; &lt;span style="font-size: 12pt; font-family: &amp;quot;Times New Roman&amp;quot;, serif; color: #000000; background-color: transparent; font- weight: 700; font-style: normal; font-variant: normal; text-decoration-skip-ink: none; vertical- align: baseline; white-space: pre-wrap; text-decoration: underline;"&gt;embora incontroversa a ocorrência de um longo namoro, este não se convola em união estável, em virtude da falta de demonstração de um compromisso duradouro e contínuo semelhante ao matrimônio. 8. Assim, inexistindo comprovação efetiva da delineação da união estável, conclui-se pela impossibilidade de declaração de sua existência e produção de efeitos, restando prejudicada a apreciação do pedido de partilha de bens.&lt;/span&gt; &lt;span style="font-size: 12pt; font-family: 'Times New Roman',serif; color: #000000; background-color: transparent; font-weight: 400; font-style: normal; font-variant: normal; text-decoration: none; vertical- align: baseline; white-space: pre-wrap;"&gt;9. Apelação conhecida e desprovida. Sentença mantida. (Apelação Cível - 0133544-83.2016.8.06.0001, Rel. Desembargador(a)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5"/>
              <w:rPr>
                <w:sz w:val="20"/>
              </w:rPr>
            </w:pPr>
            <w:r>
              <w:rPr>
                <w:sz w:val="20"/>
              </w:rPr>
              <w:t>FRANCISCO LUCIANO LIMA RODRIGUES, 3ª Câmara Direito Privado, data do julgamento:&amp;#160; 07/07/2021, data da publicação:&amp;#160; 13/07/2021) Grifamos.&lt;/span&gt;&lt;/p&gt;&lt;p style="line-height: 2.16; text-indent: 56.692913385826756pt; text- align: justify; margin-top: 12pt; margin-bottom: 12pt;" dir="ltr"&gt; &lt;span style="font-size: 12pt; font-family: 'Times New Roman',serif; color: #000000; background-color: transparent; font- weight: 400; font-style: normal; font-variant: normal; text-decoration: none; vertical-align: baseline; white-space: pre-wrap;"&gt;Portanto, sem prova de publicidade, fidelidade , ou intenção mútua de constituir família, o relacionamento deve ser classificado como namoro, ainda que de longa data, não gerando os efeitos patrimoniais pleiteados.&lt;/span&gt;&lt;/p&gt;&lt;p style="line-height: 2.16; text-indent: 56.692913385826756pt; text-align: justify; margin-top: 12pt; margin-bottom: 12pt;" dir="ltr"&gt; &lt;span style="font-size: 12pt; font-family: 'Times New Roman',serif; color: #000000; background-color: transparent; font-weight: 700; font-style: normal; font-variant: normal; text-decoration: none; vertical-align: baseline; white-space: pre-wrap;"&gt;2. Da Improcedência da Partilha de Bens&lt;/span&gt;&lt;/p&gt;&lt;p style="line-height: 2.16; text-indent: 56.692913385826756pt; text-align: justify; margin-top: 12pt; margin- bottom: 12pt;" dir="ltr"&gt; &lt;span style="font-size: 12pt; font-family: 'Times New Roman',serif; color: #000000; background-color: transparent; font-weight: 400; font-style: normal; font- variant: normal; text-decoration: none; vertical-align: baseline; white-space: pre-wrap;"&gt;O pedido de partilha do imóvel localizado na R. Mário Montenegro, seria uma decorrência lógica do reconhecimento da união estável. outrossim, n&lt;/span&gt; &lt;span</w:t>
            </w:r>
          </w:p>
          <w:p>
            <w:pPr>
              <w:pStyle w:val="TableParagraph"/>
              <w:spacing w:line="208" w:lineRule="auto" w:before="0"/>
              <w:ind w:right="19"/>
              <w:rPr>
                <w:sz w:val="20"/>
              </w:rPr>
            </w:pPr>
            <w:r>
              <w:rPr>
                <w:sz w:val="20"/>
              </w:rPr>
              <w:t>style="background-color: transparent; font-family: &amp;quot;Times New Roman&amp;quot;, serif; font-size: 12pt; white-space-collapse: preserve; text-indent: 56.6929pt;"&gt;ão sendo reconhecida a entidade familiar, não há que se falar em aplicação do regime da comunhão parcial de bens (art. 1.725, CC) ou em partilha de patrimônio. Correta, portanto, a </w:t>
            </w:r>
            <w:r>
              <w:rPr>
                <w:spacing w:val="-3"/>
                <w:sz w:val="20"/>
              </w:rPr>
              <w:t>sentença </w:t>
            </w:r>
            <w:r>
              <w:rPr>
                <w:sz w:val="20"/>
              </w:rPr>
              <w:t>ao julgar improcedente o pedido de partilha.&lt;/span&gt;&lt;/p&gt;&lt;p style="line-height: 2.16; text- 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pre-wrap;"&gt;3.&lt;/span&gt; &lt;span style="font-size: 12pt; font-family: 'Times New Roman',serif; color: #000000; background- color: transparent; font-weight: 700; font-style: normal; font-variant: normal; text-decoration: none; vertical-align: baseline; white-space: pre-wrap;"&gt;Do Pedido Subsidiário de Ressarcimento&lt;/span&gt;&lt;/p&gt;&lt;p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 align: baseline; white-space: pre-wrap;"&gt;Em seu apelo, o recorrente reitera o pedido subsidiário de ser ressarcido no valor de R$ 57.404,00 (cinquenta e sete mil, quatrocentos e quatro reais), que alega ter investido no imóvel.&lt;/span&gt;&lt;/p&gt;&lt;p style="line-height: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pre-wrap;"&gt;Também não merece respaldo.&lt;/span&gt;&lt;/p&gt;&lt;p style="line-height: 2.16;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pre-wrap;"&gt;Como bem apontado pela apelada em contrarrazões, o apelante&lt;/span&gt; &lt;span style="font-size: 12pt; font-family: 'Times New Roman',serif; color: #000000; background-color: transparent; font- weight: 400; font-style: italic; font-variant: normal; text-decoration: none; vertical-align: baseline; white-space: pre-wrap;"&gt;"jamais poderia ser pago sem que [...] tivesse o zelo de guardar seus comprovantes, recibos ou apresentasse em juízo [...] um extrato bancário&lt;/span&gt;&lt;span style="font-size: 12pt; font-family: 'Times New Roman',serif; color: #000000; background-color: transparent; font-weight: 400; font-style: normal; font-variant: normal; text-decoration: none; vertical-align: baseline; white-space: pre-wrap;"&gt;".&lt;/span&gt;</w:t>
            </w:r>
          </w:p>
          <w:p>
            <w:pPr>
              <w:pStyle w:val="TableParagraph"/>
              <w:spacing w:line="208" w:lineRule="auto" w:before="0"/>
              <w:ind w:right="98"/>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4"/>
                <w:sz w:val="20"/>
              </w:rPr>
              <w:t>text- </w:t>
            </w:r>
            <w:r>
              <w:rPr>
                <w:sz w:val="20"/>
              </w:rPr>
              <w:t>decoration: underline;"&gt;O apelante se limita a alegar um valor vultoso sem apresentar um único documento que comprove o dispêndio.&lt;/span&gt;&lt;/p&gt;&lt;p style="line-height: 2.16; text- 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 própria sentença da Vara Cível, citada pelo apelante, já havia estabelecido que a posse do recorrente era precária, decorrente de mera permissão (comodato).&amp;#160;&lt;/span&gt;&lt;/p&gt;&lt;p style="line-height: 2.16; text-indent: 56.692913385826756pt; text-align: justify; margin-top: 12pt; margin-bottom: 12pt;" dir="ltr"&gt; &lt;span style="font-size: 12pt; font-family: 'Times New Roman',serif; color: #000000; background-color: transparent; font-weight: 400; font-style: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0138008-48.2019.8.06.0001</w:t>
            </w:r>
          </w:p>
        </w:tc>
      </w:tr>
      <w:tr>
        <w:trPr>
          <w:trHeight w:val="10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6"/>
              <w:rPr>
                <w:sz w:val="20"/>
              </w:rPr>
            </w:pPr>
            <w:r>
              <w:rPr>
                <w:sz w:val="20"/>
              </w:rPr>
              <w:t>normal; font-variant: normal; text-decoration: none; vertical-align: baseline; white-space: pre-wrap;"&gt;Não havendo união estável e não havendo nenhuma prova dos gastos alegados, o pedido de ressarcimento é totalmente improcedente.&lt;/span&gt;&lt;/p&gt;&lt;p style="line-height: 2.16; text-align: center; margin-top: 12pt; margin-bottom: 12pt;" dir="ltr"&gt;</w:t>
            </w:r>
          </w:p>
          <w:p>
            <w:pPr>
              <w:pStyle w:val="TableParagraph"/>
              <w:spacing w:line="208" w:lineRule="auto" w:before="0"/>
              <w:ind w:right="29"/>
              <w:rPr>
                <w:sz w:val="20"/>
              </w:rPr>
            </w:pPr>
            <w:r>
              <w:rPr>
                <w:sz w:val="20"/>
              </w:rPr>
              <w:t>&lt;span style="font-size: 12pt; font-family: 'Times New Roman',serif; color: #000000; background-color: transparent; font-weight: 700; font-style: normal; font-variant: normal; text-decoration: none; vertical-align: baseline; white-space: pre- wrap;"&gt;DISPOSITIVO&lt;/span&gt;&lt;/p&gt;&lt;p style="line-height: 2.16; text-indent: 56.692913385826756pt; text-align: justify; margin-top: 12pt; margin-bottom: 12pt;" dir="ltr"&gt;&lt;span style="font-size: 12pt; font-family: 'Times New Roman',serif; color: #000000; background-color: transparent; font-weight: 400; font-style: normal; font-variant: normal; text-decoration: none; vertical-align: baseline; white-space: pre-wrap;"&gt;Isto posto, conheço do Recurso de Apelação interposto, mas para&lt;/span&gt; &lt;span style="font-size: 12pt; font- family: 'Times New Roman',serif; color: #000000; background-color: transparent; font- weight: 700; font-style: normal; font-variant: normal; text-decoration: none; vertical-align: baseline; white-space: pre-wrap;"&gt;NEGAR-LHE PROVIMENTO&lt;/span&gt;&lt;span style="font- size: 12pt; font-family: 'Times New Roman',serif; color: #000000; background-color: transparent; font-weight: 400; font-style: normal; font-variant: normal; text-decoration: none; vertical-align: baseline; white-space: pre-wrap;"&gt;, mantendo integralmente a sentença proferida pela 3ª Vara de Família de Fortaleza.&lt;/span&gt;&lt;/p&gt;&lt;p style="line-height: 2.16; </w:t>
            </w:r>
            <w:r>
              <w:rPr>
                <w:spacing w:val="-4"/>
                <w:sz w:val="20"/>
              </w:rPr>
              <w:t>text- </w:t>
            </w:r>
            <w:r>
              <w:rPr>
                <w:sz w:val="20"/>
              </w:rPr>
              <w: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pre-wrap;"&gt;Em </w:t>
            </w:r>
            <w:r>
              <w:rPr>
                <w:spacing w:val="-3"/>
                <w:sz w:val="20"/>
              </w:rPr>
              <w:t>atenção </w:t>
            </w:r>
            <w:r>
              <w:rPr>
                <w:sz w:val="20"/>
              </w:rPr>
              <w:t>ao disposto no art. 85, §11, do CPC, majoro os honorários advocatícios sucumbenciais devidos pelo apelante para 12% (doze por cento) sobre o valor atualizado da causa.</w:t>
            </w:r>
          </w:p>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0"/>
              <w:ind w:right="25"/>
              <w:rPr>
                <w:sz w:val="20"/>
              </w:rPr>
            </w:pPr>
            <w:r>
              <w:rPr>
                <w:sz w:val="20"/>
              </w:rPr>
              <w:t>Contudo, a exigibilidade de tal verba, assim como das custas processuais , permanece suspensa, em razão da gratuidade judiciária deferida, nos termos do art. 98, § 3º, do CPC.&lt;/span&gt;&lt;/p&gt;&lt;p style="line-height: 2.16; text-indent: 56.692913385826756pt; text- align: justify; margin-top: 12pt; margin-bottom: 12pt;" dir="ltr"&gt; &lt;span style="font-size: </w:t>
            </w:r>
            <w:r>
              <w:rPr>
                <w:spacing w:val="-4"/>
                <w:sz w:val="20"/>
              </w:rPr>
              <w:t>12pt; </w:t>
            </w:r>
            <w:r>
              <w:rPr>
                <w:sz w:val="20"/>
              </w:rPr>
              <w:t>font-family: 'Times New Roman',serif; color: #000000; background-color: transparent; font- weight: 400; font-style: normal; font-variant: normal; text-decoration: none; vertical-align: baseline; white-space: pre-wrap;"&gt;&amp;#160;&lt;/span&gt; &lt;span style="background-color: transparent; font-family: &amp;quot;Times New Roman&amp;quot;, serif; font-size: 12pt; white- space-collapse: preserve; text-indent: 56.6929pt;"&gt;É como voto.&lt;/span&gt;&lt;/p&gt;&lt;p style="line- height: 2.16; text-indent: 56.692913385826756pt; text-align: justify; margin-top: 12pt; margin-bottom: 12pt;" dir="ltr"&gt; &lt;span style="font-size: 12pt; font-family: 'Times New Roman',serif; color: #000000; background-color: transparent; font-weight: 400; font-style: normal; font-variant: normal; text-decoration: none; vertical-align: baseline; white-space: pre-wrap;"&gt;&amp;#160;&lt;/span&gt;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3015393-92.2025.8.06.0001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THALES LIMA ARAUJO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RAFAEL DOS SANTOS OLIVEIRA - (CE34081-A)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HAPVIDA ASSISTENCIA MEDICA LTDA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3015393-92.2025.8.06.0001</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993"/>
              <w:rPr>
                <w:sz w:val="20"/>
              </w:rPr>
            </w:pPr>
            <w:r>
              <w:rPr>
                <w:sz w:val="20"/>
              </w:rPr>
              <w:t>ANDRE MENESCAL GUEDES - (CE23931-A) IGOR MACEDO FACO - (CE16470-A)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FAUSTINO DE CARVALHO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DIEGO ALBUQUERQUE LOPES - (CE26053-A)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&lt;strong&gt;PROCESSO&lt;/strong&gt;:&amp;#160;0201256-38.2024.8.06.0154 -&amp;#160;APELAÇÃO</w:t>
            </w:r>
          </w:p>
          <w:p>
            <w:pPr>
              <w:pStyle w:val="TableParagraph"/>
              <w:tabs>
                <w:tab w:pos="6557" w:val="left" w:leader="none"/>
              </w:tabs>
              <w:spacing w:line="208" w:lineRule="auto" w:before="8"/>
              <w:ind w:right="417"/>
              <w:rPr>
                <w:sz w:val="20"/>
              </w:rPr>
            </w:pPr>
            <w:r>
              <w:rPr>
                <w:sz w:val="20"/>
              </w:rPr>
              <w:t>CÍVEL (198)&lt;/span&gt;  &lt;/span&gt;&lt;/p&gt;&lt;p&gt;  &lt;span style="font-size: small;"&gt;</w:t>
              <w:tab/>
              <w:t>&lt;span style="font-family: &amp;quot;times new roman&amp;quot;, times;"&gt;APELANTE: FRANCISCO FAUSTINO DE CARVALHO&lt;/span&gt; &lt;/span&gt;&lt;/p&gt;&lt;p&gt; &lt;span style="font-size:</w:t>
            </w:r>
            <w:r>
              <w:rPr>
                <w:spacing w:val="5"/>
                <w:sz w:val="20"/>
              </w:rPr>
              <w:t> </w:t>
            </w:r>
            <w:r>
              <w:rPr>
                <w:spacing w:val="-3"/>
                <w:sz w:val="20"/>
              </w:rPr>
              <w:t>small;"&gt;</w:t>
            </w:r>
          </w:p>
          <w:p>
            <w:pPr>
              <w:pStyle w:val="TableParagraph"/>
              <w:spacing w:line="208" w:lineRule="auto" w:before="0"/>
              <w:ind w:right="222"/>
              <w:rPr>
                <w:sz w:val="20"/>
              </w:rPr>
            </w:pPr>
            <w:r>
              <w:rPr>
                <w:sz w:val="20"/>
              </w:rPr>
              <w:t>&lt;span style="font-family: &amp;quot;times new roman&amp;quot;, times;"&gt;APELADO: BANCO DO BRASIL SA&lt;/span&gt; &lt;/span&gt;&lt;/p&gt;&lt;p&gt;&amp;#160;&lt;/p&gt;&lt;p&gt; &lt;span style="font-size: medium;"&gt;</w:t>
            </w:r>
          </w:p>
          <w:p>
            <w:pPr>
              <w:pStyle w:val="TableParagraph"/>
              <w:tabs>
                <w:tab w:pos="2682" w:val="left" w:leader="none"/>
                <w:tab w:pos="3884" w:val="left" w:leader="none"/>
                <w:tab w:pos="4164" w:val="left" w:leader="none"/>
                <w:tab w:pos="4407" w:val="left" w:leader="none"/>
                <w:tab w:pos="4629" w:val="left" w:leader="none"/>
                <w:tab w:pos="5285" w:val="left" w:leader="none"/>
                <w:tab w:pos="5363" w:val="left" w:leader="none"/>
                <w:tab w:pos="6043" w:val="left" w:leader="none"/>
                <w:tab w:pos="6230" w:val="left" w:leader="none"/>
              </w:tabs>
              <w:spacing w:line="208" w:lineRule="auto" w:before="0"/>
              <w:ind w:right="108"/>
              <w:rPr>
                <w:sz w:val="20"/>
              </w:rPr>
            </w:pPr>
            <w:r>
              <w:rPr>
                <w:sz w:val="20"/>
              </w:rPr>
              <w:t>&lt;span style="background-color: transparent; font-variant-caps: small-caps; font-weight: 700; white-space-collapse: preserve; text-align: justify;"&gt;</w:t>
              <w:tab/>
              <w:tab/>
              <w:t>&lt;span style="font-family: &amp;quot;times new roman&amp;quot;, times;"&gt;</w:t>
              <w:tab/>
              <w:t>&lt;span style="background-color: transparent;"&gt;Ementa&lt;/span&gt;: Apelação cível. Sentença de indeferimento da petição inicial. No caso especifico, há Excesso de formalismo. Violação ao princípio do livre acesso à justiça. Petição inicial que atende aos requisitos previstos nos arts. 319 e 320 </w:t>
            </w:r>
            <w:r>
              <w:rPr>
                <w:spacing w:val="-9"/>
                <w:sz w:val="20"/>
              </w:rPr>
              <w:t>do </w:t>
            </w:r>
            <w:r>
              <w:rPr>
                <w:sz w:val="20"/>
              </w:rPr>
              <w:t>CPC. Recurso conhecido e provido.&lt;/span&gt;</w:t>
              <w:tab/>
              <w:t>&lt;/span&gt; &lt;/span&gt;&lt;/p&gt;&lt;p&gt; &lt;span style="font-size: medium;"&gt;</w:t>
              <w:tab/>
              <w:t>&lt;span style="font-size: medium;"&gt;</w:t>
              <w:tab/>
              <w:t>&lt;span style="font- family: &amp;quot;times new roman&amp;quot;, times;"&gt;</w:t>
              <w:tab/>
              <w:tab/>
              <w:t>&lt;span style="background-color: transparent; font-variant-caps: small-caps; font-weight: 700; white-space-collapse: preserve; text-align: justify;"&gt;&amp;#160;&lt;/span&gt;</w:t>
              <w:tab/>
              <w:tab/>
              <w:t>&lt;span style="background-color: transparent; font-variant-caps: small-caps; font-weight: 700; white-space-collapse: preserve; text-align: justify;"&gt;I. Caso em exame&lt;/span&gt;</w:t>
              <w:tab/>
              <w:t>&lt;/span&gt;</w:t>
              <w:tab/>
              <w:tab/>
              <w:t>&lt;/span&gt;</w:t>
            </w:r>
          </w:p>
          <w:p>
            <w:pPr>
              <w:pStyle w:val="TableParagraph"/>
              <w:tabs>
                <w:tab w:pos="2794" w:val="left" w:leader="none"/>
                <w:tab w:pos="2905" w:val="left" w:leader="none"/>
                <w:tab w:pos="3075" w:val="left" w:leader="none"/>
                <w:tab w:pos="3329" w:val="left" w:leader="none"/>
                <w:tab w:pos="4020" w:val="left" w:leader="none"/>
                <w:tab w:pos="4220" w:val="left" w:leader="none"/>
                <w:tab w:pos="5165" w:val="left" w:leader="none"/>
                <w:tab w:pos="6265" w:val="left" w:leader="none"/>
                <w:tab w:pos="6553" w:val="left" w:leader="none"/>
                <w:tab w:pos="6689" w:val="left" w:leader="none"/>
              </w:tabs>
              <w:spacing w:line="208" w:lineRule="auto" w:before="0"/>
              <w:ind w:right="97"/>
              <w:rPr>
                <w:sz w:val="20"/>
              </w:rPr>
            </w:pPr>
            <w:r>
              <w:rPr>
                <w:sz w:val="20"/>
              </w:rPr>
              <w:t>&lt;/span&gt;&lt;/p&gt;&lt;p style="line-height:1.38;margin-left: 0.05pt;margin-right: 7.35pt;text-align: justify;margin-top:6pt;margin-bottom:0pt;" dir="ltr"&gt; &lt;span style="color: #000000; background-color: transparent; font-weight: 400; font-style: normal; font-variant: normal; text-decoration: none; vertical-align: baseline; white-space: pre-wrap;"&gt;</w:t>
              <w:tab/>
              <w:t>&lt;span style="font-size: medium;"&gt;</w:t>
              <w:tab/>
              <w:t>&lt;span style="font-size: medium;"&gt;</w:t>
              <w:tab/>
              <w:t>&lt;span style="font- family: &amp;quot;times new roman&amp;quot;, times;"&gt;1. Apelação Cível interposta contra sentença que indeferiu a petição inicial, por não ter o apelante cumprido a determinação de emenda à exordial.&lt;/span&gt;</w:t>
              <w:tab/>
              <w:tab/>
              <w:tab/>
              <w:t>&lt;/span&gt;</w:t>
              <w:tab/>
              <w:t>&lt;/span&gt; &lt;/span&gt;&lt;/p&gt;&lt;p style="line- height:1.38;margin-left: 0.05pt;margin-right: 7.35pt;text-align: justify;margin-top:6pt;margin- bottom:0pt;" dir="ltr"&gt; &lt;span style="color: #000000; background-color: transparent; font- weight: 400; font-style: normal; font-variant: normal; text-decoration: none; vertical-align: baseline; white-space: pre-wrap;"&gt;</w:t>
              <w:tab/>
              <w:t>&lt;span style="font-size: medium;"&gt;</w:t>
              <w:tab/>
              <w:tab/>
              <w:t>&lt;span style="font-size: medium;"&gt;</w:t>
              <w:tab/>
              <w:tab/>
              <w:t>&lt;span style="font-family: &amp;quot;times new roman&amp;quot;, times;"&gt;2. O recorrente aduz que os elementos que constam na inicial são suficientes e que a sentença constitui excesso de formalismo visto que não houve prejuízo processual que justificasse medida tão gravosa quanto a extinção do feito. Pleiteia a reforma da sentença para o regular prosseguimento da ação. Subsidiariamente, concessão de prazo razoável para eventual adequação.&lt;/span&gt;</w:t>
              <w:tab/>
              <w:tab/>
              <w:t>&lt;/span&gt;</w:t>
              <w:tab/>
              <w:t>&lt;/span&gt; &lt;/span&gt;&lt;/p&gt;&lt;p</w:t>
            </w:r>
          </w:p>
          <w:p>
            <w:pPr>
              <w:pStyle w:val="TableParagraph"/>
              <w:tabs>
                <w:tab w:pos="939" w:val="left" w:leader="none"/>
                <w:tab w:pos="4299" w:val="left" w:leader="none"/>
              </w:tabs>
              <w:spacing w:line="208" w:lineRule="auto" w:before="0"/>
              <w:ind w:right="25"/>
              <w:rPr>
                <w:sz w:val="20"/>
              </w:rPr>
            </w:pPr>
            <w:r>
              <w:rPr>
                <w:sz w:val="20"/>
              </w:rPr>
              <w:t>style="line-height:1.38;text-align: justify;margin-top:6pt;margin-bottom:0pt;" dir="ltr"&gt; </w:t>
            </w:r>
            <w:r>
              <w:rPr>
                <w:spacing w:val="-4"/>
                <w:sz w:val="20"/>
              </w:rPr>
              <w:t>&lt;span </w:t>
            </w:r>
            <w:r>
              <w:rPr>
                <w:sz w:val="20"/>
              </w:rPr>
              <w:t>style="color: #000000; background-color: transparent; font-weight: 700; font-style: normal; font-variant: small-caps; text-decoration: none; vertical-align: baseline; white-space: pre- wrap;"&gt;</w:t>
              <w:tab/>
              <w:t>&lt;span style="font-size: medium;"&gt;</w:t>
              <w:tab/>
              <w:t>&lt;span style="font-size: medium;"&gt;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439" w:val="left" w:leader="none"/>
                <w:tab w:pos="1651" w:val="left" w:leader="none"/>
                <w:tab w:pos="1939" w:val="left" w:leader="none"/>
                <w:tab w:pos="1985" w:val="left" w:leader="none"/>
                <w:tab w:pos="2597" w:val="left" w:leader="none"/>
                <w:tab w:pos="2930" w:val="left" w:leader="none"/>
                <w:tab w:pos="5299" w:val="left" w:leader="none"/>
                <w:tab w:pos="6553" w:val="left" w:leader="none"/>
              </w:tabs>
              <w:spacing w:line="208" w:lineRule="auto" w:before="26"/>
              <w:ind w:right="20"/>
              <w:rPr>
                <w:sz w:val="20"/>
              </w:rPr>
            </w:pPr>
            <w:r>
              <w:rPr>
                <w:sz w:val="20"/>
              </w:rPr>
              <w:t>&lt;span style="font-family: &amp;quot;times new roman&amp;quot;, times;"&gt;II. Questão em discussão&lt;/span&gt;</w:t>
              <w:tab/>
              <w:tab/>
              <w:t>&lt;/span&gt;</w:t>
              <w:tab/>
              <w:t>&lt;/span&gt; &lt;/span&gt;&lt;/p&gt;&lt;p style="line-height:1.38;margin- left: 0.05pt;margin-right: 7.35pt;text-align: justify;margin-top:6pt;margin-bottom:0pt;" dir="ltr"&gt; &lt;span style="color: #000000; background-color: transparent; font-weight: 400; font-style: normal; font-variant: normal; text-decoration: none; vertical-align: baseline; </w:t>
            </w:r>
            <w:r>
              <w:rPr>
                <w:spacing w:val="-3"/>
                <w:sz w:val="20"/>
              </w:rPr>
              <w:t>white- </w:t>
            </w:r>
            <w:r>
              <w:rPr>
                <w:sz w:val="20"/>
              </w:rPr>
              <w:t>space: pre-wrap;"&gt;</w:t>
              <w:tab/>
              <w:t>&lt;span style="font-size: medium;"&gt;</w:t>
              <w:tab/>
              <w:t>&lt;span style="font-size: medium;"&gt;</w:t>
              <w:tab/>
              <w:t>&lt;span style="font-family: &amp;quot;times new roman&amp;quot;, times;"&gt;3. Há uma questão em discussão: verificar o acerto da sentença que indeferiu a petição inicial.&lt;/span&gt;</w:t>
              <w:tab/>
              <w:tab/>
              <w:t>&lt;/span&gt;</w:t>
              <w:tab/>
              <w:t>&lt;/span&gt; &lt;/span&gt;&lt;/p&gt;&lt;p style="line-height:1.38;text-align: justify;margin-top:6pt;margin-bottom:0pt;" dir="ltr"&gt; &lt;span style="color: #000000; background-color: transparent; font-weight: 700; font-style: normal; font-variant: small-caps; text-decoration: none; vertical-align: baseline; white-space: pre-wrap;"&gt;</w:t>
              <w:tab/>
              <w:t>&lt;span</w:t>
            </w:r>
          </w:p>
          <w:p>
            <w:pPr>
              <w:pStyle w:val="TableParagraph"/>
              <w:tabs>
                <w:tab w:pos="2794" w:val="left" w:leader="none"/>
                <w:tab w:pos="6265" w:val="left" w:leader="none"/>
                <w:tab w:pos="7119" w:val="left" w:leader="none"/>
              </w:tabs>
              <w:spacing w:line="208" w:lineRule="auto" w:before="0"/>
              <w:ind w:right="282"/>
              <w:rPr>
                <w:sz w:val="20"/>
              </w:rPr>
            </w:pPr>
            <w:r>
              <w:rPr>
                <w:sz w:val="20"/>
              </w:rPr>
              <w:t>style="font-size: medium;"&gt;</w:t>
              <w:tab/>
              <w:t>&lt;span style="font-size: medium;"&gt;</w:t>
              <w:tab/>
              <w:t>&lt;span </w:t>
            </w:r>
            <w:r>
              <w:rPr>
                <w:spacing w:val="-2"/>
                <w:sz w:val="20"/>
              </w:rPr>
              <w:t>style="font- </w:t>
            </w:r>
            <w:r>
              <w:rPr>
                <w:sz w:val="20"/>
              </w:rPr>
              <w:t>family: &amp;quot;times new roman&amp;quot;, times;"&gt;III. Razões de decidir&lt;/span&gt;</w:t>
              <w:tab/>
              <w:t>&lt;/span&gt;</w:t>
            </w:r>
          </w:p>
          <w:p>
            <w:pPr>
              <w:pStyle w:val="TableParagraph"/>
              <w:tabs>
                <w:tab w:pos="2363" w:val="left" w:leader="none"/>
                <w:tab w:pos="2905" w:val="left" w:leader="none"/>
                <w:tab w:pos="3308" w:val="left" w:leader="none"/>
                <w:tab w:pos="6553" w:val="left" w:leader="none"/>
                <w:tab w:pos="6689" w:val="left" w:leader="none"/>
              </w:tabs>
              <w:spacing w:line="208" w:lineRule="auto" w:before="0"/>
              <w:ind w:right="31"/>
              <w:rPr>
                <w:sz w:val="20"/>
              </w:rPr>
            </w:pPr>
            <w:r>
              <w:rPr>
                <w:sz w:val="20"/>
              </w:rPr>
              <w:t>&lt;/span&gt; &lt;/span&gt;&lt;/p&gt;&lt;p style="line-height:1.38;text-align: justify;margin-top:6pt;margin- bottom:0pt;" dir="ltr"&gt; &lt;span style="color: #000000; background-color: transparent; font- weight: 400; font-style: normal; font-variant: normal; text-decoration: none; vertical-align: baseline; white-space: pre-wrap;"&gt;</w:t>
              <w:tab/>
              <w:t>&lt;span style="font-size: medium;"&gt;</w:t>
              <w:tab/>
              <w:tab/>
              <w:t>&lt;span style="font-size: medium;"&gt;</w:t>
              <w:tab/>
              <w:t>&lt;span style="font-family: &amp;quot;times new roman&amp;quot;, times;"&gt;4. A sentença que indeferiu a petição inicial não merece prosperar, visto que o autor cumpriu as formalidades legais exigidas pelo art. 319 do CPC, bem como, instruiu a inicial com o mínimo de provas dos fatos constitutivos de seu direito, conforme previsto no art. 320, CPC.&lt;/span&gt;</w:t>
              <w:tab/>
              <w:t>&lt;/span&gt;</w:t>
              <w:tab/>
              <w:t>&lt;/span&gt; &lt;/span&gt;&lt;/p&gt;&lt;p style="line-height:1.38;text- align: justify;margin-top:6pt;margin-bottom:0pt;" dir="ltr"&gt; &lt;span style="color: #000000; background-color: transparent; font-weight: 700; font-style: normal; font-variant: small-caps; text-decoration: none; vertical-align: baseline; white-space: pre-wrap;"&gt;</w:t>
              <w:tab/>
              <w:t>&lt;span</w:t>
            </w:r>
          </w:p>
          <w:p>
            <w:pPr>
              <w:pStyle w:val="TableParagraph"/>
              <w:tabs>
                <w:tab w:pos="2794" w:val="left" w:leader="none"/>
                <w:tab w:pos="6265" w:val="left" w:leader="none"/>
                <w:tab w:pos="7108" w:val="left" w:leader="none"/>
              </w:tabs>
              <w:spacing w:line="208" w:lineRule="auto" w:before="0"/>
              <w:ind w:right="282"/>
              <w:rPr>
                <w:sz w:val="20"/>
              </w:rPr>
            </w:pPr>
            <w:r>
              <w:rPr>
                <w:sz w:val="20"/>
              </w:rPr>
              <w:t>style="font-size: medium;"&gt;</w:t>
              <w:tab/>
              <w:t>&lt;span style="font-size: medium;"&gt;</w:t>
              <w:tab/>
              <w:t>&lt;span </w:t>
            </w:r>
            <w:r>
              <w:rPr>
                <w:spacing w:val="-2"/>
                <w:sz w:val="20"/>
              </w:rPr>
              <w:t>style="font- </w:t>
            </w:r>
            <w:r>
              <w:rPr>
                <w:sz w:val="20"/>
              </w:rPr>
              <w:t>family: &amp;quot;times new roman&amp;quot;, times;"&gt;IV. Dispositivo e tese&lt;/span&gt;</w:t>
              <w:tab/>
              <w:t>&lt;/span&gt;</w:t>
            </w:r>
          </w:p>
          <w:p>
            <w:pPr>
              <w:pStyle w:val="TableParagraph"/>
              <w:tabs>
                <w:tab w:pos="1094" w:val="left" w:leader="none"/>
                <w:tab w:pos="1550" w:val="left" w:leader="none"/>
                <w:tab w:pos="1861" w:val="left" w:leader="none"/>
                <w:tab w:pos="2794" w:val="left" w:leader="none"/>
                <w:tab w:pos="2905" w:val="left" w:leader="none"/>
                <w:tab w:pos="3309" w:val="left" w:leader="none"/>
                <w:tab w:pos="4685" w:val="left" w:leader="none"/>
                <w:tab w:pos="5332" w:val="left" w:leader="none"/>
                <w:tab w:pos="5619" w:val="left" w:leader="none"/>
                <w:tab w:pos="6636" w:val="left" w:leader="none"/>
                <w:tab w:pos="6689" w:val="left" w:leader="none"/>
                <w:tab w:pos="7411" w:val="left" w:leader="none"/>
              </w:tabs>
              <w:spacing w:line="208" w:lineRule="auto" w:before="0"/>
              <w:ind w:right="20"/>
              <w:rPr>
                <w:sz w:val="20"/>
              </w:rPr>
            </w:pPr>
            <w:r>
              <w:rPr>
                <w:sz w:val="20"/>
              </w:rPr>
              <w:t>&lt;/span&gt; &lt;/span&gt;&lt;/p&gt;&lt;p style="line-height:1.38;text-align: justify;margin-top:6pt;margin- bottom:0pt;" dir="ltr"&gt; &lt;span style="color: #000000; background-color: transparent; font- weight: 400; font-style: normal; font-variant: normal; text-decoration: none; vertical-align: baseline; white-space: pre-wrap;"&gt;</w:t>
              <w:tab/>
              <w:t>&lt;span style="font-size: medium;"&gt;</w:t>
              <w:tab/>
              <w:tab/>
              <w:t>&lt;span style="font-size: medium;"&gt;</w:t>
              <w:tab/>
              <w:tab/>
              <w:t>&lt;span style="font-family: &amp;quot;times new roman&amp;quot;, times;"&gt;5. Recurso conhecido e provido.&lt;/span&gt;</w:t>
              <w:tab/>
              <w:t>&lt;/span&gt;</w:t>
              <w:tab/>
              <w:t>&lt;/span&gt; &lt;/span&gt;&lt;/p&gt;&lt;p style="line-height:1.38;margin-left: 0.05pt;margin-right: 7.45pt;text-align: justify;margin- top:6pt;margin-bottom:0pt;" dir="ltr"&gt;  &lt;span style="font-size: medium;"&gt;</w:t>
              <w:tab/>
              <w:t>&lt;span style="font-size: medium;"&gt;</w:t>
              <w:tab/>
              <w:t>&lt;span style="font-family: &amp;quot;times new roman&amp;quot;, times;"&gt;</w:t>
              <w:tab/>
              <w:t>&lt;span style="color: #000000; background-color: transparent; font-weight: 700; font-style: normal; font-variant: normal; text-decoration: none; vertical-align: baseline; </w:t>
            </w:r>
            <w:r>
              <w:rPr>
                <w:spacing w:val="-3"/>
                <w:sz w:val="20"/>
              </w:rPr>
              <w:t>white- </w:t>
            </w:r>
            <w:r>
              <w:rPr>
                <w:sz w:val="20"/>
              </w:rPr>
              <w:t>space: pre-wrap;"&gt;Dispositivos relevantes citados:&lt;/span&gt;</w:t>
              <w:tab/>
              <w:tab/>
              <w:t>&lt;span style="color: #000000; background-color: transparent; font-weight: 400; font-style: italic; font-variant: normal; text-decoration: none; vertical-align: baseline; white-space: pre-wrap;"&gt;CPC, artigos 319 e 320.&lt;/span&gt;&lt;/span&gt;</w:t>
              <w:tab/>
              <w:t>&lt;/span&gt; &lt;/span&gt;&lt;/p&gt;&lt;p style="text-indent: 8%; text- align: justify;"&gt;  &lt;span style="font-family: &amp;quot;times new roman&amp;quot;, times;"&gt;</w:t>
              <w:tab/>
              <w:t>&lt;strong id="docs-internal-guid-dc59fc1d-7fff-3b5d-800e-b0907edd79ae" style="font- weight:normal;"&gt;</w:t>
              <w:tab/>
              <w:tab/>
              <w:t>&lt;span style="font-size: medium;"&gt;</w:t>
              <w:tab/>
              <w:t>&lt;span style="font-size: medium;"&gt;</w:t>
              <w:tab/>
              <w:tab/>
              <w:t>&lt;span style="font-family: &amp;quot;times new roman&amp;quot;, times;"&gt;</w:t>
            </w:r>
          </w:p>
          <w:p>
            <w:pPr>
              <w:pStyle w:val="TableParagraph"/>
              <w:tabs>
                <w:tab w:pos="1118" w:val="left" w:leader="none"/>
                <w:tab w:pos="2285" w:val="left" w:leader="none"/>
                <w:tab w:pos="3341" w:val="left" w:leader="none"/>
                <w:tab w:pos="4286" w:val="left" w:leader="none"/>
              </w:tabs>
              <w:spacing w:line="208" w:lineRule="auto" w:before="0"/>
              <w:ind w:right="106"/>
              <w:rPr>
                <w:sz w:val="20"/>
              </w:rPr>
            </w:pPr>
            <w:r>
              <w:rPr>
                <w:sz w:val="20"/>
              </w:rPr>
              <w:t>&lt;br /&gt;</w:t>
              <w:tab/>
              <w:t>&lt;/span&gt;</w:t>
              <w:tab/>
              <w:t>&lt;/span&gt;</w:t>
              <w:tab/>
              <w:t>&lt;/span&gt;</w:t>
              <w:tab/>
              <w:t>&lt;/strong&gt; &lt;/span&gt;&lt;/p&gt;&lt;p style="line- height:1.7999999999999998;text-align: justify;margin-top:6pt;margin-bottom:0pt;"</w:t>
            </w:r>
            <w:r>
              <w:rPr>
                <w:spacing w:val="-18"/>
                <w:sz w:val="20"/>
              </w:rPr>
              <w:t> </w:t>
            </w:r>
            <w:r>
              <w:rPr>
                <w:sz w:val="20"/>
              </w:rPr>
              <w:t>dir="ltr"&gt;</w:t>
            </w:r>
          </w:p>
          <w:p>
            <w:pPr>
              <w:pStyle w:val="TableParagraph"/>
              <w:tabs>
                <w:tab w:pos="3288" w:val="left" w:leader="none"/>
                <w:tab w:pos="5517" w:val="left" w:leader="none"/>
                <w:tab w:pos="6649" w:val="left" w:leader="none"/>
              </w:tabs>
              <w:spacing w:line="208" w:lineRule="auto" w:before="0"/>
              <w:ind w:right="32"/>
              <w:rPr>
                <w:sz w:val="20"/>
              </w:rPr>
            </w:pPr>
            <w:r>
              <w:rPr>
                <w:sz w:val="20"/>
              </w:rPr>
              <w:t>&lt;span style="font-size: medium;"&gt;</w:t>
              <w:tab/>
              <w:t>&lt;span style="font-size: medium;"&gt;</w:t>
              <w:tab/>
              <w:t>&lt;span style="font-family: &amp;quot;times new roman&amp;quot;, times;"&gt;</w:t>
              <w:tab/>
              <w:t>&lt;span style="color: #000000; background-color: transparent; font-weight: 700; font-style: normal; font-variant: normal; text-decoration: none; vertical-align: baseline; white-space:</w:t>
            </w:r>
            <w:r>
              <w:rPr>
                <w:spacing w:val="-18"/>
                <w:sz w:val="20"/>
              </w:rPr>
              <w:t> </w:t>
            </w:r>
            <w:r>
              <w:rPr>
                <w:sz w:val="20"/>
              </w:rPr>
              <w:t>pre-wrap;"&gt;ACÓRDÃO:&lt;/span&gt;</w:t>
            </w:r>
          </w:p>
          <w:p>
            <w:pPr>
              <w:pStyle w:val="TableParagraph"/>
              <w:tabs>
                <w:tab w:pos="2496" w:val="left" w:leader="none"/>
                <w:tab w:pos="2973" w:val="left" w:leader="none"/>
                <w:tab w:pos="4987" w:val="left" w:leader="none"/>
                <w:tab w:pos="5563" w:val="left" w:leader="none"/>
                <w:tab w:pos="7455" w:val="left" w:leader="none"/>
              </w:tabs>
              <w:spacing w:line="208" w:lineRule="auto" w:before="0"/>
              <w:ind w:right="42"/>
              <w:rPr>
                <w:sz w:val="20"/>
              </w:rPr>
            </w:pPr>
            <w:r>
              <w:rPr>
                <w:sz w:val="20"/>
              </w:rPr>
              <w:t>&lt;span style="color: #000000; background-color: transparent; font-weight: 400; font-style: normal; font-variant: normal; text-decoration: none; vertical-align: baseline; white-space: pre-wrap;"&gt;Vistos, relatados e discutidos esses autos, acorda a Quinta Câmara de Direito Privado do Egrégio Tribunal de Justiça do Ceará, por unanimidade, em&lt;/span&gt;</w:t>
              <w:tab/>
              <w:t>&lt;span style="color: #000000; background-color: transparent; font-weight: 700; font-style: normal; font-variant: normal; text-decoration: none; vertical-align: baseline; white-space: pre- wrap;"&gt;CONHECER&lt;/span&gt;</w:t>
              <w:tab/>
              <w:t>&lt;span style="color: #000000; background-color: transparent; font-weight: 400; font-style: normal; font-variant: normal; text-decoration: </w:t>
            </w:r>
            <w:r>
              <w:rPr>
                <w:spacing w:val="-4"/>
                <w:sz w:val="20"/>
              </w:rPr>
              <w:t>none; </w:t>
            </w:r>
            <w:r>
              <w:rPr>
                <w:sz w:val="20"/>
              </w:rPr>
              <w:t>vertical-align: baseline; white-space: pre-wrap;"&gt;e&lt;/span&gt;</w:t>
              <w:tab/>
              <w:t>&lt;span style="color: #000000; background-color: transparent; font-weight: 700; font-style: normal; font-variant: normal; text-decoration: none; vertical-align: baseline; white-space: pre-wrap;"&gt;DAR PROVIMENTO&lt;/span&gt;</w:t>
              <w:tab/>
              <w:t>&lt;span style="color: #000000; background-color: transparent; font-weight: 400; font-style: normal; font-variant: normal; text-decoration: none; vertical- align: baseline; white-space: pre-wrap;"&gt;ao presente recurso de Apelação, em conformidade com o voto do Relator.&lt;/span&gt;&lt;/span&gt;</w:t>
              <w:tab/>
              <w:t>&lt;/span&gt; &lt;/span&gt;&lt;/p&gt;&lt;p style="line-height:1.7999999999999998;text-align: justify;margin-top:6pt;margin- bottom:0pt;" dir="ltr"&gt; &lt;span style="color: #000000; background-color: transparent;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905" w:val="left" w:leader="none"/>
                <w:tab w:pos="3329" w:val="left" w:leader="none"/>
                <w:tab w:pos="6487" w:val="left" w:leader="none"/>
                <w:tab w:pos="6689" w:val="left" w:leader="none"/>
              </w:tabs>
              <w:spacing w:line="208" w:lineRule="auto" w:before="26"/>
              <w:ind w:right="21"/>
              <w:rPr>
                <w:sz w:val="20"/>
              </w:rPr>
            </w:pPr>
            <w:r>
              <w:rPr>
                <w:sz w:val="20"/>
              </w:rPr>
              <w:t>weight: 400; font-style: normal; font-variant: normal; text-decoration: none; vertical-align: baseline; white-space: pre-wrap;"&gt;</w:t>
              <w:tab/>
              <w:t>&lt;span style="font-size: medium;"&gt;</w:t>
              <w:tab/>
              <w:tab/>
              <w:t>&lt;span style="font-size: medium;"&gt;</w:t>
              <w:tab/>
              <w:t>&lt;span style="font-size: medium;"&gt;</w:t>
              <w:tab/>
              <w:t>&lt;span style="font- family: &amp;quot;times new roman&amp;quot;, times;"&gt;Fortaleza, data da assinatura</w:t>
            </w:r>
            <w:r>
              <w:rPr>
                <w:spacing w:val="11"/>
                <w:sz w:val="20"/>
              </w:rPr>
              <w:t> </w:t>
            </w:r>
            <w:r>
              <w:rPr>
                <w:spacing w:val="-2"/>
                <w:sz w:val="20"/>
              </w:rPr>
              <w:t>digital.&lt;/span&gt;</w:t>
            </w:r>
          </w:p>
          <w:p>
            <w:pPr>
              <w:pStyle w:val="TableParagraph"/>
              <w:tabs>
                <w:tab w:pos="1096" w:val="left" w:leader="none"/>
                <w:tab w:pos="2041" w:val="left" w:leader="none"/>
              </w:tabs>
              <w:spacing w:line="190" w:lineRule="exact" w:before="0"/>
              <w:rPr>
                <w:sz w:val="20"/>
              </w:rPr>
            </w:pPr>
            <w:r>
              <w:rPr>
                <w:sz w:val="20"/>
              </w:rPr>
              <w:t>&lt;/span&gt;</w:t>
              <w:tab/>
              <w:t>&lt;/span&gt;</w:t>
              <w:tab/>
              <w:t>&lt;/span&gt; &lt;/span&gt;&lt;/p&gt;&lt;p style="text-indent: 8%; text-align: justify;"&gt;</w:t>
            </w:r>
          </w:p>
          <w:p>
            <w:pPr>
              <w:pStyle w:val="TableParagraph"/>
              <w:tabs>
                <w:tab w:pos="1550" w:val="left" w:leader="none"/>
                <w:tab w:pos="1861" w:val="left" w:leader="none"/>
                <w:tab w:pos="5332" w:val="left" w:leader="none"/>
                <w:tab w:pos="6012" w:val="left" w:leader="none"/>
              </w:tabs>
              <w:spacing w:line="208" w:lineRule="auto" w:before="10"/>
              <w:ind w:right="413"/>
              <w:rPr>
                <w:sz w:val="20"/>
              </w:rPr>
            </w:pPr>
            <w:r>
              <w:rPr>
                <w:sz w:val="20"/>
              </w:rPr>
              <w:t>&lt;span style="font-family: &amp;quot;times new roman&amp;quot;, times;"&gt;</w:t>
              <w:tab/>
              <w:t>&lt;strong </w:t>
            </w:r>
            <w:r>
              <w:rPr>
                <w:spacing w:val="-2"/>
                <w:sz w:val="20"/>
              </w:rPr>
              <w:t>style="font- </w:t>
            </w:r>
            <w:r>
              <w:rPr>
                <w:sz w:val="20"/>
              </w:rPr>
              <w:t>weight:normal;"&gt;</w:t>
              <w:tab/>
              <w:tab/>
              <w:t>&lt;span style="font-size: medium;"&gt;</w:t>
              <w:tab/>
              <w:t>&lt;span style="font-size: medium;"&gt;</w:t>
              <w:tab/>
              <w:t>&lt;span style="font-family: &amp;quot;times new roman&amp;quot;, times;"&gt;</w:t>
            </w:r>
          </w:p>
          <w:p>
            <w:pPr>
              <w:pStyle w:val="TableParagraph"/>
              <w:tabs>
                <w:tab w:pos="1118" w:val="left" w:leader="none"/>
                <w:tab w:pos="2285" w:val="left" w:leader="none"/>
                <w:tab w:pos="3341" w:val="left" w:leader="none"/>
                <w:tab w:pos="4286" w:val="left" w:leader="none"/>
              </w:tabs>
              <w:spacing w:line="208" w:lineRule="auto" w:before="0"/>
              <w:ind w:right="61"/>
              <w:rPr>
                <w:sz w:val="20"/>
              </w:rPr>
            </w:pPr>
            <w:r>
              <w:rPr>
                <w:sz w:val="20"/>
              </w:rPr>
              <w:t>&lt;br /&gt;</w:t>
              <w:tab/>
              <w:t>&lt;/span&gt;</w:t>
              <w:tab/>
              <w:t>&lt;/span&gt;</w:t>
              <w:tab/>
              <w:t>&lt;/span&gt;</w:t>
              <w:tab/>
              <w:t>&lt;/strong&gt; &lt;/span&gt;&lt;/p&gt;&lt;p style="line- height:1.7999999999999998;text-align: center;margin-top:6pt;margin-bottom:0pt;"</w:t>
            </w:r>
            <w:r>
              <w:rPr>
                <w:spacing w:val="-15"/>
                <w:sz w:val="20"/>
              </w:rPr>
              <w:t> </w:t>
            </w:r>
            <w:r>
              <w:rPr>
                <w:sz w:val="20"/>
              </w:rPr>
              <w:t>dir="ltr"&gt;</w:t>
            </w:r>
          </w:p>
          <w:p>
            <w:pPr>
              <w:pStyle w:val="TableParagraph"/>
              <w:tabs>
                <w:tab w:pos="1294" w:val="left" w:leader="none"/>
                <w:tab w:pos="4654"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medium;"&gt;</w:t>
              <w:tab/>
              <w:t>&lt;span style="font-size: medium;"&gt;</w:t>
            </w:r>
          </w:p>
          <w:p>
            <w:pPr>
              <w:pStyle w:val="TableParagraph"/>
              <w:tabs>
                <w:tab w:pos="2929" w:val="left" w:leader="none"/>
                <w:tab w:pos="3875" w:val="left" w:leader="none"/>
              </w:tabs>
              <w:spacing w:line="208" w:lineRule="auto" w:before="0"/>
              <w:ind w:right="61"/>
              <w:rPr>
                <w:sz w:val="20"/>
              </w:rPr>
            </w:pPr>
            <w:r>
              <w:rPr>
                <w:sz w:val="20"/>
              </w:rPr>
              <w:t>&lt;span style="font-family: &amp;quot;times new roman&amp;quot;, times;"&gt;MARIA REGINA OLIVEIRA CÂMARA&lt;/span&gt;</w:t>
              <w:tab/>
              <w:t>&lt;/span&gt;</w:t>
              <w:tab/>
              <w:t>&lt;/span&gt; &lt;/span&gt;&lt;/p&gt;&lt;p style="line- height:1.7999999999999998;text-align: center;margin-top:6pt;margin-bottom:0pt;"</w:t>
            </w:r>
            <w:r>
              <w:rPr>
                <w:spacing w:val="-15"/>
                <w:sz w:val="20"/>
              </w:rPr>
              <w:t> </w:t>
            </w:r>
            <w:r>
              <w:rPr>
                <w:sz w:val="20"/>
              </w:rPr>
              <w:t>dir="ltr"&gt;</w:t>
            </w:r>
          </w:p>
          <w:p>
            <w:pPr>
              <w:pStyle w:val="TableParagraph"/>
              <w:tabs>
                <w:tab w:pos="1294" w:val="left" w:leader="none"/>
                <w:tab w:pos="4654"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medium;"&gt;</w:t>
              <w:tab/>
              <w:t>&lt;span style="font-size: medium;"&gt;</w:t>
            </w:r>
          </w:p>
          <w:p>
            <w:pPr>
              <w:pStyle w:val="TableParagraph"/>
              <w:tabs>
                <w:tab w:pos="1863" w:val="left" w:leader="none"/>
                <w:tab w:pos="2017" w:val="left" w:leader="none"/>
                <w:tab w:pos="2808" w:val="left" w:leader="none"/>
                <w:tab w:pos="2860" w:val="left" w:leader="none"/>
                <w:tab w:pos="6332" w:val="left" w:leader="none"/>
                <w:tab w:pos="6878" w:val="left" w:leader="none"/>
              </w:tabs>
              <w:spacing w:line="208" w:lineRule="auto" w:before="0"/>
              <w:ind w:right="192"/>
              <w:rPr>
                <w:sz w:val="20"/>
              </w:rPr>
            </w:pPr>
            <w:r>
              <w:rPr>
                <w:sz w:val="20"/>
              </w:rPr>
              <w:t>&lt;span style="font-family: &amp;quot;times new roman&amp;quot;, times;"&gt;Presidente do Órgão Julgador&lt;/span&gt;</w:t>
              <w:tab/>
              <w:t>&lt;/span&gt;</w:t>
              <w:tab/>
              <w:t>&lt;/span&gt; &lt;/span&gt;&lt;/p&gt;&lt;p style="text-indent: 8%; text-align: justify;"&gt;  &lt;span style="font-family: &amp;quot;times new roman&amp;quot;, times;"&gt;</w:t>
              <w:tab/>
              <w:t>&lt;strong style="font-weight:normal;"&gt;</w:t>
              <w:tab/>
              <w:tab/>
              <w:t>&lt;span style="font-size: medium;"&gt;</w:t>
              <w:tab/>
              <w:t>&lt;span style="font- size: medium;"&gt;</w:t>
              <w:tab/>
              <w:tab/>
              <w:t>&lt;span style="font-family: &amp;quot;times new roman&amp;quot;, times;"&gt;</w:t>
            </w:r>
          </w:p>
          <w:p>
            <w:pPr>
              <w:pStyle w:val="TableParagraph"/>
              <w:tabs>
                <w:tab w:pos="1118" w:val="left" w:leader="none"/>
                <w:tab w:pos="2285" w:val="left" w:leader="none"/>
                <w:tab w:pos="3341" w:val="left" w:leader="none"/>
                <w:tab w:pos="4286" w:val="left" w:leader="none"/>
              </w:tabs>
              <w:spacing w:line="208" w:lineRule="auto" w:before="0"/>
              <w:ind w:right="61"/>
              <w:rPr>
                <w:sz w:val="20"/>
              </w:rPr>
            </w:pPr>
            <w:r>
              <w:rPr>
                <w:sz w:val="20"/>
              </w:rPr>
              <w:t>&lt;br /&gt;</w:t>
              <w:tab/>
              <w:t>&lt;/span&gt;</w:t>
              <w:tab/>
              <w:t>&lt;/span&gt;</w:t>
              <w:tab/>
              <w:t>&lt;/span&gt;</w:t>
              <w:tab/>
              <w:t>&lt;/strong&gt; &lt;/span&gt;&lt;/p&gt;&lt;p style="line- height:1.7999999999999998;text-align: center;margin-top:6pt;margin-bottom:0pt;"</w:t>
            </w:r>
            <w:r>
              <w:rPr>
                <w:spacing w:val="-15"/>
                <w:sz w:val="20"/>
              </w:rPr>
              <w:t> </w:t>
            </w:r>
            <w:r>
              <w:rPr>
                <w:sz w:val="20"/>
              </w:rPr>
              <w:t>dir="ltr"&gt;</w:t>
            </w:r>
          </w:p>
          <w:p>
            <w:pPr>
              <w:pStyle w:val="TableParagraph"/>
              <w:tabs>
                <w:tab w:pos="1294" w:val="left" w:leader="none"/>
                <w:tab w:pos="4654"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medium;"&gt;</w:t>
              <w:tab/>
              <w:t>&lt;span style="font-size: medium;"&gt;</w:t>
            </w:r>
          </w:p>
          <w:p>
            <w:pPr>
              <w:pStyle w:val="TableParagraph"/>
              <w:tabs>
                <w:tab w:pos="3140" w:val="left" w:leader="none"/>
                <w:tab w:pos="4085" w:val="left" w:leader="none"/>
              </w:tabs>
              <w:spacing w:line="208" w:lineRule="auto" w:before="0"/>
              <w:ind w:right="61"/>
              <w:rPr>
                <w:sz w:val="20"/>
              </w:rPr>
            </w:pPr>
            <w:r>
              <w:rPr>
                <w:sz w:val="20"/>
              </w:rPr>
              <w:t>&lt;span style="font-family: &amp;quot;times new roman&amp;quot;, times;"&gt;FRANCISCO LUCÍDIO DE QUEIROZ JÚNIOR&lt;/span&gt;</w:t>
              <w:tab/>
              <w:t>&lt;/span&gt;</w:t>
              <w:tab/>
              <w:t>&lt;/span&gt; &lt;/span&gt;&lt;/p&gt;&lt;p style="line- height:1.7999999999999998;text-align: center;margin-top:6pt;margin-bottom:0pt;"</w:t>
            </w:r>
            <w:r>
              <w:rPr>
                <w:spacing w:val="-15"/>
                <w:sz w:val="20"/>
              </w:rPr>
              <w:t> </w:t>
            </w:r>
            <w:r>
              <w:rPr>
                <w:sz w:val="20"/>
              </w:rPr>
              <w:t>dir="ltr"&gt;</w:t>
            </w:r>
          </w:p>
          <w:p>
            <w:pPr>
              <w:pStyle w:val="TableParagraph"/>
              <w:tabs>
                <w:tab w:pos="1294" w:val="left" w:leader="none"/>
                <w:tab w:pos="4654" w:val="left" w:leader="none"/>
              </w:tabs>
              <w:spacing w:line="208" w:lineRule="auto" w:before="0"/>
              <w:ind w:right="292"/>
              <w:rPr>
                <w:sz w:val="20"/>
              </w:rPr>
            </w:pPr>
            <w:r>
              <w:rPr>
                <w:sz w:val="20"/>
              </w:rPr>
              <w:t>&lt;span style="color: #000000; background-color: transparent; font-weight: 400; font-style: normal; font-variant: normal; text-decoration: none; vertical-align: baseline; white-space: pre-wrap;"&gt;</w:t>
              <w:tab/>
              <w:t>&lt;span style="font-size: medium;"&gt;</w:t>
              <w:tab/>
              <w:t>&lt;span style="font-size: medium;"&gt;</w:t>
            </w:r>
          </w:p>
          <w:p>
            <w:pPr>
              <w:pStyle w:val="TableParagraph"/>
              <w:tabs>
                <w:tab w:pos="1740" w:val="left" w:leader="none"/>
                <w:tab w:pos="2017" w:val="left" w:leader="none"/>
                <w:tab w:pos="2686" w:val="left" w:leader="none"/>
                <w:tab w:pos="2860" w:val="left" w:leader="none"/>
                <w:tab w:pos="6332" w:val="left" w:leader="none"/>
                <w:tab w:pos="6878" w:val="left" w:leader="none"/>
              </w:tabs>
              <w:spacing w:line="208" w:lineRule="auto" w:before="0"/>
              <w:ind w:right="215"/>
              <w:rPr>
                <w:sz w:val="20"/>
              </w:rPr>
            </w:pPr>
            <w:r>
              <w:rPr>
                <w:sz w:val="20"/>
              </w:rPr>
              <w:t>&lt;span style="font-family: &amp;quot;times new roman&amp;quot;, times;"&gt;&amp;#160;Desembargador Relator&lt;/span&gt;</w:t>
              <w:tab/>
              <w:t>&lt;/span&gt;</w:t>
              <w:tab/>
              <w:t>&lt;/span&gt; &lt;/span&gt;&lt;/p&gt;&lt;p style="text-indent: 8%; text-align: justify;"&gt;  &lt;span style="font-family: &amp;quot;times new roman&amp;quot;, times;"&gt;</w:t>
              <w:tab/>
              <w:t>&lt;strong style="font-weight:normal;"&gt;</w:t>
              <w:tab/>
              <w:tab/>
              <w:t>&lt;span style="font-size: medium;"&gt;</w:t>
              <w:tab/>
              <w:t>&lt;span </w:t>
            </w:r>
            <w:r>
              <w:rPr>
                <w:spacing w:val="-2"/>
                <w:sz w:val="20"/>
              </w:rPr>
              <w:t>style="font- </w:t>
            </w:r>
            <w:r>
              <w:rPr>
                <w:sz w:val="20"/>
              </w:rPr>
              <w:t>size: medium;"&gt;</w:t>
              <w:tab/>
              <w:tab/>
              <w:t>&lt;span style="font-family: &amp;quot;times new roman&amp;quot;, times;"&gt;</w:t>
            </w:r>
          </w:p>
          <w:p>
            <w:pPr>
              <w:pStyle w:val="TableParagraph"/>
              <w:tabs>
                <w:tab w:pos="1229" w:val="left" w:leader="none"/>
                <w:tab w:pos="2307" w:val="left" w:leader="none"/>
                <w:tab w:pos="2905" w:val="left" w:leader="none"/>
                <w:tab w:pos="2973" w:val="left" w:leader="none"/>
                <w:tab w:pos="3329" w:val="left" w:leader="none"/>
                <w:tab w:pos="3474" w:val="left" w:leader="none"/>
                <w:tab w:pos="3918" w:val="left" w:leader="none"/>
                <w:tab w:pos="4531" w:val="left" w:leader="none"/>
                <w:tab w:pos="5476" w:val="left" w:leader="none"/>
                <w:tab w:pos="6689" w:val="left" w:leader="none"/>
              </w:tabs>
              <w:spacing w:line="208" w:lineRule="auto" w:before="0"/>
              <w:ind w:right="174"/>
              <w:rPr>
                <w:sz w:val="20"/>
              </w:rPr>
            </w:pPr>
            <w:r>
              <w:rPr>
                <w:sz w:val="20"/>
              </w:rPr>
              <w:t>&lt;br /&gt;</w:t>
              <w:tab/>
              <w:t>&lt;br /&gt;</w:t>
              <w:tab/>
              <w:t>&lt;/span&gt;</w:t>
              <w:tab/>
              <w:tab/>
              <w:t>&lt;/span&gt;</w:t>
              <w:tab/>
              <w:t>&lt;/span&gt;</w:t>
              <w:tab/>
              <w:t>&lt;/strong&gt; &lt;/span&gt;&lt;/p&gt;&lt;p style="line-height:1.7999999999999998;text-align: center;margin-top:6pt;margin- bottom:0pt;" dir="ltr"&gt; &lt;span style="color: #000000; background-color: transparent; font- weight: 700; font-style: normal; font-variant: normal; text-decoration: none; vertical-align: baseline; white-space: pre-wrap;"&gt;</w:t>
              <w:tab/>
              <w:t>&lt;span style="font-size: medium;"&gt;</w:t>
              <w:tab/>
              <w:t>&lt;span style="font-size: medium;"&gt;</w:t>
              <w:tab/>
              <w:t>&lt;span style="font-family: &amp;quot;times new roman&amp;quot;, times;"&gt;RELATÓRIO&lt;/span&gt;</w:t>
              <w:tab/>
              <w:tab/>
              <w:t>&lt;/span&gt;</w:t>
              <w:tab/>
              <w:t>&lt;/span&gt; &lt;/span&gt;&lt;/p&gt;&lt;p style="text-indent: 8%; text-align: justify;"&gt;  &lt;span style="font-family: &amp;quot;times new roman&amp;quot;,</w:t>
            </w:r>
            <w:r>
              <w:rPr>
                <w:spacing w:val="6"/>
                <w:sz w:val="20"/>
              </w:rPr>
              <w:t> </w:t>
            </w:r>
            <w:r>
              <w:rPr>
                <w:spacing w:val="-3"/>
                <w:sz w:val="20"/>
              </w:rPr>
              <w:t>times;"&gt;</w:t>
            </w:r>
          </w:p>
          <w:p>
            <w:pPr>
              <w:pStyle w:val="TableParagraph"/>
              <w:tabs>
                <w:tab w:pos="1094" w:val="left" w:leader="none"/>
                <w:tab w:pos="1427" w:val="left" w:leader="none"/>
                <w:tab w:pos="2506" w:val="left" w:leader="none"/>
                <w:tab w:pos="2794" w:val="left" w:leader="none"/>
                <w:tab w:pos="3016" w:val="left" w:leader="none"/>
                <w:tab w:pos="3051" w:val="left" w:leader="none"/>
                <w:tab w:pos="3589" w:val="left" w:leader="none"/>
                <w:tab w:pos="3673" w:val="left" w:leader="none"/>
                <w:tab w:pos="3851" w:val="left" w:leader="none"/>
                <w:tab w:pos="4729" w:val="left" w:leader="none"/>
                <w:tab w:pos="5674" w:val="left" w:leader="none"/>
                <w:tab w:pos="6636" w:val="left" w:leader="none"/>
                <w:tab w:pos="6797" w:val="left" w:leader="none"/>
                <w:tab w:pos="7060" w:val="left" w:leader="none"/>
              </w:tabs>
              <w:spacing w:line="208" w:lineRule="auto" w:before="0"/>
              <w:ind w:right="20"/>
              <w:rPr>
                <w:sz w:val="20"/>
              </w:rPr>
            </w:pPr>
            <w:r>
              <w:rPr>
                <w:sz w:val="20"/>
              </w:rPr>
              <w:t>&lt;strong style="font-weight:normal;"&gt;</w:t>
              <w:tab/>
              <w:t>&lt;span style="font-size: medium;"&gt;</w:t>
              <w:tab/>
              <w:tab/>
              <w:tab/>
              <w:t>&lt;span style="font-size: medium;"&gt;</w:t>
              <w:tab/>
              <w:tab/>
              <w:tab/>
              <w:t>&lt;span style="font-family: &amp;quot;times new roman&amp;quot;, times;"&gt;</w:t>
              <w:tab/>
              <w:tab/>
              <w:t>&lt;br /&gt;</w:t>
              <w:tab/>
              <w:t>&lt;/span&gt;</w:t>
              <w:tab/>
              <w:tab/>
              <w:t>&lt;/span&gt;</w:t>
              <w:tab/>
              <w:t>&lt;/span&gt;</w:t>
              <w:tab/>
              <w:t>&lt;/strong&gt; &lt;/span&gt;&lt;/p&gt;&lt;p style="line-height:1.7999999999999998;text-indent: 56.7pt;text-align: justify;margin- top:6pt;margin-bottom:0pt;" dir="ltr"&gt;  &lt;span style="font-size: medium;"&gt;</w:t>
              <w:tab/>
              <w:t>&lt;span style="font-size: medium;"&gt;</w:t>
              <w:tab/>
              <w:tab/>
              <w:t>&lt;span style="font-family: &amp;quot;times new roman&amp;quot;, times;"&gt;</w:t>
              <w:tab/>
              <w:t>&lt;span style="color: #000000; background-color: transparent; font-weight: 400; font-style: normal; font-variant: normal; text-decoration: none; vertical-align: baseline; </w:t>
            </w:r>
            <w:r>
              <w:rPr>
                <w:spacing w:val="-3"/>
                <w:sz w:val="20"/>
              </w:rPr>
              <w:t>white- </w:t>
            </w:r>
            <w:r>
              <w:rPr>
                <w:sz w:val="20"/>
              </w:rPr>
              <w:t>space: pre-wrap;"&gt;Trata-se de&lt;/span&gt;</w:t>
              <w:tab/>
              <w:tab/>
              <w:tab/>
              <w:t>&lt;span style="color: #000000; background-color: transparent; font-weight: 700; font-style: normal; font-variant: normal; text-decoration: none; vertical-align: baseline; white-space: pre-wrap;"&gt;Apelação Cível&lt;/span&gt;</w:t>
              <w:tab/>
              <w:tab/>
              <w:t>&lt;span style="color: #000000; background-color: transparent; font-weight: 400; font-style: normal; font-variant: normal; text-decoration: none; vertical-align: baseline; white-space: pre- wrap;"&gt;interposta por&lt;/span&gt;</w:t>
              <w:tab/>
              <w:tab/>
              <w:tab/>
              <w:t>&lt;span style="color: #000000; background-color: transparent; font-weight: 700; font-style: normal; font-variant: normal; text-decoration: none; vertical-align: baseline; white-space: pre-wrap;"&gt;Francisco Faustino de Carvalho&lt;/span&gt;</w:t>
            </w:r>
          </w:p>
          <w:p>
            <w:pPr>
              <w:pStyle w:val="TableParagraph"/>
              <w:tabs>
                <w:tab w:pos="4009" w:val="left" w:leader="none"/>
              </w:tabs>
              <w:spacing w:line="208" w:lineRule="auto" w:before="0"/>
              <w:ind w:right="53"/>
              <w:rPr>
                <w:sz w:val="20"/>
              </w:rPr>
            </w:pPr>
            <w:r>
              <w:rPr>
                <w:sz w:val="20"/>
              </w:rPr>
              <w:t>&lt;span style="color: #000000; background-color: transparent; font-weight: 400; font-style: normal; font-variant: normal; text-decoration: none; vertical-align: baseline; white-space: pre-wrap;"&gt;, com razões no ID de n. 29367498, visando a reforma da Sentença, ID de n. 29367496, proferida pelo juízo de direito da 2ª Vara da Comarca de Quixeramobim/CE, que indeferiu a petição inicial na&lt;/span&gt;</w:t>
              <w:tab/>
              <w:t>&lt;span style="color: #000000; background- color: transparent; font-weight: 700; font-style: normal; font-variant: normal;</w:t>
            </w:r>
            <w:r>
              <w:rPr>
                <w:spacing w:val="-17"/>
                <w:sz w:val="20"/>
              </w:rPr>
              <w:t> </w:t>
            </w:r>
            <w:r>
              <w:rPr>
                <w:sz w:val="20"/>
              </w:rPr>
              <w:t>text-decoration: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017" w:val="left" w:leader="none"/>
                <w:tab w:pos="2196" w:val="left" w:leader="none"/>
                <w:tab w:pos="2860" w:val="left" w:leader="none"/>
                <w:tab w:pos="3008" w:val="left" w:leader="none"/>
                <w:tab w:pos="4252" w:val="left" w:leader="none"/>
                <w:tab w:pos="6052" w:val="left" w:leader="none"/>
                <w:tab w:pos="6332" w:val="left" w:leader="none"/>
                <w:tab w:pos="7411" w:val="left" w:leader="none"/>
              </w:tabs>
              <w:spacing w:line="208" w:lineRule="auto" w:before="26"/>
              <w:ind w:right="53"/>
              <w:rPr>
                <w:sz w:val="20"/>
              </w:rPr>
            </w:pPr>
            <w:r>
              <w:rPr>
                <w:sz w:val="20"/>
              </w:rPr>
              <w:t>none; vertical-align: baseline; white-space: pre-wrap;"&gt;Ação de Obrigação de Fazer c/c Danos Materiais e Morais – PASEP&lt;/span&gt;</w:t>
              <w:tab/>
              <w:t>&lt;span style="color: #000000; background- color: transparent; font-weight: 400; font-style: normal; font-variant: normal; text-decoration: none; vertical-align: baseline; white-space: pre-wrap;"&gt;, ajuizada pelo recorrente, em desfavor do&lt;/span&gt;</w:t>
              <w:tab/>
              <w:tab/>
              <w:t>&lt;span style="color: #000000; background-color: transparent; font- weight: 700; font-style: normal; font-variant: normal; text-decoration: none; vertical-align: baseline; white-space: pre-wrap;"&gt;Banco do Brasil S/A.&lt;/span&gt;</w:t>
              <w:tab/>
              <w:t>&lt;span style="color: #000000; background-color: transparent; font-weight: 400; font-style: normal; font-variant: normal; text-decoration: none; vertical-align: baseline; white-space: pre-wrap;"&gt;Colaciona- se a sentença:&lt;/span&gt;&lt;/span&gt;</w:t>
              <w:tab/>
              <w:tab/>
              <w:t>&lt;/span&gt; &lt;/span&gt;&lt;/p&gt;&lt;p style="text-indent: 8%; text- align: justify;"&gt;  &lt;span style="font-family: &amp;quot;times new roman&amp;quot;, times;"&gt;</w:t>
              <w:tab/>
              <w:t>&lt;strong style="font-weight:normal;"&gt;</w:t>
              <w:tab/>
              <w:t>&lt;span style="font-size: medium;"&gt;</w:t>
              <w:tab/>
              <w:tab/>
              <w:t>&lt;span style="font- size: medium;"&gt;</w:t>
              <w:tab/>
              <w:t>&lt;span style="font-family: &amp;quot;times new roman&amp;quot;, times;"&gt;</w:t>
            </w:r>
          </w:p>
          <w:p>
            <w:pPr>
              <w:pStyle w:val="TableParagraph"/>
              <w:tabs>
                <w:tab w:pos="1118" w:val="left" w:leader="none"/>
                <w:tab w:pos="1327" w:val="left" w:leader="none"/>
                <w:tab w:pos="1374" w:val="left" w:leader="none"/>
                <w:tab w:pos="2285" w:val="left" w:leader="none"/>
                <w:tab w:pos="2917" w:val="left" w:leader="none"/>
                <w:tab w:pos="3341" w:val="left" w:leader="none"/>
                <w:tab w:pos="4029" w:val="left" w:leader="none"/>
                <w:tab w:pos="4286" w:val="left" w:leader="none"/>
                <w:tab w:pos="4562" w:val="left" w:leader="none"/>
                <w:tab w:pos="5291" w:val="left" w:leader="none"/>
                <w:tab w:pos="5562" w:val="left" w:leader="none"/>
                <w:tab w:pos="7098" w:val="left" w:leader="none"/>
                <w:tab w:pos="7411" w:val="left" w:leader="none"/>
              </w:tabs>
              <w:spacing w:line="208" w:lineRule="auto" w:before="0"/>
              <w:ind w:right="190"/>
              <w:rPr>
                <w:sz w:val="20"/>
              </w:rPr>
            </w:pPr>
            <w:r>
              <w:rPr>
                <w:sz w:val="20"/>
              </w:rPr>
              <w:t>&lt;br /&gt;</w:t>
              <w:tab/>
              <w:t>&lt;/span&gt;</w:t>
              <w:tab/>
              <w:t>&lt;/span&gt;</w:t>
              <w:tab/>
              <w:t>&lt;/span&gt;</w:t>
              <w:tab/>
              <w:t>&lt;/strong&gt; &lt;/span&gt;&lt;/p&gt;&lt;p style="line- height:1.7999999999999998;margin-left: 113.4pt;text-align: justify;margin-top:6pt;margin- bottom:0pt;" dir="ltr"&gt;  &lt;span style="font-size: medium;"&gt;</w:t>
              <w:tab/>
              <w:t>&lt;span style="font-size: medium;"&gt;</w:t>
              <w:tab/>
              <w:tab/>
              <w:t>&lt;span style="font-family: &amp;quot;times new roman&amp;quot;, times;"&gt;</w:t>
              <w:tab/>
              <w:tab/>
            </w:r>
            <w:r>
              <w:rPr>
                <w:spacing w:val="-4"/>
                <w:sz w:val="20"/>
              </w:rPr>
              <w:t>&lt;span </w:t>
            </w:r>
            <w:r>
              <w:rPr>
                <w:sz w:val="20"/>
              </w:rPr>
              <w:t>style="color: #000000; background-color: transparent; font-weight: 400; font-style: italic; font-variant: normal; text-decoration: none; vertical-align: baseline; white-space: pre- wrap;"&gt;“Trata-se de&lt;/span&gt;</w:t>
              <w:tab/>
              <w:t>&lt;span style="color: #000000; background-color: transparent; font-weight: 700; font-style: italic; font-variant: normal; text-decoration: none; vertical-align: baseline; white-space: pre-wrap;"&gt;AÇÃO DE OBRIGAÇÃO DE FAZER C/C DANOS MATERIAIS E MORAIS&lt;/span&gt;</w:t>
              <w:tab/>
              <w:t>&lt;span style="color: #000000; background- color: transparent; font-weight: 400; font-style: italic; font-variant: normal; text-decoration: none; vertical-align: baseline; white-space: pre-wrap;"&gt;ajuizada por&lt;/span&gt;</w:t>
              <w:tab/>
              <w:t>&lt;span style="color: #000000; background-color: transparent; font-weight: 700; font-style: italic; font-variant: normal; text-decoration: none; vertical-align: baseline; white-space: pre- wrap;"&gt;FRANCISCO FAUSTINO DE CARVALHO&lt;/span&gt;</w:t>
              <w:tab/>
              <w:tab/>
              <w:t>&lt;span style="color: #000000; background-color: transparent; font-weight: 400; font-style: italic; font-variant: normal; text-decoration: none; vertical-align: baseline; white-space: pre-wrap;"&gt;em face de&lt;/span&gt;</w:t>
              <w:tab/>
              <w:tab/>
              <w:tab/>
              <w:t>&lt;span style="color: #000000; background-color: transparent; font-weight: 700; font-style: italic; font-variant: normal; text-decoration: none; vertical-align: baseline; white-space: pre-wrap;"&gt;BANCO DO BRASIL S.A.&lt;/span&gt;</w:t>
              <w:tab/>
              <w:tab/>
              <w:t>&lt;span style="color: #000000; background-color: transparent; font-weight: 400; font-style: italic; font-variant: normal; text-decoration: none; vertical-align: baseline; white-space: pre-wrap;"&gt;, ambos devidamente qualificados nos autos.&amp;#160;&lt;/span&gt;&lt;/span&gt;</w:t>
              <w:tab/>
              <w:t>&lt;/span&gt; &lt;/span&gt;&lt;/p&gt;&lt;p style="line-height:1.7999999999999998;margin-left: 113.4pt;text-align: justify;margin- top:6pt;margin-bottom:0pt;" dir="ltr"&gt; &lt;span style="color: #000000; background-color: transparent; font-weight: 400; font-style: italic; font-variant: normal; text-decoration: none; vertical-align: baseline; white-space: pre-wrap;"&gt;</w:t>
              <w:tab/>
              <w:t>&lt;span style="font-size: medium;"&gt;</w:t>
            </w:r>
          </w:p>
          <w:p>
            <w:pPr>
              <w:pStyle w:val="TableParagraph"/>
              <w:tabs>
                <w:tab w:pos="2786" w:val="left" w:leader="none"/>
                <w:tab w:pos="2905" w:val="left" w:leader="none"/>
                <w:tab w:pos="3329" w:val="left" w:leader="none"/>
                <w:tab w:pos="3511" w:val="left" w:leader="none"/>
                <w:tab w:pos="3731" w:val="left" w:leader="none"/>
                <w:tab w:pos="6689" w:val="left" w:leader="none"/>
                <w:tab w:pos="6967" w:val="left" w:leader="none"/>
              </w:tabs>
              <w:spacing w:line="208" w:lineRule="auto" w:before="0"/>
              <w:ind w:right="187"/>
              <w:rPr>
                <w:sz w:val="20"/>
              </w:rPr>
            </w:pPr>
            <w:r>
              <w:rPr>
                <w:sz w:val="20"/>
              </w:rPr>
              <w:t>&lt;span style="font-size: medium;"&gt;</w:t>
              <w:tab/>
              <w:tab/>
              <w:t>&lt;span style="font-family: &amp;quot;times new roman&amp;quot;, times;"&gt;No ID 132052834 foi determinada a intimação da parte autora </w:t>
            </w:r>
            <w:r>
              <w:rPr>
                <w:spacing w:val="-5"/>
                <w:sz w:val="20"/>
              </w:rPr>
              <w:t>para </w:t>
            </w:r>
            <w:r>
              <w:rPr>
                <w:sz w:val="20"/>
              </w:rPr>
              <w:t>que, emende a petição inicial, justificando a inadequação dos critérios de atualização utilizados pelo promovido, bem como informe se já efetuou o saque do saldo PASEP e apresente documentação de ID 130994362 com qualidade que permita sua legibilidade.&amp;#160;&lt;/span&gt;</w:t>
              <w:tab/>
              <w:t>&lt;/span&gt;</w:t>
              <w:tab/>
              <w:tab/>
              <w:t>&lt;/span&gt; &lt;/span&gt;&lt;/p&gt;&lt;p style="line- height:1.7999999999999998;margin-left: 113.4pt;text-align: justify;margin-top:6pt;margin- bottom:0pt;" dir="ltr"&gt; &lt;span style="color: #000000; background-color: transparent; font- weight: 400; font-style: italic; font-variant: normal; text-decoration: none; vertical-align: baseline; white-space: pre-wrap;"&gt;</w:t>
              <w:tab/>
              <w:t>&lt;span style="font-size: medium;"&gt;</w:t>
              <w:tab/>
              <w:t>&lt;span style="font-size: medium;"&gt;</w:t>
              <w:tab/>
              <w:tab/>
              <w:t>&lt;span style="font-family: &amp;quot;times new roman&amp;quot;, times;"&gt;No ID 152479893, consta certidão informando que decorreu o prazo para manifestação, contudo nada foi apresentado ou requerido. &amp;#160;&lt;/span&gt;</w:t>
              <w:tab/>
              <w:tab/>
              <w:t>&lt;/span&gt;</w:t>
            </w:r>
          </w:p>
          <w:p>
            <w:pPr>
              <w:pStyle w:val="TableParagraph"/>
              <w:tabs>
                <w:tab w:pos="1794" w:val="left" w:leader="none"/>
                <w:tab w:pos="5266" w:val="left" w:leader="none"/>
                <w:tab w:pos="6164" w:val="left" w:leader="none"/>
              </w:tabs>
              <w:spacing w:line="208" w:lineRule="auto" w:before="0"/>
              <w:ind w:right="125"/>
              <w:rPr>
                <w:sz w:val="20"/>
              </w:rPr>
            </w:pPr>
            <w:r>
              <w:rPr>
                <w:sz w:val="20"/>
              </w:rPr>
              <w:t>&lt;/span&gt; &lt;/span&gt;&lt;/p&gt;&lt;p style="line-height:1.7999999999999998;margin-left: </w:t>
            </w:r>
            <w:r>
              <w:rPr>
                <w:spacing w:val="-2"/>
                <w:sz w:val="20"/>
              </w:rPr>
              <w:t>113.4pt;text- </w:t>
            </w:r>
            <w:r>
              <w:rPr>
                <w:sz w:val="20"/>
              </w:rPr>
              <w:t>align: justify;margin-top:6pt;margin-bottom:0pt;" dir="ltr"&gt; &lt;span style="color: #000000; background-color: transparent; font-weight: 700; font-style: italic; font-variant: normal; text- decoration: none; vertical-align: baseline; white-space: pre-wrap;"&gt;</w:t>
              <w:tab/>
              <w:t>&lt;span style="font- size: medium;"&gt;</w:t>
              <w:tab/>
              <w:t>&lt;span style="font-size: medium;"&gt;</w:t>
              <w:tab/>
              <w:t>&lt;span style="font-family: &amp;quot;times new roman&amp;quot;, times;"&gt;É o relatório. Fundamento e decido.&lt;/span&gt;</w:t>
            </w:r>
          </w:p>
          <w:p>
            <w:pPr>
              <w:pStyle w:val="TableParagraph"/>
              <w:tabs>
                <w:tab w:pos="985" w:val="left" w:leader="none"/>
                <w:tab w:pos="2794" w:val="left" w:leader="none"/>
                <w:tab w:pos="5887" w:val="left" w:leader="none"/>
                <w:tab w:pos="6265" w:val="left" w:leader="none"/>
                <w:tab w:pos="6832" w:val="left" w:leader="none"/>
                <w:tab w:pos="7275" w:val="left" w:leader="none"/>
              </w:tabs>
              <w:spacing w:line="208" w:lineRule="auto" w:before="0"/>
              <w:ind w:right="180"/>
              <w:rPr>
                <w:sz w:val="20"/>
              </w:rPr>
            </w:pPr>
            <w:r>
              <w:rPr>
                <w:sz w:val="20"/>
              </w:rPr>
              <w:t>&lt;/span&gt;</w:t>
              <w:tab/>
              <w:t>&lt;/span&gt; &lt;/span&gt;&lt;/p&gt;&lt;p style="line-height:1.7999999999999998;margin-left: 113.4pt;text-align: justify;margin-top:6pt;margin-bottom:0pt;" dir="ltr"&gt; &lt;span </w:t>
            </w:r>
            <w:r>
              <w:rPr>
                <w:spacing w:val="-2"/>
                <w:sz w:val="20"/>
              </w:rPr>
              <w:t>style="color: </w:t>
            </w:r>
            <w:r>
              <w:rPr>
                <w:sz w:val="20"/>
              </w:rPr>
              <w:t>#000000; background-color: transparent; font-weight: 400; font-style: italic; font-variant: normal; text-decoration: none; vertical-align: baseline; white-space: pre-wrap;"&gt;</w:t>
              <w:tab/>
              <w:t>&lt;span style="font-size: medium;"&gt;</w:t>
              <w:tab/>
              <w:t>&lt;span style="font-size: medium;"&gt;</w:t>
              <w:tab/>
              <w:tab/>
              <w:t>&lt;span style="font- family: &amp;quot;times new roman&amp;quot;, times;"&gt;Acerca dos requisitos legais da petição inicial, o Código de Processo Civil dispõe que: &amp;#160;&lt;/span&gt;</w:t>
              <w:tab/>
              <w:t>&lt;/span&gt;</w:t>
              <w:tab/>
              <w:t>&lt;/span&gt;</w:t>
            </w:r>
          </w:p>
          <w:p>
            <w:pPr>
              <w:pStyle w:val="TableParagraph"/>
              <w:tabs>
                <w:tab w:pos="6164" w:val="left" w:leader="none"/>
              </w:tabs>
              <w:spacing w:line="208" w:lineRule="auto" w:before="0"/>
              <w:ind w:right="142"/>
              <w:rPr>
                <w:sz w:val="20"/>
              </w:rPr>
            </w:pPr>
            <w:r>
              <w:rPr>
                <w:sz w:val="20"/>
              </w:rPr>
              <w:t>&lt;/span&gt;&lt;/p&gt;&lt;p style="line-height:1.7999999999999998;margin-left: 113.25pt;text-align: justify;margin-top:6pt;margin-bottom:0pt;" dir="ltr"&gt; &lt;span style="color: #000000; background-color: transparent; font-weight: 400; font-style: italic; font-variant: normal; </w:t>
            </w:r>
            <w:r>
              <w:rPr>
                <w:spacing w:val="-4"/>
                <w:sz w:val="20"/>
              </w:rPr>
              <w:t>text- </w:t>
            </w:r>
            <w:r>
              <w:rPr>
                <w:sz w:val="20"/>
              </w:rPr>
              <w:t>decoration: none; vertical-align: baseline; white-space: pre-wrap;"&gt;</w:t>
              <w:tab/>
              <w:t>&lt;span 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794" w:val="left" w:leader="none"/>
                <w:tab w:pos="4365" w:val="left" w:leader="none"/>
                <w:tab w:pos="4562" w:val="left" w:leader="none"/>
                <w:tab w:pos="5266" w:val="left" w:leader="none"/>
                <w:tab w:pos="5310" w:val="left" w:leader="none"/>
              </w:tabs>
              <w:spacing w:line="208" w:lineRule="auto" w:before="26"/>
              <w:ind w:right="29"/>
              <w:rPr>
                <w:sz w:val="20"/>
              </w:rPr>
            </w:pPr>
            <w:r>
              <w:rPr>
                <w:sz w:val="20"/>
              </w:rPr>
              <w:t>size: medium;"&gt;</w:t>
              <w:tab/>
              <w:t>&lt;span style="font-size: medium;"&gt;</w:t>
              <w:tab/>
              <w:t>&lt;span style="font-family: &amp;quot;times new roman&amp;quot;, times;"&gt;Art. 321. O juiz, ao verificar que a petição inicial não preenche os requisitos dos arts. 219 e 320 ou que apresenta defeitos e </w:t>
            </w:r>
            <w:r>
              <w:rPr>
                <w:spacing w:val="-2"/>
                <w:sz w:val="20"/>
              </w:rPr>
              <w:t>irregularidades </w:t>
            </w:r>
            <w:r>
              <w:rPr>
                <w:sz w:val="20"/>
              </w:rPr>
              <w:t>capazes de dificultar o julgamento de mérito, determinará que o autor, no prazo de 15 (quinze) dias, a emende ou a complete, indicando com precisão o que deve ser corrigido ou completado.&amp;#160;&amp;#160;&amp;#160;&lt;/span&gt;</w:t>
              <w:tab/>
              <w:t>&lt;/span&gt;</w:t>
              <w:tab/>
              <w:tab/>
              <w:t>&lt;/span&gt; &lt;/span&gt;&lt;/p&gt;&lt;p style="line-height:1.7999999999999998;margin-left: 113.25pt;text-align: justify;margin- top:6pt;margin-bottom:0pt;" dir="ltr"&gt; &lt;span style="color: #000000; background-color: transparent; font-weight: 400; font-style: italic; font-variant: normal; text-decoration: none; vertical-align: baseline; white-space: pre-wrap;"&gt;</w:t>
              <w:tab/>
              <w:tab/>
              <w:t>&lt;span style="font-size: medium;"&gt;</w:t>
            </w:r>
          </w:p>
          <w:p>
            <w:pPr>
              <w:pStyle w:val="TableParagraph"/>
              <w:tabs>
                <w:tab w:pos="2519" w:val="left" w:leader="none"/>
                <w:tab w:pos="2905" w:val="left" w:leader="none"/>
                <w:tab w:pos="3329" w:val="left" w:leader="none"/>
                <w:tab w:pos="3464" w:val="left" w:leader="none"/>
                <w:tab w:pos="3511" w:val="left" w:leader="none"/>
                <w:tab w:pos="3920" w:val="left" w:leader="none"/>
                <w:tab w:pos="4865" w:val="left" w:leader="none"/>
                <w:tab w:pos="6689" w:val="left" w:leader="none"/>
                <w:tab w:pos="7200" w:val="left" w:leader="none"/>
              </w:tabs>
              <w:spacing w:line="208" w:lineRule="auto" w:before="0"/>
              <w:ind w:right="54"/>
              <w:rPr>
                <w:sz w:val="20"/>
              </w:rPr>
            </w:pPr>
            <w:r>
              <w:rPr>
                <w:sz w:val="20"/>
              </w:rPr>
              <w:t>&lt;span style="font-size: medium;"&gt;</w:t>
              <w:tab/>
              <w:tab/>
              <w:tab/>
              <w:t>&lt;span style="font-family: &amp;quot;times new roman&amp;quot;, times;"&gt;Parágrafo único. Se o autor não cumprir a diligência, o juiz indeferirá a petição inicial.&lt;/span&gt;</w:t>
              <w:tab/>
              <w:t>&lt;/span&gt;</w:t>
              <w:tab/>
              <w:tab/>
              <w:t>&lt;/span&gt; &lt;/span&gt;&lt;/p&gt;&lt;p style="line- height:1.7999999999999998;margin-left: 113.25pt;text-align: justify;margin-top:6pt;margin- bottom:0pt;" dir="ltr"&gt; &lt;span style="color: #000000; background-color: transparent; font- weight: 400; font-style: italic; font-variant: normal; text-decoration: none; vertical-align: baseline; white-space: pre-wrap;"&gt;</w:t>
              <w:tab/>
              <w:t>&lt;span style="font-size: medium;"&gt;</w:t>
              <w:tab/>
              <w:t>&lt;span style="font-size: medium;"&gt;</w:t>
              <w:tab/>
              <w:tab/>
              <w:t>&lt;span style="font-family: &amp;quot;times new roman&amp;quot;, times;"&gt;No caso em apreço, a parte autora foi devidamente intimada para emendar a petição inicial. No entanto, em que pese advertida da possibilidade de extinção, nada apresentou ou requereu.&amp;#160;&lt;/span&gt;</w:t>
              <w:tab/>
              <w:t>&lt;/span&gt;</w:t>
              <w:tab/>
              <w:t>&lt;/span&gt; &lt;/span&gt;&lt;/p&gt;&lt;p style="line- height:1.7999999999999998;margin-left: 113.25pt;text-align: justify;margin-top:6pt;margin- bottom:0pt;" dir="ltr"&gt; &lt;span style="color: #000000; background-color: transparent; font- weight: 400; font-style: italic; font-variant: normal; text-decoration: none; vertical-align: baseline; white-space: pre-wrap;"&gt;</w:t>
              <w:tab/>
              <w:t>&lt;span style="font-size: medium;"&gt;</w:t>
              <w:tab/>
              <w:t>&lt;span style="font-size: medium;"&gt;</w:t>
              <w:tab/>
              <w:tab/>
              <w:t>&lt;span style="font-family: &amp;quot;times new roman&amp;quot;, times;"&gt;Dessa forma, ante a inércia da parte autora em regularizar o feito, tenho por inviabilizado o regular prosseguimento da presente demanda.&amp;#160;&lt;/span&gt;</w:t>
              <w:tab/>
              <w:t>&lt;/span&gt;</w:t>
            </w:r>
          </w:p>
          <w:p>
            <w:pPr>
              <w:pStyle w:val="TableParagraph"/>
              <w:tabs>
                <w:tab w:pos="1683" w:val="left" w:leader="none"/>
                <w:tab w:pos="5043" w:val="left" w:leader="none"/>
              </w:tabs>
              <w:spacing w:line="208" w:lineRule="auto" w:before="0"/>
              <w:ind w:right="158"/>
              <w:rPr>
                <w:sz w:val="20"/>
              </w:rPr>
            </w:pPr>
            <w:r>
              <w:rPr>
                <w:sz w:val="20"/>
              </w:rPr>
              <w:t>&lt;/span&gt; &lt;/span&gt;&lt;/p&gt;&lt;p style="line-height:1.7999999999999998;margin-left: 113.25pt;text-align: justify;margin-top:6pt;margin-bottom:0pt;" dir="ltr"&gt; &lt;span </w:t>
            </w:r>
            <w:r>
              <w:rPr>
                <w:spacing w:val="-2"/>
                <w:sz w:val="20"/>
              </w:rPr>
              <w:t>style="font- </w:t>
            </w:r>
            <w:r>
              <w:rPr>
                <w:sz w:val="20"/>
              </w:rPr>
              <w:t>size: medium;"&gt;</w:t>
              <w:tab/>
              <w:t>&lt;span style="font-size: medium;"&gt;</w:t>
              <w:tab/>
              <w:t>&lt;span style="font-family:</w:t>
            </w:r>
          </w:p>
          <w:p>
            <w:pPr>
              <w:pStyle w:val="TableParagraph"/>
              <w:tabs>
                <w:tab w:pos="2784" w:val="left" w:leader="none"/>
                <w:tab w:pos="2905" w:val="left" w:leader="none"/>
                <w:tab w:pos="3329" w:val="left" w:leader="none"/>
                <w:tab w:pos="3884" w:val="left" w:leader="none"/>
                <w:tab w:pos="4598" w:val="left" w:leader="none"/>
                <w:tab w:pos="5877" w:val="left" w:leader="none"/>
                <w:tab w:pos="6689" w:val="left" w:leader="none"/>
                <w:tab w:pos="6822" w:val="left" w:leader="none"/>
                <w:tab w:pos="7120" w:val="left" w:leader="none"/>
              </w:tabs>
              <w:spacing w:line="208" w:lineRule="auto" w:before="0"/>
              <w:ind w:right="27"/>
              <w:rPr>
                <w:sz w:val="20"/>
              </w:rPr>
            </w:pPr>
            <w:r>
              <w:rPr>
                <w:sz w:val="20"/>
              </w:rPr>
              <w:t>&amp;quot;times new roman&amp;quot;, times;"&gt;</w:t>
              <w:tab/>
              <w:t>&lt;span style="color: #000000; background-color: transparent; font-weight: 400; font-style: italic; font-variant: normal; text-decoration: none; vertical-align: baseline; white-space: pre-wrap;"&gt;Diante do exposto,&lt;/span&gt;</w:t>
              <w:tab/>
              <w:tab/>
              <w:t>&lt;span style="color: #000000; background-color: transparent; font-weight: 700; font-style: italic; font-variant: normal; text-decoration: none; vertical-align: baseline; white-space: pre- wrap;"&gt;INDEFIRO&lt;/span&gt;</w:t>
              <w:tab/>
              <w:t>&lt;span style="color: #000000; background-color: transparent; font-weight: 400; font-style: italic; font-variant: normal; text-decoration: none; vertical-align: baseline; white-space: pre-wrap;"&gt;a petição inicial, nos termos do art. 321, parágrafo único, do CPC.&amp;#160;&lt;/span&gt;&lt;/span&gt;</w:t>
              <w:tab/>
              <w:t>&lt;/span&gt; &lt;/span&gt;&lt;/p&gt;&lt;p style="line- height:1.7999999999999998;margin-left: 113.25pt;text-align: justify;margin-top:6pt;margin- bottom:0pt;" dir="ltr"&gt; &lt;span style="color: #000000; background-color: transparent; font- weight: 400; font-style: italic; font-variant: normal; text-decoration: none; vertical-align: baseline; white-space: pre-wrap;"&gt;</w:t>
              <w:tab/>
              <w:t>&lt;span style="font-size: medium;"&gt;</w:t>
              <w:tab/>
              <w:t>&lt;span style="font-size: medium;"&gt;</w:t>
              <w:tab/>
              <w:tab/>
              <w:t>&lt;span style="font-family: &amp;quot;times new roman&amp;quot;, times;"&gt;Condeno a parte autora ao pagamento das custas, contudo suspendo a exigibilidade diante da gratuidade da justiça deferida.”&lt;/span&gt;</w:t>
              <w:tab/>
              <w:t>&lt;/span&gt;</w:t>
              <w:tab/>
              <w:tab/>
              <w:t>&lt;/span&gt;</w:t>
            </w:r>
          </w:p>
          <w:p>
            <w:pPr>
              <w:pStyle w:val="TableParagraph"/>
              <w:tabs>
                <w:tab w:pos="2905" w:val="left" w:leader="none"/>
                <w:tab w:pos="3773" w:val="left" w:leader="none"/>
                <w:tab w:pos="4851" w:val="left" w:leader="none"/>
                <w:tab w:pos="5929" w:val="left" w:leader="none"/>
                <w:tab w:pos="6487" w:val="left" w:leader="none"/>
                <w:tab w:pos="7097" w:val="left" w:leader="none"/>
                <w:tab w:pos="7322" w:val="left" w:leader="none"/>
              </w:tabs>
              <w:spacing w:line="208" w:lineRule="auto" w:before="0"/>
              <w:ind w:right="60"/>
              <w:rPr>
                <w:sz w:val="20"/>
              </w:rPr>
            </w:pPr>
            <w:r>
              <w:rPr>
                <w:sz w:val="20"/>
              </w:rPr>
              <w:t>&lt;/span&gt;&lt;/p&gt;&lt;p style="text-indent: 8%; text-align: justify;"&gt; &lt;span style="font-family: &amp;quot;times new roman&amp;quot;, times;"&gt;</w:t>
              <w:tab/>
              <w:t>&lt;strong style="font-weight:normal;"&gt;</w:t>
              <w:tab/>
              <w:tab/>
              <w:t>&lt;span style="font-size: medium;"&gt;</w:t>
              <w:tab/>
              <w:t>&lt;span style="font-size: medium;"&gt;</w:t>
              <w:tab/>
              <w:t>&lt;span </w:t>
            </w:r>
            <w:r>
              <w:rPr>
                <w:spacing w:val="-2"/>
                <w:sz w:val="20"/>
              </w:rPr>
              <w:t>style="font- </w:t>
            </w:r>
            <w:r>
              <w:rPr>
                <w:sz w:val="20"/>
              </w:rPr>
              <w:t>family: &amp;quot;times new roman&amp;quot;, times;"&gt;</w:t>
              <w:tab/>
              <w:t>&lt;br /&gt;</w:t>
              <w:tab/>
              <w:t>&lt;/span&gt;</w:t>
              <w:tab/>
              <w:t>&lt;/span&gt;</w:t>
            </w:r>
          </w:p>
          <w:p>
            <w:pPr>
              <w:pStyle w:val="TableParagraph"/>
              <w:tabs>
                <w:tab w:pos="985" w:val="left" w:leader="none"/>
                <w:tab w:pos="1683" w:val="left" w:leader="none"/>
                <w:tab w:pos="3884" w:val="left" w:leader="none"/>
                <w:tab w:pos="5043" w:val="left" w:leader="none"/>
              </w:tabs>
              <w:spacing w:line="208" w:lineRule="auto" w:before="0"/>
              <w:ind w:right="27"/>
              <w:rPr>
                <w:sz w:val="20"/>
              </w:rPr>
            </w:pPr>
            <w:r>
              <w:rPr>
                <w:sz w:val="20"/>
              </w:rPr>
              <w:t>&lt;/span&gt;</w:t>
              <w:tab/>
              <w:t>&lt;/strong&gt; &lt;/span&gt;&lt;/p&gt;&lt;p style="line-height:1.7999999999999998;text-indent: 56.7pt;text-align: justify;margin-top:6pt;margin-bottom:0pt;" dir="ltr"&gt; &lt;span style="font- size: medium;"&gt;</w:t>
              <w:tab/>
              <w:t>&lt;span style="font-size: medium;"&gt;</w:t>
              <w:tab/>
              <w:t>&lt;span style="font-family: &amp;quot;times new roman&amp;quot;, times;"&gt;</w:t>
              <w:tab/>
              <w:t>&lt;span style="color: #000000; background-color: transparent; font-weight: 400; font-style: normal; font-variant: normal; text-decoration: none; vertical-align: baseline; white-space: pre-wrap;"&gt;Em suas razões recursais, ID de n.</w:t>
            </w:r>
          </w:p>
          <w:p>
            <w:pPr>
              <w:pStyle w:val="TableParagraph"/>
              <w:tabs>
                <w:tab w:pos="7155" w:val="left" w:leader="none"/>
              </w:tabs>
              <w:spacing w:line="208" w:lineRule="auto" w:before="0"/>
              <w:ind w:right="18"/>
              <w:rPr>
                <w:sz w:val="20"/>
              </w:rPr>
            </w:pPr>
            <w:r>
              <w:rPr>
                <w:sz w:val="20"/>
              </w:rPr>
              <w:t>29367498, o recorrente, Francisco Faustino de Carvalho, alega que&lt;/span&gt;</w:t>
              <w:tab/>
              <w:t>&lt;span style="color: #000000; background-color: transparent; font-weight: 700; font-style: normal; font-variant: normal; text-decoration: none; vertical-align: baseline; white-space: pre- wrap;"&gt;houve afronta ao princípio da primazia da decisão de mérito, visto que o processo fora extinto prematuramente, desconsiderando que eventuais falhas na inicial constituem vícios sanáveis. Aduz ainda, que os elementos que constam na inicial são suficientes e que, o processo não pode se transformar em armadilha formalista, visto que não houve prejuízo processual que justificasse medida tão gravosa quanto a extinção do</w:t>
            </w:r>
            <w:r>
              <w:rPr>
                <w:spacing w:val="8"/>
                <w:sz w:val="20"/>
              </w:rPr>
              <w:t> </w:t>
            </w:r>
            <w:r>
              <w:rPr>
                <w:spacing w:val="-2"/>
                <w:sz w:val="20"/>
              </w:rPr>
              <w:t>feito.&lt;/span&gt;</w:t>
            </w:r>
          </w:p>
          <w:p>
            <w:pPr>
              <w:pStyle w:val="TableParagraph"/>
              <w:spacing w:line="208" w:lineRule="auto" w:before="0"/>
              <w:ind w:right="164"/>
              <w:rPr>
                <w:sz w:val="20"/>
              </w:rPr>
            </w:pPr>
            <w:r>
              <w:rPr>
                <w:sz w:val="20"/>
              </w:rPr>
              <w:t>&lt;span style="color: #000000; background-color: transparent; font-weight: 400; font-style: normal; font-variant: normal; text-decoration: none; vertical-align: baseline; white-space: pre-wrap;"&gt;Ao final, pleiteou pelo conhecimento e provimento da presente apelação, para que seja reformada a sentença e determinado o regular prosseguimento da ação, afastando-se o indeferimento da petição inicial, no entanto, de forma subsidiária, caso 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7" w:val="left" w:leader="none"/>
                <w:tab w:pos="2730" w:val="left" w:leader="none"/>
                <w:tab w:pos="5291" w:val="left" w:leader="none"/>
                <w:tab w:pos="7411" w:val="left" w:leader="none"/>
              </w:tabs>
              <w:spacing w:line="208" w:lineRule="auto" w:before="26"/>
              <w:ind w:right="176"/>
              <w:rPr>
                <w:sz w:val="20"/>
              </w:rPr>
            </w:pPr>
            <w:r>
              <w:rPr>
                <w:sz w:val="20"/>
              </w:rPr>
              <w:t>entenda pela necessidade de complementação, que seja concedido prazo razoável ao apelante para eventual adequação, em respeito ao princípio da cooperação processual.&lt;/span&gt;&lt;/span&gt;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t>&lt;span style="color: #000000; background-color: transparent; font-weight: 400; font-style: </w:t>
            </w:r>
            <w:r>
              <w:rPr>
                <w:spacing w:val="-3"/>
                <w:sz w:val="20"/>
              </w:rPr>
              <w:t>normal; </w:t>
            </w:r>
            <w:r>
              <w:rPr>
                <w:sz w:val="20"/>
              </w:rPr>
              <w:t>font-variant: normal; text-decoration: none; vertical-align: baseline; white-space: pre- wrap;"&gt;No que lhe concerne, o banco recorrido, por meio de contrarrazões, ID de n.</w:t>
            </w:r>
          </w:p>
          <w:p>
            <w:pPr>
              <w:pStyle w:val="TableParagraph"/>
              <w:tabs>
                <w:tab w:pos="2430" w:val="left" w:leader="none"/>
                <w:tab w:pos="2905" w:val="left" w:leader="none"/>
                <w:tab w:pos="3329" w:val="left" w:leader="none"/>
                <w:tab w:pos="3564" w:val="left" w:leader="none"/>
                <w:tab w:pos="3898" w:val="left" w:leader="none"/>
                <w:tab w:pos="4509" w:val="left" w:leader="none"/>
                <w:tab w:pos="5808" w:val="left" w:leader="none"/>
                <w:tab w:pos="6689" w:val="left" w:leader="none"/>
                <w:tab w:pos="6753" w:val="left" w:leader="none"/>
              </w:tabs>
              <w:spacing w:line="208" w:lineRule="auto" w:before="0"/>
              <w:ind w:right="53"/>
              <w:rPr>
                <w:sz w:val="20"/>
              </w:rPr>
            </w:pPr>
            <w:r>
              <w:rPr>
                <w:sz w:val="20"/>
              </w:rPr>
              <w:t>29367503, alegou, em síntese,&lt;/span&gt;</w:t>
              <w:tab/>
              <w:tab/>
              <w:t>&lt;span style="color: #000000; background- color: transparent; font-weight: 700; font-style: normal; font-variant: normal; text-decoration: none; vertical-align: baseline; white-space: pre-wrap;"&gt;que a peça recursal apresenta-se desprovida de fundamentação capaz de desconstituir a sentença recorrida, tendo em vista que os argumentos jurídicos expostos no recurso manejado pelo recorrente, contrariam o remansoso e dominante entendimento dos Egrégios Supremo Tribunal Federal, Superior Tribunal de Justiça e Turmas Recursais, pleiteando que se negue seguimento ao recurso.&lt;/span&gt;&lt;/span&gt;</w:t>
              <w:tab/>
              <w:t>&lt;/span&gt; &lt;/span&gt;&lt;/p&gt;&lt;p style="line- height:1.7999999999999998;text-indent: 56.7pt;text-align: justify;margin-top:6pt;margin- bottom:0pt;" dir="ltr"&gt; &lt;span style="color: #000000; background-color: transparent; font- weight: 400; font-style: normal; font-variant: normal; text-decoration: none; vertical-align: baseline; white-space: pre-wrap;"&gt;</w:t>
              <w:tab/>
              <w:t>&lt;span style="font-size: medium;"&gt;</w:t>
              <w:tab/>
              <w:t>&lt;span style="font-size: medium;"&gt;</w:t>
              <w:tab/>
              <w:t>&lt;span style="font-family: &amp;quot;times new roman&amp;quot;, times;"&gt;Deixei de intimar a douta Procuradoria-Geral de Justiça por se tratar de discussão eminentemente patrimonial.&lt;/span&gt;</w:t>
              <w:tab/>
              <w:tab/>
              <w:t>&lt;/span&gt;</w:t>
              <w:tab/>
              <w:t>&lt;/span&gt; &lt;/span&gt;&lt;/p&gt;&lt;p style="line- height:1.7999999999999998;text-indent: 56.7pt;text-align: justify;margin-top:6pt;margin- bottom:0pt;" dir="ltr"&gt; &lt;span style="color: #000000; background-color: transparent; font- weight: 400; font-style: normal; font-variant: normal; text-decoration: none; vertical-align: baseline; white-space: pre-wrap;"&gt;</w:t>
              <w:tab/>
              <w:t>&lt;span style="font-size: medium;"&gt;</w:t>
              <w:tab/>
              <w:t>&lt;span style="font-size: medium;"&gt;</w:t>
              <w:tab/>
              <w:t>&lt;span style="font-family: &amp;quot;times new roman&amp;quot;, times;"&gt;Vieram-me, em seguida, os autos conclusos.&lt;/span&gt;</w:t>
              <w:tab/>
              <w:t>&lt;/span&gt;</w:t>
              <w:tab/>
              <w:tab/>
              <w:t>&lt;/span&gt;</w:t>
            </w:r>
          </w:p>
          <w:p>
            <w:pPr>
              <w:pStyle w:val="TableParagraph"/>
              <w:tabs>
                <w:tab w:pos="2794" w:val="left" w:leader="none"/>
                <w:tab w:pos="6265" w:val="left" w:leader="none"/>
                <w:tab w:pos="6553" w:val="left" w:leader="none"/>
                <w:tab w:pos="7108" w:val="left" w:leader="none"/>
              </w:tabs>
              <w:spacing w:line="208" w:lineRule="auto" w:before="0"/>
              <w:ind w:right="282"/>
              <w:rPr>
                <w:sz w:val="20"/>
              </w:rPr>
            </w:pPr>
            <w:r>
              <w:rPr>
                <w:sz w:val="20"/>
              </w:rPr>
              <w:t>&lt;/span&gt;&lt;/p&gt;&lt;p style="line-height:1.7999999999999998;text-indent: 56.7pt;text-align: justify;margin-top:6pt;margin-bottom:0pt;" dir="ltr"&gt; &lt;span style="color: #000000; background-color: transparent; font-weight: 700; font-style: normal; font-variant: normal; text-decoration: none; vertical-align: baseline; white-space: pre-wrap;"&gt;</w:t>
              <w:tab/>
              <w:t>&lt;span style="font-size: medium;"&gt;</w:t>
              <w:tab/>
              <w:t>&lt;span style="font-size: medium;"&gt;</w:t>
              <w:tab/>
              <w:t>&lt;span </w:t>
            </w:r>
            <w:r>
              <w:rPr>
                <w:spacing w:val="-2"/>
                <w:sz w:val="20"/>
              </w:rPr>
              <w:t>style="font- </w:t>
            </w:r>
            <w:r>
              <w:rPr>
                <w:sz w:val="20"/>
              </w:rPr>
              <w:t>family: &amp;quot;times new roman&amp;quot;, times;"&gt;É o relatório. Decido.&lt;/span&gt;</w:t>
              <w:tab/>
              <w:t>&lt;/span&gt;</w:t>
            </w:r>
          </w:p>
          <w:p>
            <w:pPr>
              <w:pStyle w:val="TableParagraph"/>
              <w:tabs>
                <w:tab w:pos="4407" w:val="left" w:leader="none"/>
              </w:tabs>
              <w:spacing w:line="208" w:lineRule="auto" w:before="0"/>
              <w:ind w:right="459"/>
              <w:rPr>
                <w:sz w:val="20"/>
              </w:rPr>
            </w:pPr>
            <w:r>
              <w:rPr>
                <w:sz w:val="20"/>
              </w:rPr>
              <w:t>&lt;/span&gt; &lt;/span&gt;&lt;/p&gt;&lt;p style="text-indent: 8%; text-align: justify;"&gt; &lt;span </w:t>
            </w:r>
            <w:r>
              <w:rPr>
                <w:spacing w:val="-2"/>
                <w:sz w:val="20"/>
              </w:rPr>
              <w:t>style="font- </w:t>
            </w:r>
            <w:r>
              <w:rPr>
                <w:sz w:val="20"/>
              </w:rPr>
              <w:t>family: &amp;quot;times new roman&amp;quot;, times;"&gt;</w:t>
              <w:tab/>
              <w:t>&lt;strong style="font-weight:normal;"&gt;</w:t>
            </w:r>
          </w:p>
          <w:p>
            <w:pPr>
              <w:pStyle w:val="TableParagraph"/>
              <w:tabs>
                <w:tab w:pos="3511" w:val="left" w:leader="none"/>
                <w:tab w:pos="5850" w:val="left" w:leader="none"/>
                <w:tab w:pos="6929" w:val="left" w:leader="none"/>
                <w:tab w:pos="7093" w:val="left" w:leader="none"/>
              </w:tabs>
              <w:spacing w:line="208" w:lineRule="auto" w:before="0"/>
              <w:ind w:right="500"/>
              <w:rPr>
                <w:sz w:val="20"/>
              </w:rPr>
            </w:pPr>
            <w:r>
              <w:rPr>
                <w:sz w:val="20"/>
              </w:rPr>
              <w:t>&lt;span style="font-size: medium;"&gt;</w:t>
              <w:tab/>
              <w:t>&lt;span style="font-size: medium;"&gt;</w:t>
              <w:tab/>
              <w:tab/>
              <w:t>&lt;span style="font-family: &amp;quot;times new roman&amp;quot;, times;"&gt;</w:t>
              <w:tab/>
              <w:t>&lt;br /&gt;</w:t>
              <w:tab/>
            </w:r>
            <w:r>
              <w:rPr>
                <w:spacing w:val="-3"/>
                <w:sz w:val="20"/>
              </w:rPr>
              <w:t>&lt;/span&gt;</w:t>
            </w:r>
          </w:p>
          <w:p>
            <w:pPr>
              <w:pStyle w:val="TableParagraph"/>
              <w:tabs>
                <w:tab w:pos="1096" w:val="left" w:leader="none"/>
                <w:tab w:pos="2041" w:val="left" w:leader="none"/>
              </w:tabs>
              <w:spacing w:line="208" w:lineRule="auto" w:before="0"/>
              <w:ind w:right="61"/>
              <w:rPr>
                <w:sz w:val="20"/>
              </w:rPr>
            </w:pPr>
            <w:r>
              <w:rPr>
                <w:sz w:val="20"/>
              </w:rPr>
              <w:t>&lt;/span&gt;</w:t>
              <w:tab/>
              <w:t>&lt;/span&gt;</w:t>
              <w:tab/>
              <w:t>&lt;/strong&gt; &lt;/span&gt;&lt;/p&gt;&lt;p style="line- height:1.7999999999999998;text-align: center;margin-top:6pt;margin-bottom:0pt;"</w:t>
            </w:r>
            <w:r>
              <w:rPr>
                <w:spacing w:val="-15"/>
                <w:sz w:val="20"/>
              </w:rPr>
              <w:t> </w:t>
            </w:r>
            <w:r>
              <w:rPr>
                <w:sz w:val="20"/>
              </w:rPr>
              <w:t>dir="ltr"&gt;</w:t>
            </w:r>
          </w:p>
          <w:p>
            <w:pPr>
              <w:pStyle w:val="TableParagraph"/>
              <w:tabs>
                <w:tab w:pos="1294" w:val="left" w:leader="none"/>
                <w:tab w:pos="4654" w:val="left" w:leader="none"/>
              </w:tabs>
              <w:spacing w:line="208" w:lineRule="auto" w:before="0"/>
              <w:ind w:right="292"/>
              <w:rPr>
                <w:sz w:val="20"/>
              </w:rPr>
            </w:pPr>
            <w:r>
              <w:rPr>
                <w:sz w:val="20"/>
              </w:rPr>
              <w:t>&lt;span style="color: #000000; background-color: transparent; font-weight: 700; font-style: normal; font-variant: normal; text-decoration: none; vertical-align: baseline; white-space: pre-wrap;"&gt;</w:t>
              <w:tab/>
              <w:t>&lt;span style="font-size: medium;"&gt;</w:t>
              <w:tab/>
              <w:t>&lt;span style="font-size: medium;"&gt;</w:t>
            </w:r>
          </w:p>
          <w:p>
            <w:pPr>
              <w:pStyle w:val="TableParagraph"/>
              <w:spacing w:line="190" w:lineRule="exact" w:before="0"/>
              <w:rPr>
                <w:sz w:val="20"/>
              </w:rPr>
            </w:pPr>
            <w:r>
              <w:rPr>
                <w:sz w:val="20"/>
              </w:rPr>
              <w:t>&lt;span style="font-family: &amp;quot;times new roman&amp;quot;, times;"&gt;VOTO&lt;/span&gt;</w:t>
            </w:r>
          </w:p>
          <w:p>
            <w:pPr>
              <w:pStyle w:val="TableParagraph"/>
              <w:tabs>
                <w:tab w:pos="985" w:val="left" w:leader="none"/>
                <w:tab w:pos="1550" w:val="left" w:leader="none"/>
                <w:tab w:pos="1861" w:val="left" w:leader="none"/>
                <w:tab w:pos="5332" w:val="left" w:leader="none"/>
                <w:tab w:pos="5406" w:val="left" w:leader="none"/>
              </w:tabs>
              <w:spacing w:line="208" w:lineRule="auto" w:before="6"/>
              <w:ind w:right="543"/>
              <w:rPr>
                <w:sz w:val="20"/>
              </w:rPr>
            </w:pPr>
            <w:r>
              <w:rPr>
                <w:sz w:val="20"/>
              </w:rPr>
              <w:t>&lt;/span&gt;</w:t>
              <w:tab/>
              <w:t>&lt;/span&gt; &lt;/span&gt;&lt;/p&gt;&lt;p style="text-indent: 8%; text-align: justify;"&gt; </w:t>
            </w:r>
            <w:r>
              <w:rPr>
                <w:spacing w:val="-4"/>
                <w:sz w:val="20"/>
              </w:rPr>
              <w:t>&lt;span </w:t>
            </w:r>
            <w:r>
              <w:rPr>
                <w:sz w:val="20"/>
              </w:rPr>
              <w:t>style="font-family: &amp;quot;times new roman&amp;quot;, times;"&gt;</w:t>
              <w:tab/>
              <w:tab/>
              <w:t>&lt;strong style="font- weight:normal;"&gt;</w:t>
              <w:tab/>
              <w:tab/>
              <w:t>&lt;span style="font-size: medium;"&gt;</w:t>
              <w:tab/>
              <w:t>&lt;span style="font-size: medium;"&gt;</w:t>
              <w:tab/>
              <w:t>&lt;span style="font-family: &amp;quot;times new roman&amp;quot;, times;"&gt;</w:t>
            </w:r>
          </w:p>
          <w:p>
            <w:pPr>
              <w:pStyle w:val="TableParagraph"/>
              <w:tabs>
                <w:tab w:pos="1118" w:val="left" w:leader="none"/>
                <w:tab w:pos="2285" w:val="left" w:leader="none"/>
                <w:tab w:pos="3341" w:val="left" w:leader="none"/>
                <w:tab w:pos="4286" w:val="left" w:leader="none"/>
                <w:tab w:pos="4562" w:val="left" w:leader="none"/>
              </w:tabs>
              <w:spacing w:line="208" w:lineRule="auto" w:before="0"/>
              <w:ind w:right="42"/>
              <w:rPr>
                <w:sz w:val="20"/>
              </w:rPr>
            </w:pPr>
            <w:r>
              <w:rPr>
                <w:sz w:val="20"/>
              </w:rPr>
              <w:t>&lt;br /&gt;</w:t>
              <w:tab/>
              <w:t>&lt;/span&gt;</w:t>
              <w:tab/>
              <w:t>&lt;/span&gt;</w:t>
              <w:tab/>
              <w:t>&lt;/span&gt;</w:t>
              <w:tab/>
              <w:t>&lt;/strong&gt; &lt;/span&gt;&lt;/p&gt;&lt;p style="line- height:1.7999999999999998;text-indent: 56.692913385826756pt;text-align: justify;margin- top:6pt;margin-bottom:0pt;" dir="ltr"&gt; &lt;span style="color: #000000; background-color: transparent; font-weight: 700; font-style: normal; font-variant: normal; text-decoration: </w:t>
            </w:r>
            <w:r>
              <w:rPr>
                <w:spacing w:val="-4"/>
                <w:sz w:val="20"/>
              </w:rPr>
              <w:t>none; </w:t>
            </w:r>
            <w:r>
              <w:rPr>
                <w:sz w:val="20"/>
              </w:rPr>
              <w:t>vertical-align: baseline; white-space: pre-wrap;"&gt;</w:t>
              <w:tab/>
              <w:t>&lt;span style="font-size: medium;"&gt;</w:t>
            </w:r>
          </w:p>
          <w:p>
            <w:pPr>
              <w:pStyle w:val="TableParagraph"/>
              <w:tabs>
                <w:tab w:pos="3511" w:val="left" w:leader="none"/>
                <w:tab w:pos="5996" w:val="left" w:leader="none"/>
                <w:tab w:pos="6941" w:val="left" w:leader="none"/>
              </w:tabs>
              <w:spacing w:line="208" w:lineRule="auto" w:before="0"/>
              <w:ind w:right="488"/>
              <w:rPr>
                <w:sz w:val="20"/>
              </w:rPr>
            </w:pPr>
            <w:r>
              <w:rPr>
                <w:sz w:val="20"/>
              </w:rPr>
              <w:t>&lt;span style="font-size: medium;"&gt;</w:t>
              <w:tab/>
              <w:t>&lt;span style="font-family: &amp;quot;times new roman&amp;quot;, times;"&gt;1. JUÍZO DE ADMISSIBILIDADE&lt;/span&gt;</w:t>
              <w:tab/>
              <w:t>&lt;/span&gt;</w:t>
              <w:tab/>
            </w:r>
            <w:r>
              <w:rPr>
                <w:spacing w:val="-3"/>
                <w:sz w:val="20"/>
              </w:rPr>
              <w:t>&lt;/span&gt;</w:t>
            </w:r>
          </w:p>
          <w:p>
            <w:pPr>
              <w:pStyle w:val="TableParagraph"/>
              <w:spacing w:line="208" w:lineRule="auto" w:before="0"/>
              <w:ind w:right="493"/>
              <w:rPr>
                <w:sz w:val="20"/>
              </w:rPr>
            </w:pPr>
            <w:r>
              <w:rPr>
                <w:sz w:val="20"/>
              </w:rPr>
              <w:t>&lt;/span&gt;&lt;/p&gt;&lt;p style="line-height:1.7999999999999998;text-indent: 56.7pt;text-align: justify;margin-top:6pt;margin-bottom:0pt;" dir="ltr"&gt;  &lt;span style="font-size:</w:t>
            </w:r>
            <w:r>
              <w:rPr>
                <w:spacing w:val="-18"/>
                <w:sz w:val="20"/>
              </w:rPr>
              <w:t> </w:t>
            </w:r>
            <w:r>
              <w:rPr>
                <w:sz w:val="20"/>
              </w:rPr>
              <w:t>medium;"&gt;</w:t>
            </w:r>
          </w:p>
          <w:p>
            <w:pPr>
              <w:pStyle w:val="TableParagraph"/>
              <w:tabs>
                <w:tab w:pos="2350" w:val="left" w:leader="none"/>
                <w:tab w:pos="3400" w:val="left" w:leader="none"/>
                <w:tab w:pos="4842" w:val="left" w:leader="none"/>
              </w:tabs>
              <w:spacing w:line="208" w:lineRule="auto" w:before="0"/>
              <w:ind w:right="76"/>
              <w:rPr>
                <w:sz w:val="20"/>
              </w:rPr>
            </w:pPr>
            <w:r>
              <w:rPr>
                <w:sz w:val="20"/>
              </w:rPr>
              <w:t>&lt;span style="font-size: medium;"&gt;</w:t>
              <w:tab/>
              <w:t>&lt;span style="font-family: &amp;quot;times new roman&amp;quot;, times;"&gt;</w:t>
              <w:tab/>
              <w:t>&lt;span style="color: #000000; background-color: transparent; font-weight: 400; font-style: normal; font-variant: normal; text-decoration: none; vertical- align: baseline; white-space: pre-wrap;"&gt;Presentes os pressupostos recursais de admissibilidade intrínsecos e extrínsecos,&lt;/span&gt;</w:t>
              <w:tab/>
              <w:t>&lt;span style="color: #000000; background-color: transparent; font-weight: 700; font-style: normal; font-variant: normal; text-decoration: none; vertical-align: baseline; white-space:</w:t>
            </w:r>
            <w:r>
              <w:rPr>
                <w:spacing w:val="-16"/>
                <w:sz w:val="20"/>
              </w:rPr>
              <w:t> </w:t>
            </w:r>
            <w:r>
              <w:rPr>
                <w:sz w:val="20"/>
              </w:rPr>
              <w:t>pre-wrap;"&gt;CONHEÇO&lt;/span&gt;</w:t>
            </w:r>
          </w:p>
          <w:p>
            <w:pPr>
              <w:pStyle w:val="TableParagraph"/>
              <w:spacing w:line="208" w:lineRule="auto" w:before="0"/>
              <w:ind w:right="292"/>
              <w:rPr>
                <w:sz w:val="20"/>
              </w:rPr>
            </w:pPr>
            <w:r>
              <w:rPr>
                <w:sz w:val="20"/>
              </w:rPr>
              <w:t>&lt;span style="color: #000000; background-color: transparent; font-weight: 400; font-style: normal; font-variant: normal; text-decoration: none; vertical-align: baseline; white-space: pre-wrap;"&gt;do recurso interposto e passo a apreciar o mérito deste.&lt;/span&gt;&lt;/span&gt;</w:t>
            </w:r>
          </w:p>
          <w:p>
            <w:pPr>
              <w:pStyle w:val="TableParagraph"/>
              <w:spacing w:line="205" w:lineRule="exact" w:before="0"/>
              <w:rPr>
                <w:sz w:val="20"/>
              </w:rPr>
            </w:pPr>
            <w:r>
              <w:rPr>
                <w:sz w:val="20"/>
              </w:rPr>
              <w:t>&lt;/span&gt; &lt;/span&gt;&lt;/p&gt;&lt;p style="text-indent: 8%; text-align: justify;"&gt; &lt;span style="font-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407" w:val="left" w:leader="none"/>
              </w:tabs>
              <w:spacing w:line="215" w:lineRule="exact"/>
              <w:rPr>
                <w:sz w:val="20"/>
              </w:rPr>
            </w:pPr>
            <w:r>
              <w:rPr>
                <w:sz w:val="20"/>
              </w:rPr>
              <w:t>family: &amp;quot;times new roman&amp;quot;, times;"&gt;</w:t>
              <w:tab/>
              <w:t>&lt;strong style="font-weight:normal;"&gt;</w:t>
            </w:r>
          </w:p>
          <w:p>
            <w:pPr>
              <w:pStyle w:val="TableParagraph"/>
              <w:tabs>
                <w:tab w:pos="3511" w:val="left" w:leader="none"/>
                <w:tab w:pos="5850" w:val="left" w:leader="none"/>
                <w:tab w:pos="6929" w:val="left" w:leader="none"/>
                <w:tab w:pos="7093" w:val="left" w:leader="none"/>
              </w:tabs>
              <w:spacing w:line="208" w:lineRule="auto" w:before="9"/>
              <w:ind w:right="500"/>
              <w:rPr>
                <w:sz w:val="20"/>
              </w:rPr>
            </w:pPr>
            <w:r>
              <w:rPr>
                <w:sz w:val="20"/>
              </w:rPr>
              <w:t>&lt;span style="font-size: medium;"&gt;</w:t>
              <w:tab/>
              <w:t>&lt;span style="font-size: medium;"&gt;</w:t>
              <w:tab/>
              <w:tab/>
              <w:t>&lt;span style="font-family: &amp;quot;times new roman&amp;quot;, times;"&gt;</w:t>
              <w:tab/>
              <w:t>&lt;br /&gt;</w:t>
              <w:tab/>
            </w:r>
            <w:r>
              <w:rPr>
                <w:spacing w:val="-3"/>
                <w:sz w:val="20"/>
              </w:rPr>
              <w:t>&lt;/span&gt;</w:t>
            </w:r>
          </w:p>
          <w:p>
            <w:pPr>
              <w:pStyle w:val="TableParagraph"/>
              <w:tabs>
                <w:tab w:pos="1096" w:val="left" w:leader="none"/>
                <w:tab w:pos="2041" w:val="left" w:leader="none"/>
                <w:tab w:pos="4562" w:val="left" w:leader="none"/>
              </w:tabs>
              <w:spacing w:line="208" w:lineRule="auto" w:before="0"/>
              <w:ind w:right="42"/>
              <w:rPr>
                <w:sz w:val="20"/>
              </w:rPr>
            </w:pPr>
            <w:r>
              <w:rPr>
                <w:sz w:val="20"/>
              </w:rPr>
              <w:t>&lt;/span&gt;</w:t>
              <w:tab/>
              <w:t>&lt;/span&gt;</w:t>
              <w:tab/>
              <w:t>&lt;/strong&gt; &lt;/span&gt;&lt;/p&gt;&lt;p style="line- height:1.7999999999999998;text-indent: 56.692913385826756pt;text-align: justify;margin- top:6pt;margin-bottom:0pt;" dir="ltr"&gt; &lt;span style="color: #000000; background-color: transparent; font-weight: 700; font-style: normal; font-variant: normal; text-decoration: </w:t>
            </w:r>
            <w:r>
              <w:rPr>
                <w:spacing w:val="-4"/>
                <w:sz w:val="20"/>
              </w:rPr>
              <w:t>none; </w:t>
            </w:r>
            <w:r>
              <w:rPr>
                <w:sz w:val="20"/>
              </w:rPr>
              <w:t>vertical-align: baseline; white-space: pre-wrap;"&gt;</w:t>
              <w:tab/>
              <w:t>&lt;span style="font-size: medium;"&gt;</w:t>
            </w:r>
          </w:p>
          <w:p>
            <w:pPr>
              <w:pStyle w:val="TableParagraph"/>
              <w:tabs>
                <w:tab w:pos="3511" w:val="left" w:leader="none"/>
                <w:tab w:pos="4073" w:val="left" w:leader="none"/>
                <w:tab w:pos="4562" w:val="left" w:leader="none"/>
                <w:tab w:pos="5018" w:val="left" w:leader="none"/>
              </w:tabs>
              <w:spacing w:line="208" w:lineRule="auto" w:before="0"/>
              <w:ind w:right="42"/>
              <w:rPr>
                <w:sz w:val="20"/>
              </w:rPr>
            </w:pPr>
            <w:r>
              <w:rPr>
                <w:sz w:val="20"/>
              </w:rPr>
              <w:t>&lt;span style="font-size: medium;"&gt;</w:t>
              <w:tab/>
              <w:t>&lt;span style="font-family: &amp;quot;times new roman&amp;quot;, times;"&gt;2. MÉRITO&lt;/span&gt;</w:t>
              <w:tab/>
              <w:t>&lt;/span&gt;</w:t>
              <w:tab/>
              <w:t>&lt;/span&gt; &lt;/span&gt;&lt;/p&gt;&lt;p style="line-height:1.7999999999999998;text-indent: 56.7pt;text-align: justify;margin- top:6pt;margin-bottom:0pt;" dir="ltr"&gt; &lt;span style="color: #000000; background-color: transparent; font-weight: 400; font-style: normal; font-variant: normal; text-decoration: </w:t>
            </w:r>
            <w:r>
              <w:rPr>
                <w:spacing w:val="-4"/>
                <w:sz w:val="20"/>
              </w:rPr>
              <w:t>none; </w:t>
            </w:r>
            <w:r>
              <w:rPr>
                <w:sz w:val="20"/>
              </w:rPr>
              <w:t>vertical-align: baseline; white-space: pre-wrap;"&gt;</w:t>
              <w:tab/>
              <w:t>&lt;span style="font-size: medium;"&gt;</w:t>
            </w:r>
          </w:p>
          <w:p>
            <w:pPr>
              <w:pStyle w:val="TableParagraph"/>
              <w:tabs>
                <w:tab w:pos="3511" w:val="left" w:leader="none"/>
                <w:tab w:pos="5821" w:val="left" w:leader="none"/>
                <w:tab w:pos="6766" w:val="left" w:leader="none"/>
              </w:tabs>
              <w:spacing w:line="208" w:lineRule="auto" w:before="0"/>
              <w:ind w:right="318"/>
              <w:rPr>
                <w:sz w:val="20"/>
              </w:rPr>
            </w:pPr>
            <w:r>
              <w:rPr>
                <w:sz w:val="20"/>
              </w:rPr>
              <w:t>&lt;span style="font-size: medium;"&gt;</w:t>
              <w:tab/>
              <w:t>&lt;span style="font-family: &amp;quot;times new roman&amp;quot;, times;"&gt;A controvérsia recursal cinge-se em analisar se fora acertada a sentença que indeferiu a petição inicial, em virtude do decurso do prazo de emenda à exordial concedido ao autor, no sentido de que este fizesse a juntada de </w:t>
            </w:r>
            <w:r>
              <w:rPr>
                <w:spacing w:val="-2"/>
                <w:sz w:val="20"/>
              </w:rPr>
              <w:t>documentação </w:t>
            </w:r>
            <w:r>
              <w:rPr>
                <w:sz w:val="20"/>
              </w:rPr>
              <w:t>probatória suficiente para o prosseguimento da ação.&lt;/span&gt;</w:t>
              <w:tab/>
              <w:t>&lt;/span&gt;</w:t>
              <w:tab/>
              <w:t>&lt;/span&gt;</w:t>
            </w:r>
          </w:p>
          <w:p>
            <w:pPr>
              <w:pStyle w:val="TableParagraph"/>
              <w:spacing w:line="208" w:lineRule="auto" w:before="0"/>
              <w:ind w:right="493"/>
              <w:rPr>
                <w:sz w:val="20"/>
              </w:rPr>
            </w:pPr>
            <w:r>
              <w:rPr>
                <w:sz w:val="20"/>
              </w:rPr>
              <w:t>&lt;/span&gt;&lt;/p&gt;&lt;p style="line-height:1.7999999999999998;text-indent: 56.7pt;text-align: justify;margin-top:6pt;margin-bottom:0pt;" dir="ltr"&gt; &lt;span style="font-size: medium;"&gt;</w:t>
            </w:r>
          </w:p>
          <w:p>
            <w:pPr>
              <w:pStyle w:val="TableParagraph"/>
              <w:tabs>
                <w:tab w:pos="2461" w:val="left" w:leader="none"/>
                <w:tab w:pos="3400" w:val="left" w:leader="none"/>
              </w:tabs>
              <w:spacing w:line="208" w:lineRule="auto" w:before="0"/>
              <w:ind w:right="327"/>
              <w:rPr>
                <w:sz w:val="20"/>
              </w:rPr>
            </w:pPr>
            <w:r>
              <w:rPr>
                <w:sz w:val="20"/>
              </w:rPr>
              <w:t>&lt;span style="font-size: medium;"&gt;</w:t>
              <w:tab/>
              <w:t>&lt;span style="font-family: &amp;quot;times new roman&amp;quot;, times;"&gt;</w:t>
              <w:tab/>
              <w:t>&lt;span style="color: #000000; background-color: </w:t>
            </w:r>
            <w:r>
              <w:rPr>
                <w:spacing w:val="-2"/>
                <w:sz w:val="20"/>
              </w:rPr>
              <w:t>transparent; </w:t>
            </w:r>
            <w:r>
              <w:rPr>
                <w:sz w:val="20"/>
              </w:rPr>
              <w:t>font-weight: 400; font-style: normal; font-variant: normal; text-decoration: none; vertical- align: baseline; white-space: pre-wrap;"&gt;Compulsando os autos, verifica-se que, após a juntada da petição inicial, ID de n. 29367307, houve o despacho do juiz, ID de n.</w:t>
            </w:r>
          </w:p>
          <w:p>
            <w:pPr>
              <w:pStyle w:val="TableParagraph"/>
              <w:tabs>
                <w:tab w:pos="1205" w:val="left" w:leader="none"/>
                <w:tab w:pos="1327" w:val="left" w:leader="none"/>
                <w:tab w:pos="2518" w:val="left" w:leader="none"/>
                <w:tab w:pos="2794" w:val="left" w:leader="none"/>
                <w:tab w:pos="2951" w:val="left" w:leader="none"/>
                <w:tab w:pos="3263" w:val="left" w:leader="none"/>
                <w:tab w:pos="4053" w:val="left" w:leader="none"/>
                <w:tab w:pos="4209" w:val="left" w:leader="none"/>
                <w:tab w:pos="4998" w:val="left" w:leader="none"/>
                <w:tab w:pos="5076" w:val="left" w:leader="none"/>
                <w:tab w:pos="5291" w:val="left" w:leader="none"/>
                <w:tab w:pos="6022" w:val="left" w:leader="none"/>
                <w:tab w:pos="6636" w:val="left" w:leader="none"/>
                <w:tab w:pos="7522" w:val="left" w:leader="none"/>
              </w:tabs>
              <w:spacing w:line="208" w:lineRule="auto" w:before="0"/>
              <w:ind w:right="20"/>
              <w:rPr>
                <w:sz w:val="20"/>
              </w:rPr>
            </w:pPr>
            <w:r>
              <w:rPr>
                <w:sz w:val="20"/>
              </w:rPr>
              <w:t>29367316, nos seguintes termos:&lt;/span&gt;</w:t>
              <w:tab/>
              <w:t>&lt;/span&gt;</w:t>
              <w:tab/>
              <w:t>&lt;/span&gt; &lt;/span&gt;&lt;/p&gt;&lt;p style="line-height:1.7999999999999998;text-indent: 56.7pt;text-align: justify;margin- top:6pt;margin-bottom:0pt;" dir="ltr"&gt;  &lt;span style="font-size: medium;"&gt;</w:t>
              <w:tab/>
              <w:t>&lt;span style="font-size: medium;"&gt;</w:t>
              <w:tab/>
              <w:tab/>
              <w:t>&lt;span style="font-family: &amp;quot;times new roman&amp;quot;, times;"&gt;</w:t>
              <w:tab/>
              <w:t>&lt;span style="color: #000000; background-color: transparent; font-weight: 400; font-style: normal; font-variant: normal; text-decoration: none; vertical-align: baseline; </w:t>
            </w:r>
            <w:r>
              <w:rPr>
                <w:spacing w:val="-3"/>
                <w:sz w:val="20"/>
              </w:rPr>
              <w:t>white- </w:t>
            </w:r>
            <w:r>
              <w:rPr>
                <w:sz w:val="20"/>
              </w:rPr>
              <w:t>space: pre-wrap;"&gt;“&lt;/span&gt;</w:t>
              <w:tab/>
              <w:tab/>
              <w:tab/>
              <w:t>&lt;span style="color: #000000; background-color: transparent; font-weight: 400; font-style: italic; font-variant: normal; text-decoration: none; vertical-align: baseline; white-space: pre-wrap;"&gt;Intime-se a parte autora para que, no prazo de 15 (quinze) dias, emende a petição inicial para: i) indicar a data de sua aposentadoria; ii) comprovar, por meio dos documentos adequados, o valor sacado relativo ao saldo existente em sua conta vinculada do PIS/PASEP decorrente de sua aposentadoria; iii) apresentar documentação idônea (declaração do IR), capaz de comprovar a hipossuficiência alegada para o pagamento das custas, sob pena de indeferimento da inicial.”&lt;/span&gt;</w:t>
              <w:tab/>
              <w:tab/>
              <w:t>&lt;/span&gt;</w:t>
              <w:tab/>
              <w:tab/>
              <w:t>&lt;/span&gt; &lt;/span&gt;&lt;/p&gt;&lt;p style="line- height:1.7999999999999998;text-indent: 56.7pt;text-align: justify;margin-top:6pt;margin- bottom:0pt;" dir="ltr"&gt;  &lt;span style="font-size: medium;"&gt;</w:t>
              <w:tab/>
              <w:tab/>
              <w:t>&lt;span style="font-size: medium;"&gt;</w:t>
              <w:tab/>
              <w:tab/>
              <w:t>&lt;span style="font-family: &amp;quot;times new roman&amp;quot;, times;"&gt;</w:t>
              <w:tab/>
              <w:t>&lt;span style="color: #000000; background-color: transparent; font-weight: 400; font-style: italic; font-variant: normal; text-decoration: none; vertical-align: baseline; white-space: pre- wrap;"&gt;&amp;#160;&lt;/span&gt;</w:t>
              <w:tab/>
              <w:t>&lt;span style="color: #000000; background-color: transparent; font-weight: 400; font-style: normal; font-variant: normal; text-decoration: none; vertical- align: baseline; white-space: pre-wrap;"&gt;Após, foi suscitada dilação de prazo pelo demandante, ID de n. 29367322, sendo concedido pelo juízo o prazo de 10 (dez) dias, ID de n. 29367323. No entanto, após o decurso do prazo supracitado, o autor, novamente, pleiteou dilação de prazo, conforme ID de n. 29367327, juntando, posteriormente, apenas o contracheque do autor, ID de n. 29367330.&lt;/span&gt;</w:t>
              <w:tab/>
              <w:tab/>
              <w:t>&lt;/span&gt;</w:t>
              <w:tab/>
              <w:t>&lt;/span&gt;</w:t>
            </w:r>
          </w:p>
          <w:p>
            <w:pPr>
              <w:pStyle w:val="TableParagraph"/>
              <w:spacing w:line="208" w:lineRule="auto" w:before="0"/>
              <w:ind w:right="493"/>
              <w:rPr>
                <w:sz w:val="20"/>
              </w:rPr>
            </w:pPr>
            <w:r>
              <w:rPr>
                <w:sz w:val="20"/>
              </w:rPr>
              <w:t>&lt;/span&gt;&lt;/p&gt;&lt;p style="line-height:1.7999999999999998;text-indent: 56.7pt;text-align: justify;margin-top:6pt;margin-bottom:0pt;" dir="ltr"&gt; &lt;span style="font-size: medium;"&gt;</w:t>
            </w:r>
          </w:p>
          <w:p>
            <w:pPr>
              <w:pStyle w:val="TableParagraph"/>
              <w:tabs>
                <w:tab w:pos="2350" w:val="left" w:leader="none"/>
                <w:tab w:pos="3400" w:val="left" w:leader="none"/>
              </w:tabs>
              <w:spacing w:line="208" w:lineRule="auto" w:before="0"/>
              <w:ind w:right="120"/>
              <w:rPr>
                <w:sz w:val="20"/>
              </w:rPr>
            </w:pPr>
            <w:r>
              <w:rPr>
                <w:sz w:val="20"/>
              </w:rPr>
              <w:t>&lt;span style="font-size: medium;"&gt;</w:t>
              <w:tab/>
              <w:t>&lt;span style="font-family: &amp;quot;times new roman&amp;quot;, times;"&gt;</w:t>
              <w:tab/>
              <w:t>&lt;span style="color: #000000; background-color: transparent; font-weight: 400; font-style: normal; font-variant: normal; text-decoration: none; vertical- align: baseline; white-space: pre-wrap;"&gt;Por conseguinte, o juízo proferiu despacho, ID </w:t>
            </w:r>
            <w:r>
              <w:rPr>
                <w:spacing w:val="-9"/>
                <w:sz w:val="20"/>
              </w:rPr>
              <w:t>de</w:t>
            </w:r>
          </w:p>
          <w:p>
            <w:pPr>
              <w:pStyle w:val="TableParagraph"/>
              <w:tabs>
                <w:tab w:pos="1540" w:val="left" w:leader="none"/>
                <w:tab w:pos="3230" w:val="left" w:leader="none"/>
                <w:tab w:pos="5291" w:val="left" w:leader="none"/>
              </w:tabs>
              <w:spacing w:line="208" w:lineRule="auto" w:before="0"/>
              <w:ind w:right="20"/>
              <w:rPr>
                <w:sz w:val="20"/>
              </w:rPr>
            </w:pPr>
            <w:r>
              <w:rPr>
                <w:sz w:val="20"/>
              </w:rPr>
              <w:t>n. 29367331, concedendo o prazo suscitado pelo demandante e intimando-o, para que,&lt;/span&gt;</w:t>
              <w:tab/>
              <w:t>&lt;span style="color: #000000; background-color: #ffffff; font-weight: 400; font-style: normal; font-variant: normal; text-decoration: none; vertical-align: baseline; </w:t>
            </w:r>
            <w:r>
              <w:rPr>
                <w:spacing w:val="-3"/>
                <w:sz w:val="20"/>
              </w:rPr>
              <w:t>white- </w:t>
            </w:r>
            <w:r>
              <w:rPr>
                <w:sz w:val="20"/>
              </w:rPr>
              <w:t>space: pre-wrap;"&gt;no prazo de 15 (quinze) dias, cumprisse inteiramente as determinações do despacho colacionado, bem como apresentasse documentação pessoal da parte requerente, como RG e CPF, sob pena de indeferimento da inicial. Após isso, o autor juntou o comprovante de endereço, RG, CPF e documentos comprobatórios de aposentadoria, conforme IDs de ns. 29367336, 29367337 e 29367338, respectivamente.&lt;/span&gt;&lt;/span&gt;</w:t>
              <w:tab/>
              <w:t>&lt;/span&gt; &lt;/span&gt;&lt;/p&gt;&lt;p style="line- height:1.7999999999999998;text-indent: 56.7pt;text-align: justify;margin-top:6pt;margin- bottom:0pt;" dir="ltr"&gt;  &lt;span style="font-size: medium;"&gt;</w:t>
              <w:tab/>
              <w: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7" w:val="left" w:leader="none"/>
                <w:tab w:pos="3151" w:val="left" w:leader="none"/>
                <w:tab w:pos="4719" w:val="left" w:leader="none"/>
                <w:tab w:pos="7411" w:val="left" w:leader="none"/>
              </w:tabs>
              <w:spacing w:line="208" w:lineRule="auto" w:before="26"/>
              <w:ind w:right="20"/>
              <w:rPr>
                <w:sz w:val="20"/>
              </w:rPr>
            </w:pPr>
            <w:r>
              <w:rPr>
                <w:sz w:val="20"/>
              </w:rPr>
              <w:t>medium;"&gt;</w:t>
              <w:tab/>
              <w:t>&lt;span style="font-family: &amp;quot;times new roman&amp;quot;, times;"&gt;</w:t>
              <w:tab/>
              <w:t>&lt;span style="color: #000000; background-color: #ffffff; font-weight: 400; font-style: normal; font- variant: normal; text-decoration: none; vertical-align: baseline; white-space: pre- wrap;"&gt;Empós, o juízo&lt;/span&gt;</w:t>
              <w:tab/>
              <w:t>&lt;span style="color: #000000; background-color: #ffffff; font-weight: 400; font-style: italic; font-variant: normal; text-decoration: none; vertical-align: baseline; white-space: pre-wrap;"&gt;a quo&lt;/span&gt;</w:t>
              <w:tab/>
              <w:t>&lt;span style="color: #000000; background-color: #ffffff; font-weight: 400; font-style: normal; font-variant: normal; text- decoration: none; vertical-align: baseline; white-space: pre-wrap;"&gt;proferiu despacho, ID </w:t>
            </w:r>
            <w:r>
              <w:rPr>
                <w:spacing w:val="-9"/>
                <w:sz w:val="20"/>
              </w:rPr>
              <w:t>de</w:t>
            </w:r>
          </w:p>
          <w:p>
            <w:pPr>
              <w:pStyle w:val="TableParagraph"/>
              <w:tabs>
                <w:tab w:pos="3285" w:val="left" w:leader="none"/>
                <w:tab w:pos="5908" w:val="left" w:leader="none"/>
                <w:tab w:pos="6810" w:val="left" w:leader="none"/>
              </w:tabs>
              <w:spacing w:line="208" w:lineRule="auto" w:before="0"/>
              <w:ind w:right="71"/>
              <w:rPr>
                <w:sz w:val="20"/>
              </w:rPr>
            </w:pPr>
            <w:r>
              <w:rPr>
                <w:sz w:val="20"/>
              </w:rPr>
              <w:t>n. 29367339, por meio do qual, trouxe, de forma minuciosa, tudo o que ocorrera nos autos e, ao final, requereu a intimação do autor nos seguintes termos:&lt;/span&gt;</w:t>
              <w:tab/>
              <w:t>&lt;span style="color: #000000; background-color: #ffffff; font-weight: 400; font-style: italic; font- variant: normal; text-decoration: none; vertical-align: baseline; white-space: pre- wrap;"&gt;“Ante o exposto,&lt;/span&gt;</w:t>
              <w:tab/>
              <w:t>&lt;span style="color: #000000; background-color: </w:t>
            </w:r>
            <w:r>
              <w:rPr>
                <w:spacing w:val="-3"/>
                <w:sz w:val="20"/>
              </w:rPr>
              <w:t>#ffffff; </w:t>
            </w:r>
            <w:r>
              <w:rPr>
                <w:sz w:val="20"/>
              </w:rPr>
              <w:t>font-weight: 700; font-style: italic; font-variant: normal; text-decoration: none; vertical-align: baseline; white-space: pre-wrap;"&gt;INTIME-SE o autor&lt;/span&gt;</w:t>
              <w:tab/>
              <w:t>&lt;span style="color: #000000; background-color: #ffffff; font-weight: 400; font-style: italic; font-variant: normal; text-decoration: none; vertical-align: baseline; white-space: pre-wrap;"&gt;para, no prazo de 15 (quinze) dias, emendar a petição inicial, justificando a inadequação dos critérios de atualização utilizados pelo promovido, bem como informe se já efetuou o saque do saldo PASEP e apresente documentação de ID 130994362 com qualidade que permita sua legibilidade.&amp;#160;Advirto que o não atendimento da determinação acima, no prazo legal, acarretará o indeferimento da petição inicial (art. 321, parágrafo único, do CPC).”&lt;/span&gt;</w:t>
            </w:r>
          </w:p>
          <w:p>
            <w:pPr>
              <w:pStyle w:val="TableParagraph"/>
              <w:tabs>
                <w:tab w:pos="1327" w:val="left" w:leader="none"/>
                <w:tab w:pos="2185" w:val="left" w:leader="none"/>
                <w:tab w:pos="2717" w:val="left" w:leader="none"/>
                <w:tab w:pos="2941" w:val="left" w:leader="none"/>
                <w:tab w:pos="5291" w:val="left" w:leader="none"/>
                <w:tab w:pos="6108" w:val="left" w:leader="none"/>
                <w:tab w:pos="7120" w:val="left" w:leader="none"/>
                <w:tab w:pos="7411" w:val="left" w:leader="none"/>
              </w:tabs>
              <w:spacing w:line="208" w:lineRule="auto" w:before="0"/>
              <w:ind w:right="53"/>
              <w:rPr>
                <w:sz w:val="20"/>
              </w:rPr>
            </w:pPr>
            <w:r>
              <w:rPr>
                <w:sz w:val="20"/>
              </w:rPr>
              <w:t>&lt;span style="color: #000000; background-color: #ffffff; font-weight: 400; font-style: normal; font-variant: normal; text-decoration: none; vertical-align: baseline; white-space: pre- wrap;"&gt;Todavia, mesmo devidamente intimado dos termos do despacho, ocorreu o decurso do prazo, ID de n. 29367495, do autor/apelante, sem que esse se manifestasse.&lt;/span&gt;&lt;/span&gt;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tab/>
              <w:t>&lt;span style="color: #000000; background-color: #ffffff; font-weight: 400; font-style: normal; font- variant: normal; text-decoration: none; vertical-align: baseline; white-space: pre-wrap;"&gt;Em seguida, fora proferida sentença, ID de n. 29367496, indeferindo a petição inicial, com base no art.&lt;/span&gt;</w:t>
              <w:tab/>
              <w:t>&lt;span style="color: #000000; background-color: transparent; font- weight: 400; font-style: normal; font-variant: normal; text-decoration: none; vertical-align: baseline; white-space: pre-wrap;"&gt;321, parágrafo único,&lt;/span&gt;</w:t>
              <w:tab/>
              <w:t>&lt;span style="color: #000000; background-color: #ffffff; font-weight: 400; font-style: normal; font-variant: </w:t>
            </w:r>
            <w:r>
              <w:rPr>
                <w:spacing w:val="-3"/>
                <w:sz w:val="20"/>
              </w:rPr>
              <w:t>normal; </w:t>
            </w:r>
            <w:r>
              <w:rPr>
                <w:sz w:val="20"/>
              </w:rPr>
              <w:t>text-decoration: none; vertical-align: baseline; white-space: pre-wrap;"&gt;do CPC.&lt;/span&gt;&lt;/span&gt;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tab/>
              <w:t>&lt;span style="color: #000000; background-color: transparent; font-weight: 400; font-style: normal; font-variant: normal; text-decoration: none; vertical-align: baseline; white-space: pre- wrap;"&gt;Pois bem.&lt;/span&gt;</w:t>
              <w:tab/>
              <w:t>&lt;span style="color: #000000; background-color: transparent; font-weight: 700; font-style: normal; font-variant: normal; text-decoration: none; vertical- align: baseline; white-space: pre-wrap;"&gt;É necessário ressaltar que&lt;/span&gt;</w:t>
              <w:tab/>
              <w:t>&lt;span style="color: #000000; background-color: transparent; font-weight: 700; font-style: normal; font-variant: normal; text-decoration: none; vertical-align: baseline; white-space: pre- wrap;"&gt;o indeferimento da inicial não merece prosperar, visto que a petição inicial, ID de </w:t>
            </w:r>
            <w:r>
              <w:rPr>
                <w:spacing w:val="-9"/>
                <w:sz w:val="20"/>
              </w:rPr>
              <w:t>n. </w:t>
            </w:r>
            <w:r>
              <w:rPr>
                <w:sz w:val="20"/>
              </w:rPr>
              <w:t>29367307, está acompanhada de documentos legíveis, tais como, extrato com a data do saque do saldo, data de emissão desse e relatório com as divergências contábeis, conforme IDs de ns. 29367308, 29367310, 29367311, 29367312 e 29367313. Existente, portanto, todos os elementos necessários para o ajuizamento da ação.&lt;/span&gt;&lt;/span&gt;</w:t>
            </w:r>
          </w:p>
          <w:p>
            <w:pPr>
              <w:pStyle w:val="TableParagraph"/>
              <w:tabs>
                <w:tab w:pos="1794" w:val="left" w:leader="none"/>
                <w:tab w:pos="5266" w:val="left" w:leader="none"/>
                <w:tab w:pos="5776" w:val="left" w:leader="none"/>
                <w:tab w:pos="6164" w:val="left" w:leader="none"/>
                <w:tab w:pos="6721" w:val="left" w:leader="none"/>
              </w:tabs>
              <w:spacing w:line="208" w:lineRule="auto" w:before="0"/>
              <w:ind w:right="247"/>
              <w:rPr>
                <w:sz w:val="20"/>
              </w:rPr>
            </w:pPr>
            <w:r>
              <w:rPr>
                <w:sz w:val="20"/>
              </w:rPr>
              <w:t>&lt;/span&gt; &lt;/span&gt;&lt;/p&gt;&lt;p style="line-height:1.7999999999999998;text-indent: </w:t>
            </w:r>
            <w:r>
              <w:rPr>
                <w:spacing w:val="-2"/>
                <w:sz w:val="20"/>
              </w:rPr>
              <w:t>56.7pt;text- </w:t>
            </w:r>
            <w:r>
              <w:rPr>
                <w:sz w:val="20"/>
              </w:rPr>
              <w:t>align: justify;margin-top:6pt;margin-bottom:0pt;" dir="ltr"&gt; &lt;span style="color: #000000; background-color: #ffffff; font-weight: 400; font-style: normal; font-variant: normal; text- decoration: none; vertical-align: baseline; white-space: pre-wrap;"&gt;</w:t>
              <w:tab/>
              <w:t>&lt;span style="font- size: medium;"&gt;</w:t>
              <w:tab/>
              <w:t>&lt;span style="font-size: medium;"&gt;</w:t>
              <w:tab/>
              <w:t>&lt;span style="font-family: &amp;quot;times new roman&amp;quot;, times;"&gt;Nessa toada, transcreve-se o disposto nos arts. 319 e 320 do CPC, o qual, aduz que a petição inicial deve estar acompanhada da documentação e das informações a seguir descritas:&lt;/span&gt;</w:t>
              <w:tab/>
              <w:t>&lt;/span&gt;</w:t>
              <w:tab/>
              <w:t>&lt;/span&gt;</w:t>
            </w:r>
          </w:p>
          <w:p>
            <w:pPr>
              <w:pStyle w:val="TableParagraph"/>
              <w:tabs>
                <w:tab w:pos="2905" w:val="left" w:leader="none"/>
                <w:tab w:pos="3773" w:val="left" w:leader="none"/>
                <w:tab w:pos="4851" w:val="left" w:leader="none"/>
                <w:tab w:pos="5929" w:val="left" w:leader="none"/>
                <w:tab w:pos="6487" w:val="left" w:leader="none"/>
                <w:tab w:pos="7097" w:val="left" w:leader="none"/>
                <w:tab w:pos="7322" w:val="left" w:leader="none"/>
              </w:tabs>
              <w:spacing w:line="208" w:lineRule="auto" w:before="0"/>
              <w:ind w:right="60"/>
              <w:rPr>
                <w:sz w:val="20"/>
              </w:rPr>
            </w:pPr>
            <w:r>
              <w:rPr>
                <w:sz w:val="20"/>
              </w:rPr>
              <w:t>&lt;/span&gt;&lt;/p&gt;&lt;p style="text-indent: 8%; text-align: justify;"&gt; &lt;span style="font-family: &amp;quot;times new roman&amp;quot;, times;"&gt;</w:t>
              <w:tab/>
              <w:t>&lt;strong style="font-weight:normal;"&gt;</w:t>
              <w:tab/>
              <w:tab/>
              <w:t>&lt;span style="font-size: medium;"&gt;</w:t>
              <w:tab/>
              <w:t>&lt;span style="font-size: medium;"&gt;</w:t>
              <w:tab/>
              <w:t>&lt;span </w:t>
            </w:r>
            <w:r>
              <w:rPr>
                <w:spacing w:val="-2"/>
                <w:sz w:val="20"/>
              </w:rPr>
              <w:t>style="font- </w:t>
            </w:r>
            <w:r>
              <w:rPr>
                <w:sz w:val="20"/>
              </w:rPr>
              <w:t>family: &amp;quot;times new roman&amp;quot;, times;"&gt;</w:t>
              <w:tab/>
              <w:t>&lt;br /&gt;</w:t>
              <w:tab/>
              <w:t>&lt;/span&gt;</w:t>
              <w:tab/>
              <w:t>&lt;/span&gt;</w:t>
            </w:r>
          </w:p>
          <w:p>
            <w:pPr>
              <w:pStyle w:val="TableParagraph"/>
              <w:tabs>
                <w:tab w:pos="985" w:val="left" w:leader="none"/>
                <w:tab w:pos="7275" w:val="left" w:leader="none"/>
              </w:tabs>
              <w:spacing w:line="208" w:lineRule="auto" w:before="0"/>
              <w:ind w:right="180"/>
              <w:rPr>
                <w:sz w:val="20"/>
              </w:rPr>
            </w:pPr>
            <w:r>
              <w:rPr>
                <w:sz w:val="20"/>
              </w:rPr>
              <w:t>&lt;/span&gt;</w:t>
              <w:tab/>
              <w:t>&lt;/strong&gt; &lt;/span&gt;&lt;/p&gt;&lt;p style="line-height:1.7999999999999998;margin-left: 113.5pt;text-align: justify;margin-top:6pt;margin-bottom:0pt;" dir="ltr"&gt; &lt;span </w:t>
            </w:r>
            <w:r>
              <w:rPr>
                <w:spacing w:val="-2"/>
                <w:sz w:val="20"/>
              </w:rPr>
              <w:t>style="color: </w:t>
            </w:r>
            <w:r>
              <w:rPr>
                <w:sz w:val="20"/>
              </w:rPr>
              <w:t>#000000; background-color: transparent; font-weight: 400; font-style: italic; font-variant: normal; text-decoration: none; vertical-align: baseline; white-space: pre-wrap;"&gt;</w:t>
              <w:tab/>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6265" w:val="left" w:leader="none"/>
              </w:tabs>
              <w:spacing w:line="208" w:lineRule="auto" w:before="26"/>
              <w:ind w:right="232"/>
              <w:rPr>
                <w:sz w:val="20"/>
              </w:rPr>
            </w:pPr>
            <w:r>
              <w:rPr>
                <w:sz w:val="20"/>
              </w:rPr>
              <w:t>style="font-size: medium;"&gt;</w:t>
              <w:tab/>
              <w:t>&lt;span style="font-size: medium;"&gt;</w:t>
              <w:tab/>
              <w:t>&lt;span style="font- family: &amp;quot;times new roman&amp;quot;, times;"&gt;Art. 319. A petição inicial</w:t>
            </w:r>
            <w:r>
              <w:rPr>
                <w:spacing w:val="-17"/>
                <w:sz w:val="20"/>
              </w:rPr>
              <w:t> </w:t>
            </w:r>
            <w:r>
              <w:rPr>
                <w:sz w:val="20"/>
              </w:rPr>
              <w:t>indicará:&lt;/span&gt;</w:t>
            </w:r>
          </w:p>
          <w:p>
            <w:pPr>
              <w:pStyle w:val="TableParagraph"/>
              <w:tabs>
                <w:tab w:pos="985" w:val="left" w:leader="none"/>
                <w:tab w:pos="1327" w:val="left" w:leader="none"/>
                <w:tab w:pos="1683" w:val="left" w:leader="none"/>
                <w:tab w:pos="1752" w:val="left" w:leader="none"/>
                <w:tab w:pos="2484" w:val="left" w:leader="none"/>
                <w:tab w:pos="2697" w:val="left" w:leader="none"/>
                <w:tab w:pos="2862" w:val="left" w:leader="none"/>
                <w:tab w:pos="3164" w:val="left" w:leader="none"/>
                <w:tab w:pos="3642" w:val="left" w:leader="none"/>
                <w:tab w:pos="3995" w:val="left" w:leader="none"/>
                <w:tab w:pos="4109" w:val="left" w:leader="none"/>
                <w:tab w:pos="4587" w:val="left" w:leader="none"/>
                <w:tab w:pos="5043" w:val="left" w:leader="none"/>
                <w:tab w:pos="5291" w:val="left" w:leader="none"/>
                <w:tab w:pos="6698" w:val="left" w:leader="none"/>
                <w:tab w:pos="7522" w:val="left" w:leader="none"/>
              </w:tabs>
              <w:spacing w:line="208" w:lineRule="auto" w:before="0"/>
              <w:ind w:right="30"/>
              <w:rPr>
                <w:sz w:val="20"/>
              </w:rPr>
            </w:pPr>
            <w:r>
              <w:rPr>
                <w:sz w:val="20"/>
              </w:rPr>
              <w:t>&lt;/span&gt;</w:t>
              <w:tab/>
              <w:t>&lt;/span&gt; &lt;/span&gt;&lt;/p&gt;&lt;p style="line-height:1.7999999999999998;margin-left: 113.5pt;text-align: justify;margin-top:6pt;margin-bottom:0pt;" dir="ltr"&gt; &lt;span style="font- size: medium;"&gt;</w:t>
              <w:tab/>
              <w:t>&lt;span style="font-size: medium;"&gt;</w:t>
              <w:tab/>
              <w:t>&lt;span style="font-family: &amp;quot;times new roman&amp;quot;, times;"&gt;</w:t>
              <w:tab/>
              <w:tab/>
              <w:t>&lt;span style="color: #000000; background- color: transparent; font-weight: 400; font-style: italic; font-variant: normal; text-decoration: none; vertical-align: baseline; white-space: pre-wrap;"&gt;&amp;#160;&lt;/span&gt;</w:t>
              <w:tab/>
              <w:t>&lt;span style="background-color: transparent; font-style: italic; white-space-collapse: preserve;"&gt;I - o juízo a que é dirigida;&lt;/span&gt;</w:t>
              <w:tab/>
              <w:tab/>
              <w:t>&lt;/span&gt;</w:t>
              <w:tab/>
              <w:tab/>
              <w:t>&lt;/span&gt; &lt;/span&gt;&lt;/p&gt;&lt;p style="line- height:1.7999999999999998;margin-left: 113.5pt;text-align: justify;margin-top:6pt;margin- bottom:0pt;" dir="ltr"&gt;  &lt;span style="font-size: medium;"&gt;</w:t>
              <w:tab/>
              <w:t>&lt;span style="font-size: medium;"&gt;</w:t>
              <w:tab/>
              <w:t>&lt;span style="font-family: &amp;quot;times new roman&amp;quot;, times;"&gt;</w:t>
              <w:tab/>
              <w:t>&lt;span style="background-color: transparent; font-style: italic; white-space-collapse: preserve;"&gt;&amp;#160;&lt;/span&gt;</w:t>
              <w:tab/>
              <w:tab/>
              <w:tab/>
              <w:t>&lt;span style="background-color: transparent; font-style: italic; white-space-collapse: preserve;"&gt;II - os nomes, os prenomes, o estado civil, a existência de união estável, a profissão, o número de inscrição no Cadastro de Pessoas Físicas ou no Cadastro Nacional da Pessoa Jurídica, o endereço eletrônico, o domicílio e </w:t>
            </w:r>
            <w:r>
              <w:rPr>
                <w:spacing w:val="-18"/>
                <w:sz w:val="20"/>
              </w:rPr>
              <w:t>a </w:t>
            </w:r>
            <w:r>
              <w:rPr>
                <w:sz w:val="20"/>
              </w:rPr>
              <w:t>residência do autor e do réu;&lt;/span&gt;</w:t>
              <w:tab/>
              <w:t>&lt;/span&gt;</w:t>
              <w:tab/>
              <w:t>&lt;/span&gt; &lt;/span&gt;&lt;/p&gt;&lt;p style="line- height:1.7999999999999998;margin-left: 113.5pt;text-align: justify;margin-top:6pt;margin- bottom:0pt;" dir="ltr"&gt;  &lt;span style="font-size: medium;"&gt;</w:t>
              <w:tab/>
              <w:t>&lt;span style="font-size: medium;"&gt;</w:t>
              <w:tab/>
              <w:t>&lt;span style="font-family: &amp;quot;times new roman&amp;quot;, times;"&gt;</w:t>
              <w:tab/>
              <w:t>&lt;span style="background-color: transparent; font-style: italic; white-space-collapse: preserve;"&gt;&amp;#160;&lt;/span&gt;</w:t>
              <w:tab/>
              <w:tab/>
              <w:tab/>
              <w:t>&lt;span style="background-color: transparent; white-space- collapse: preserve; font-style: italic;"&gt;III - o fato e os fundamentos jurídicos do pedido;&lt;/span&gt;</w:t>
              <w:tab/>
              <w:tab/>
              <w:t>&lt;/span&gt;</w:t>
              <w:tab/>
              <w:tab/>
              <w:t>&lt;/span&gt; &lt;/span&gt;&lt;/p&gt;&lt;p style="line- height:1.7999999999999998;margin-left: 113.5pt;text-align: justify;margin-top:6pt;margin- bottom:0pt;" dir="ltr"&gt;  &lt;span style="font-size: medium;"&gt;</w:t>
              <w:tab/>
              <w:t>&lt;span style="font-size: medium;"&gt;</w:t>
              <w:tab/>
              <w:t>&lt;span style="font-family: &amp;quot;times new roman&amp;quot;, times;"&gt;</w:t>
              <w:tab/>
              <w:t>&lt;span style="background-color: transparent; white-space-collapse: preserve; font-style: italic;"&gt;&amp;#160;&lt;/span&gt;</w:t>
              <w:tab/>
              <w:t>&lt;span style="background-color: transparent; font-style: italic; white-space-collapse: preserve;"&gt;IV - o pedido com as suas especificações;&lt;/span&gt;</w:t>
            </w:r>
          </w:p>
          <w:p>
            <w:pPr>
              <w:pStyle w:val="TableParagraph"/>
              <w:tabs>
                <w:tab w:pos="985" w:val="left" w:leader="none"/>
                <w:tab w:pos="1205" w:val="left" w:leader="none"/>
                <w:tab w:pos="1327" w:val="left" w:leader="none"/>
                <w:tab w:pos="1683" w:val="left" w:leader="none"/>
                <w:tab w:pos="2619" w:val="left" w:leader="none"/>
                <w:tab w:pos="2794" w:val="left" w:leader="none"/>
                <w:tab w:pos="2862" w:val="left" w:leader="none"/>
                <w:tab w:pos="3564" w:val="left" w:leader="none"/>
                <w:tab w:pos="3707" w:val="left" w:leader="none"/>
                <w:tab w:pos="3995" w:val="left" w:leader="none"/>
                <w:tab w:pos="4842" w:val="left" w:leader="none"/>
                <w:tab w:pos="5043" w:val="left" w:leader="none"/>
                <w:tab w:pos="5087" w:val="left" w:leader="none"/>
                <w:tab w:pos="5291" w:val="left" w:leader="none"/>
                <w:tab w:pos="5788" w:val="left" w:leader="none"/>
                <w:tab w:pos="6032" w:val="left" w:leader="none"/>
                <w:tab w:pos="6275" w:val="left" w:leader="none"/>
                <w:tab w:pos="6636" w:val="left" w:leader="none"/>
                <w:tab w:pos="7522" w:val="left" w:leader="none"/>
              </w:tabs>
              <w:spacing w:line="208" w:lineRule="auto" w:before="0"/>
              <w:ind w:right="45"/>
              <w:rPr>
                <w:sz w:val="20"/>
              </w:rPr>
            </w:pPr>
            <w:r>
              <w:rPr>
                <w:sz w:val="20"/>
              </w:rPr>
              <w:t>&lt;/span&gt;</w:t>
              <w:tab/>
              <w:t>&lt;/span&gt; &lt;/span&gt;&lt;/p&gt;&lt;p style="line-height:1.7999999999999998;margin-left: 113.5pt;text-align: justify;margin-top:6pt;margin-bottom:0pt;" dir="ltr"&gt; &lt;span style="font- size: medium;"&gt;</w:t>
              <w:tab/>
              <w:t>&lt;span style="font-size: medium;"&gt;</w:t>
              <w:tab/>
              <w:tab/>
              <w:t>&lt;span style="font-family: &amp;quot;times new roman&amp;quot;, times;"&gt;</w:t>
              <w:tab/>
              <w:tab/>
              <w:tab/>
              <w:t>&lt;span style="background-color: transparent; font-style: italic; white-space-collapse: preserve;"&gt;&amp;#160;&lt;/span&gt;</w:t>
              <w:tab/>
              <w:tab/>
              <w:t>&lt;span style="background-color: transparent; font-style: italic; white-space-collapse: preserve;"&gt;V </w:t>
            </w:r>
            <w:r>
              <w:rPr>
                <w:spacing w:val="-18"/>
                <w:sz w:val="20"/>
              </w:rPr>
              <w:t>- </w:t>
            </w:r>
            <w:r>
              <w:rPr>
                <w:sz w:val="20"/>
              </w:rPr>
              <w:t>o valor da causa;&lt;/span&gt;</w:t>
              <w:tab/>
              <w:t>&lt;/span&gt;</w:t>
              <w:tab/>
              <w:t>&lt;/span&gt; &lt;/span&gt;&lt;/p&gt;&lt;p style="line- height:1.7999999999999998;margin-left: 113.5pt;text-align: justify;margin-top:6pt;margin- bottom:0pt;" dir="ltr"&gt;  &lt;span style="font-size: medium;"&gt;</w:t>
              <w:tab/>
              <w:tab/>
              <w:t>&lt;span style="font-size: medium;"&gt;</w:t>
              <w:tab/>
              <w:tab/>
              <w:t>&lt;span style="font-family: &amp;quot;times new roman&amp;quot;, times;"&gt;</w:t>
              <w:tab/>
              <w:t>&lt;span style="background-color: transparent; font-style: italic; white-space-collapse: preserve;"&gt;&amp;#160;&lt;/span&gt;</w:t>
              <w:tab/>
              <w:tab/>
              <w:tab/>
              <w:t>&lt;span style="background-color: transparent; font-style: italic; white-space-collapse: preserve;"&gt;VI - as provas com que o autor pretende demonstrar a verdade dos fatos alegados;&lt;/span&gt;</w:t>
              <w:tab/>
              <w:t>&lt;/span&gt;</w:t>
              <w:tab/>
              <w:t>&lt;/span&gt; &lt;/span&gt;&lt;/p&gt;&lt;p style="line-height:1.7999999999999998;margin-left: 113.5pt;text-align: justify;margin- top:6pt;margin-bottom:0pt;" dir="ltr"&gt;  &lt;span style="font-size: medium;"&gt;</w:t>
              <w:tab/>
              <w:t>&lt;span style="font-size: medium;"&gt;</w:t>
              <w:tab/>
              <w:tab/>
              <w:t>&lt;span style="font-family: &amp;quot;times new roman&amp;quot;, times;"&gt;</w:t>
              <w:tab/>
              <w:tab/>
              <w:t>&lt;span style="background-color: transparent; font-style: italic; white-space- collapse: preserve;"&gt;&amp;#160;&lt;/span&gt;</w:t>
              <w:tab/>
              <w:tab/>
              <w:t>&lt;span style="background-color: transparent; font- style: italic; white-space-collapse: preserve;"&gt;VII - a opção do autor pela realização ou não de audiência de conciliação ou de mediação.&lt;/span&gt;</w:t>
              <w:tab/>
              <w:tab/>
              <w:tab/>
              <w:t>&lt;/span&gt;</w:t>
              <w:tab/>
              <w:t>&lt;/span&gt;</w:t>
            </w:r>
          </w:p>
          <w:p>
            <w:pPr>
              <w:pStyle w:val="TableParagraph"/>
              <w:tabs>
                <w:tab w:pos="1794" w:val="left" w:leader="none"/>
                <w:tab w:pos="2352" w:val="left" w:leader="none"/>
                <w:tab w:pos="2905" w:val="left" w:leader="none"/>
                <w:tab w:pos="3297" w:val="left" w:leader="none"/>
                <w:tab w:pos="3329" w:val="left" w:leader="none"/>
                <w:tab w:pos="5266" w:val="left" w:leader="none"/>
                <w:tab w:pos="5843" w:val="left" w:leader="none"/>
                <w:tab w:pos="6164" w:val="left" w:leader="none"/>
                <w:tab w:pos="6689" w:val="left" w:leader="none"/>
                <w:tab w:pos="6788" w:val="left" w:leader="none"/>
              </w:tabs>
              <w:spacing w:line="208" w:lineRule="auto" w:before="0"/>
              <w:ind w:right="30"/>
              <w:rPr>
                <w:sz w:val="20"/>
              </w:rPr>
            </w:pPr>
            <w:r>
              <w:rPr>
                <w:sz w:val="20"/>
              </w:rPr>
              <w:t>&lt;/span&gt;&lt;/p&gt;&lt;p style="line-height:1.7999999999999998;margin-left: 113.5pt;margin-right: 7.3pt;margin-top:6pt;margin-bottom:0pt;" dir="ltr"&gt; &lt;span style="color: #000000; background-color: transparent; font-weight: 400; font-style: italic; font-variant: normal; text- decoration: none; vertical-align: baseline; white-space: pre-wrap;"&gt;</w:t>
              <w:tab/>
              <w:t>&lt;span style="font- size: medium;"&gt;</w:t>
              <w:tab/>
              <w:t>&lt;span style="font-size: medium;"&gt;</w:t>
              <w:tab/>
              <w:t>&lt;span style="font-family: &amp;quot;times new roman&amp;quot;, times;"&gt;§ 1º Caso não disponha das informações previstas no inciso II, poderá o autor, na petição inicial, requerer ao juiz diligências necessárias a sua obtenção.&lt;/span&gt;</w:t>
              <w:tab/>
              <w:t>&lt;/span&gt;</w:t>
              <w:tab/>
              <w:t>&lt;/span&gt; &lt;/span&gt;&lt;/p&gt;&lt;p style="line- height:1.7999999999999998;margin-left: 113.5pt;margin-right: 7.3pt;margin-top:6pt;margin- bottom:0pt;" dir="ltr"&gt; &lt;span style="color: #000000; background-color: transparent; font- weight: 400; font-style: italic; font-variant: normal; text-decoration: none; vertical-align: baseline; white-space: pre-wrap;"&gt;</w:t>
              <w:tab/>
              <w:tab/>
              <w:t>&lt;span style="font-size: medium;"&gt;</w:t>
              <w:tab/>
              <w:t>&lt;span style="font-size: medium;"&gt;</w:t>
              <w:tab/>
              <w:t>&lt;span style="font-family: &amp;quot;times new roman&amp;quot;, times;"&gt;§ 2º A petição inicial não será indeferida se, a despeito da falta de informações a que se refere o inciso II, for possível a citação do réu.&lt;/span&gt;</w:t>
              <w:tab/>
              <w:t>&lt;/span&gt;</w:t>
              <w:tab/>
              <w:tab/>
              <w:t>&lt;/span&gt;</w:t>
            </w:r>
          </w:p>
          <w:p>
            <w:pPr>
              <w:pStyle w:val="TableParagraph"/>
              <w:spacing w:line="208" w:lineRule="auto" w:before="0"/>
              <w:ind w:right="225"/>
              <w:rPr>
                <w:sz w:val="20"/>
              </w:rPr>
            </w:pPr>
            <w:r>
              <w:rPr>
                <w:sz w:val="20"/>
              </w:rPr>
              <w:t>&lt;/span&gt;&lt;/p&gt;&lt;p style="line-height:1.7999999999999998;margin-left: 113.5pt;margin-right: 7.35pt;text-align: justify;margin-top:6pt;margin-bottom:0pt;" dir="ltr"&gt; &lt;span style="color: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794" w:val="left" w:leader="none"/>
                <w:tab w:pos="6265" w:val="left" w:leader="none"/>
                <w:tab w:pos="7275" w:val="left" w:leader="none"/>
              </w:tabs>
              <w:spacing w:line="208" w:lineRule="auto" w:before="26"/>
              <w:ind w:right="282"/>
              <w:rPr>
                <w:sz w:val="20"/>
              </w:rPr>
            </w:pPr>
            <w:r>
              <w:rPr>
                <w:sz w:val="20"/>
              </w:rPr>
              <w:t>#000000; background-color: transparent; font-weight: 400; font-style: italic; font-variant: normal; text-decoration: none; vertical-align: baseline; white-space: pre-wrap;"&gt;</w:t>
              <w:tab/>
              <w:t>&lt;span style="font-size: medium;"&gt;</w:t>
              <w:tab/>
              <w:t>&lt;span style="font-size: medium;"&gt;</w:t>
              <w:tab/>
              <w:t>&lt;span </w:t>
            </w:r>
            <w:r>
              <w:rPr>
                <w:spacing w:val="-2"/>
                <w:sz w:val="20"/>
              </w:rPr>
              <w:t>style="font- </w:t>
            </w:r>
            <w:r>
              <w:rPr>
                <w:sz w:val="20"/>
              </w:rPr>
              <w:t>family: &amp;quot;times new roman&amp;quot;, times;"&gt;§ 3º A petição inicial não será indeferida pelo não atendimento ao disposto no inciso II deste artigo se a obtenção de tais informações tornar impossível ou excessivamente oneroso o acesso à justiça.&lt;/span&gt;</w:t>
            </w:r>
          </w:p>
          <w:p>
            <w:pPr>
              <w:pStyle w:val="TableParagraph"/>
              <w:tabs>
                <w:tab w:pos="985" w:val="left" w:leader="none"/>
                <w:tab w:pos="1550" w:val="left" w:leader="none"/>
                <w:tab w:pos="1861" w:val="left" w:leader="none"/>
                <w:tab w:pos="5332" w:val="left" w:leader="none"/>
                <w:tab w:pos="5406" w:val="left" w:leader="none"/>
              </w:tabs>
              <w:spacing w:line="208" w:lineRule="auto" w:before="0"/>
              <w:ind w:right="543"/>
              <w:rPr>
                <w:sz w:val="20"/>
              </w:rPr>
            </w:pPr>
            <w:r>
              <w:rPr>
                <w:sz w:val="20"/>
              </w:rPr>
              <w:t>&lt;/span&gt;</w:t>
              <w:tab/>
              <w:t>&lt;/span&gt; &lt;/span&gt;&lt;/p&gt;&lt;p style="text-indent: 8%; text-align: justify;"&gt; </w:t>
            </w:r>
            <w:r>
              <w:rPr>
                <w:spacing w:val="-4"/>
                <w:sz w:val="20"/>
              </w:rPr>
              <w:t>&lt;span </w:t>
            </w:r>
            <w:r>
              <w:rPr>
                <w:sz w:val="20"/>
              </w:rPr>
              <w:t>style="font-family: &amp;quot;times new roman&amp;quot;, times;"&gt;</w:t>
              <w:tab/>
              <w:tab/>
              <w:t>&lt;strong style="font- weight:normal;"&gt;</w:t>
              <w:tab/>
              <w:tab/>
              <w:t>&lt;span style="font-size: medium;"&gt;</w:t>
              <w:tab/>
              <w:t>&lt;span style="font-size: medium;"&gt;</w:t>
              <w:tab/>
              <w:t>&lt;span style="font-family: &amp;quot;times new roman&amp;quot;, times;"&gt;</w:t>
            </w:r>
          </w:p>
          <w:p>
            <w:pPr>
              <w:pStyle w:val="TableParagraph"/>
              <w:tabs>
                <w:tab w:pos="1118" w:val="left" w:leader="none"/>
                <w:tab w:pos="1794" w:val="left" w:leader="none"/>
                <w:tab w:pos="2285" w:val="left" w:leader="none"/>
                <w:tab w:pos="3341" w:val="left" w:leader="none"/>
                <w:tab w:pos="4286" w:val="left" w:leader="none"/>
                <w:tab w:pos="5266" w:val="left" w:leader="none"/>
                <w:tab w:pos="5598" w:val="left" w:leader="none"/>
                <w:tab w:pos="6164" w:val="left" w:leader="none"/>
                <w:tab w:pos="6544" w:val="left" w:leader="none"/>
              </w:tabs>
              <w:spacing w:line="208" w:lineRule="auto" w:before="0"/>
              <w:ind w:right="142"/>
              <w:rPr>
                <w:sz w:val="20"/>
              </w:rPr>
            </w:pPr>
            <w:r>
              <w:rPr>
                <w:sz w:val="20"/>
              </w:rPr>
              <w:t>&lt;br /&gt;</w:t>
              <w:tab/>
              <w:t>&lt;/span&gt;</w:t>
              <w:tab/>
              <w:t>&lt;/span&gt;</w:t>
              <w:tab/>
              <w:t>&lt;/span&gt;</w:t>
              <w:tab/>
              <w:t>&lt;/strong&gt; &lt;/span&gt;&lt;/p&gt;&lt;p style="line- height:1.7999999999999998;margin-left: 113.5pt;margin-right: 7.3pt;text-align: justify;margin-top:6pt;margin-bottom:0pt;" dir="ltr"&gt; &lt;span style="color: #000000; background-color: transparent; font-weight: 700; font-style: italic; font-variant: normal; </w:t>
            </w:r>
            <w:r>
              <w:rPr>
                <w:spacing w:val="-4"/>
                <w:sz w:val="20"/>
              </w:rPr>
              <w:t>text- </w:t>
            </w:r>
            <w:r>
              <w:rPr>
                <w:sz w:val="20"/>
              </w:rPr>
              <w:t>decoration: none; vertical-align: baseline; white-space: pre-wrap;"&gt;</w:t>
              <w:tab/>
              <w:t>&lt;span style="font- size: medium;"&gt;</w:t>
              <w:tab/>
              <w:t>&lt;span style="font-size: medium;"&gt;</w:t>
              <w:tab/>
              <w:t>&lt;span style="font-family: &amp;quot;times new roman&amp;quot;, times;"&gt;Art. 320. A petição inicial será instruída com os documentos indispensáveis à propositura da ação.&lt;/span&gt;</w:t>
              <w:tab/>
              <w:tab/>
              <w:t>&lt;/span&gt;</w:t>
              <w:tab/>
              <w:t>&lt;/span&gt;</w:t>
            </w:r>
          </w:p>
          <w:p>
            <w:pPr>
              <w:pStyle w:val="TableParagraph"/>
              <w:tabs>
                <w:tab w:pos="2905" w:val="left" w:leader="none"/>
                <w:tab w:pos="3773" w:val="left" w:leader="none"/>
                <w:tab w:pos="4851" w:val="left" w:leader="none"/>
                <w:tab w:pos="5929" w:val="left" w:leader="none"/>
                <w:tab w:pos="6487" w:val="left" w:leader="none"/>
                <w:tab w:pos="7097" w:val="left" w:leader="none"/>
                <w:tab w:pos="7322" w:val="left" w:leader="none"/>
              </w:tabs>
              <w:spacing w:line="208" w:lineRule="auto" w:before="0"/>
              <w:ind w:right="60"/>
              <w:rPr>
                <w:sz w:val="20"/>
              </w:rPr>
            </w:pPr>
            <w:r>
              <w:rPr>
                <w:sz w:val="20"/>
              </w:rPr>
              <w:t>&lt;/span&gt;&lt;/p&gt;&lt;p style="text-indent: 8%; text-align: justify;"&gt; &lt;span style="font-family: &amp;quot;times new roman&amp;quot;, times;"&gt;</w:t>
              <w:tab/>
              <w:t>&lt;strong style="font-weight:normal;"&gt;</w:t>
              <w:tab/>
              <w:tab/>
              <w:t>&lt;span style="font-size: medium;"&gt;</w:t>
              <w:tab/>
              <w:t>&lt;span style="font-size: medium;"&gt;</w:t>
              <w:tab/>
              <w:t>&lt;span </w:t>
            </w:r>
            <w:r>
              <w:rPr>
                <w:spacing w:val="-2"/>
                <w:sz w:val="20"/>
              </w:rPr>
              <w:t>style="font- </w:t>
            </w:r>
            <w:r>
              <w:rPr>
                <w:sz w:val="20"/>
              </w:rPr>
              <w:t>family: &amp;quot;times new roman&amp;quot;, times;"&gt;</w:t>
              <w:tab/>
              <w:t>&lt;br /&gt;</w:t>
              <w:tab/>
              <w:t>&lt;/span&gt;</w:t>
              <w:tab/>
              <w:t>&lt;/span&gt;</w:t>
            </w:r>
          </w:p>
          <w:p>
            <w:pPr>
              <w:pStyle w:val="TableParagraph"/>
              <w:tabs>
                <w:tab w:pos="985" w:val="left" w:leader="none"/>
                <w:tab w:pos="1683" w:val="left" w:leader="none"/>
                <w:tab w:pos="3884" w:val="left" w:leader="none"/>
                <w:tab w:pos="5043" w:val="left" w:leader="none"/>
                <w:tab w:pos="6886" w:val="left" w:leader="none"/>
              </w:tabs>
              <w:spacing w:line="208" w:lineRule="auto" w:before="0"/>
              <w:ind w:right="27"/>
              <w:rPr>
                <w:sz w:val="20"/>
              </w:rPr>
            </w:pPr>
            <w:r>
              <w:rPr>
                <w:sz w:val="20"/>
              </w:rPr>
              <w:t>&lt;/span&gt;</w:t>
              <w:tab/>
              <w:t>&lt;/strong&gt; &lt;/span&gt;&lt;/p&gt;&lt;p style="line-height:1.7999999999999998;text-indent: 56.7pt;text-align: justify;margin-top:6pt;margin-bottom:0pt;" dir="ltr"&gt; &lt;span style="font- size: medium;"&gt;</w:t>
              <w:tab/>
              <w:t>&lt;span style="font-size: medium;"&gt;</w:t>
              <w:tab/>
              <w:t>&lt;span style="font-family: &amp;quot;times new roman&amp;quot;, times;"&gt;</w:t>
              <w:tab/>
              <w:t>&lt;span style="color: #000000; background-color: transparent; font-weight: 400; font-style: normal; font-variant: normal; text-decoration: none; vertical-align: baseline; white-space: pre-wrap;"&gt;Nesse contexto,&lt;/span&gt;</w:t>
              <w:tab/>
              <w:t>&lt;span style="color: #000000; background-color: transparent; font-weight: 700; font-style: normal; font-variant: normal; text-decoration: none; vertical-align: baseline; white-space: pre- wrap;"&gt;impõe-se reconhecer que o autor/apelante, cumpriu as formalidades legais exigidas pelo art. 319 do CPC, bem como, instruiu a inicial com o mínimo de provas dos fatos constitutivos de seu direito, conforme previsto no art. 320, CPC.&lt;/span&gt;&lt;/span&gt;</w:t>
            </w:r>
          </w:p>
          <w:p>
            <w:pPr>
              <w:pStyle w:val="TableParagraph"/>
              <w:tabs>
                <w:tab w:pos="1829" w:val="left" w:leader="none"/>
                <w:tab w:pos="2017" w:val="left" w:leader="none"/>
                <w:tab w:pos="2774" w:val="left" w:leader="none"/>
                <w:tab w:pos="2860" w:val="left" w:leader="none"/>
                <w:tab w:pos="6265" w:val="left" w:leader="none"/>
                <w:tab w:pos="6332" w:val="left" w:leader="none"/>
                <w:tab w:pos="6553" w:val="left" w:leader="none"/>
                <w:tab w:pos="6878" w:val="left" w:leader="none"/>
              </w:tabs>
              <w:spacing w:line="208" w:lineRule="auto" w:before="0"/>
              <w:ind w:right="215"/>
              <w:rPr>
                <w:sz w:val="20"/>
              </w:rPr>
            </w:pPr>
            <w:r>
              <w:rPr>
                <w:sz w:val="20"/>
              </w:rPr>
              <w:t>&lt;/span&gt; &lt;/span&gt;&lt;/p&gt;&lt;p style="line-height:1.7999999999999998;text-indent: 56.7pt;text- align: justify;margin-top:6pt;margin-bottom:0pt;" dir="ltr"&gt; &lt;span style="color: #000000; background-color: transparent; font-weight: 400; font-style: normal; font-variant: normal; text-decoration: none; vertical-align: baseline; white-space: pre-wrap;"&gt;</w:t>
              <w:tab/>
              <w:tab/>
              <w:t>&lt;span style="font-size: medium;"&gt;</w:t>
              <w:tab/>
              <w:t>&lt;span style="font-size: medium;"&gt;</w:t>
              <w:tab/>
              <w:t>&lt;span style="font- family: &amp;quot;times new roman&amp;quot;, times;"&gt;Destaco precedentes de casos similares. Veja-se:&lt;/span&gt;</w:t>
              <w:tab/>
              <w:t>&lt;/span&gt;</w:t>
              <w:tab/>
              <w:t>&lt;/span&gt; &lt;/span&gt;&lt;/p&gt;&lt;p style="text-indent: 8%; text-align: justify;"&gt;  &lt;span style="font-family: &amp;quot;times new roman&amp;quot;, times;"&gt;</w:t>
              <w:tab/>
              <w:t>&lt;strong style="font-weight:normal;"&gt;</w:t>
              <w:tab/>
              <w:tab/>
              <w:t>&lt;span style="font-size: medium;"&gt;</w:t>
              <w:tab/>
              <w:tab/>
              <w:t>&lt;span </w:t>
            </w:r>
            <w:r>
              <w:rPr>
                <w:spacing w:val="-2"/>
                <w:sz w:val="20"/>
              </w:rPr>
              <w:t>style="font- </w:t>
            </w:r>
            <w:r>
              <w:rPr>
                <w:sz w:val="20"/>
              </w:rPr>
              <w:t>size: medium;"&gt;</w:t>
              <w:tab/>
              <w:tab/>
              <w:t>&lt;span style="font-family: &amp;quot;times new roman&amp;quot;, times;"&gt;</w:t>
            </w:r>
          </w:p>
          <w:p>
            <w:pPr>
              <w:pStyle w:val="TableParagraph"/>
              <w:tabs>
                <w:tab w:pos="1118" w:val="left" w:leader="none"/>
                <w:tab w:pos="2285" w:val="left" w:leader="none"/>
                <w:tab w:pos="3341" w:val="left" w:leader="none"/>
                <w:tab w:pos="4286" w:val="left" w:leader="none"/>
              </w:tabs>
              <w:spacing w:line="208" w:lineRule="auto" w:before="0"/>
              <w:ind w:right="56"/>
              <w:rPr>
                <w:sz w:val="20"/>
              </w:rPr>
            </w:pPr>
            <w:r>
              <w:rPr>
                <w:sz w:val="20"/>
              </w:rPr>
              <w:t>&lt;br /&gt;</w:t>
              <w:tab/>
              <w:t>&lt;/span&gt;</w:t>
              <w:tab/>
              <w:t>&lt;/span&gt;</w:t>
              <w:tab/>
              <w:t>&lt;/span&gt;</w:t>
              <w:tab/>
              <w:t>&lt;/strong&gt; &lt;/span&gt;&lt;/p&gt;&lt;p style="line- height:1.7999999999999998;margin-left: 113.4pt;text-align: justify;margin-top:6pt;margin- bottom:0pt;" dir="ltr"&gt;&lt;span style="font-size: medium;"&gt; &lt;span style="font-size:</w:t>
            </w:r>
            <w:r>
              <w:rPr>
                <w:spacing w:val="-17"/>
                <w:sz w:val="20"/>
              </w:rPr>
              <w:t> </w:t>
            </w:r>
            <w:r>
              <w:rPr>
                <w:sz w:val="20"/>
              </w:rPr>
              <w:t>medium;"&gt;</w:t>
            </w:r>
          </w:p>
          <w:p>
            <w:pPr>
              <w:pStyle w:val="TableParagraph"/>
              <w:tabs>
                <w:tab w:pos="6012" w:val="left" w:leader="none"/>
              </w:tabs>
              <w:spacing w:line="208" w:lineRule="auto" w:before="0"/>
              <w:ind w:right="53"/>
              <w:rPr>
                <w:sz w:val="20"/>
              </w:rPr>
            </w:pPr>
            <w:r>
              <w:rPr>
                <w:sz w:val="20"/>
              </w:rPr>
              <w:t>&lt;span style="font-family: &amp;quot;times new roman&amp;quot;, times;"&gt;</w:t>
              <w:tab/>
              <w:t>&lt;span style="color: #000000; background-color: #ffffff; font-weight: 400; font-style: normal; font-variant: </w:t>
            </w:r>
            <w:r>
              <w:rPr>
                <w:spacing w:val="-3"/>
                <w:sz w:val="20"/>
              </w:rPr>
              <w:t>normal; </w:t>
            </w:r>
            <w:r>
              <w:rPr>
                <w:sz w:val="20"/>
              </w:rPr>
              <w:t>text-decoration: none; vertical-align: baseline; white-space: pre-wrap;"&gt;DIREITO PROCESSUAL CIVIL. AGRAVO DE INSTRUMENTO. EMPRÉSTIMO CONSIGNADO. DESNECESSIDADE DE REQUERIMENTO PRÉVIO DO CONTRATO JUNTO A</w:t>
            </w:r>
          </w:p>
          <w:p>
            <w:pPr>
              <w:pStyle w:val="TableParagraph"/>
              <w:tabs>
                <w:tab w:pos="3440" w:val="left" w:leader="none"/>
              </w:tabs>
              <w:spacing w:line="208" w:lineRule="auto" w:before="0"/>
              <w:ind w:right="344"/>
              <w:rPr>
                <w:sz w:val="20"/>
              </w:rPr>
            </w:pPr>
            <w:r>
              <w:rPr>
                <w:sz w:val="20"/>
              </w:rPr>
              <w:t>INSTITUIÇÃO BANCÁRIA,&lt;/span&gt;</w:t>
              <w:tab/>
              <w:t>&lt;span style="color: #000000; background-color: #ffffff; font-weight: 700; font-style: normal; font-variant: normal; text-decoration: none; vertical-align: baseline; white-space: pre-wrap;"&gt;EXCESSO DE FORMALISMO. VIOLAÇÃO AO PRINCÍPIOS DO LIVRE ACESSO À JUSTIÇA. PETIÇÃO INICIAL </w:t>
            </w:r>
            <w:r>
              <w:rPr>
                <w:spacing w:val="-6"/>
                <w:sz w:val="20"/>
              </w:rPr>
              <w:t>QUE </w:t>
            </w:r>
            <w:r>
              <w:rPr>
                <w:sz w:val="20"/>
              </w:rPr>
              <w:t>ATENDE AOS REQUISITOS PREVISTOS NOS ARTS. 319 E 320 DO CPC.&lt;/span&gt;</w:t>
            </w:r>
          </w:p>
          <w:p>
            <w:pPr>
              <w:pStyle w:val="TableParagraph"/>
              <w:tabs>
                <w:tab w:pos="3485" w:val="left" w:leader="none"/>
                <w:tab w:pos="5884" w:val="left" w:leader="none"/>
              </w:tabs>
              <w:spacing w:line="208" w:lineRule="auto" w:before="0"/>
              <w:ind w:right="53"/>
              <w:rPr>
                <w:sz w:val="20"/>
              </w:rPr>
            </w:pPr>
            <w:r>
              <w:rPr>
                <w:sz w:val="20"/>
              </w:rPr>
              <w:t>&lt;span style="color: #000000; background-color: #ffffff; font-weight: 400; font-style: normal; font-variant: normal; text-decoration: none; vertical-align: baseline; white-space: pre- wrap;"&gt;DEMANDA POTENCIALMENTE TEMERÁRIA.&lt;/span&gt;</w:t>
              <w:tab/>
              <w:t>&lt;span style="color: #000000; background-color: #ffffff; font-weight: 700; font-style: normal; font-variant: </w:t>
            </w:r>
            <w:r>
              <w:rPr>
                <w:spacing w:val="-3"/>
                <w:sz w:val="20"/>
              </w:rPr>
              <w:t>normal; </w:t>
            </w:r>
            <w:r>
              <w:rPr>
                <w:sz w:val="20"/>
              </w:rPr>
              <w:t>text-decoration: none; vertical-align: baseline; white-space: pre-wrap;"&gt;RECURSO CONHECIDO E PROVIDO.&lt;/span&gt;</w:t>
              <w:tab/>
              <w:t>&lt;span style="color: #000000; background-color: #ffffff; font-weight: 400; font-style: normal; font-variant: normal; text-decoration: none; vertical-align: baseline; white-space: pre-wrap;"&gt;I. Caso em exame: 1. Trata-se de Agravo de Instrumento interposto visando a reforma de decisão proferida nos autos da ação de nulidade c/c pedido de danos materiais e morais c/c pedido de tutela antecipada, em trâmite perante a Vara Única da Comarca de Paracuru -CE. II. Questão em discussão: 2. O cerne da controvérsia consiste em avaliar a necessidade do requerimento prévio do contrato junto a instituição bancária para o devido prosseguimento da ação. III. Razões de decidir: 3. Diversamente da fundamentação apresentada pelo juízo singular, é</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desnecessário e inapropriado determinar a comprovação de prévio requerimento administrativo, como uma condição de procedibilidade da demanda judicial. 4. Nesse aspecto, determinar o indeferimento da inicial por ausência do requerimento prévio do contrato à instituição bancária caracteriza formalismo exacerbado e desnecessário, em nítido prejuízo aos princípios da primazia de julgamento de mérito e de acesso à justiça. 5. Destaca-se que no caso concreto, embora a motivação do Magistrado para referida solicitação seja a suspeita de demanda temerária diante das inconsistências da situação (patrono que advoga de outro Estado, ausência de comprovante de residência em nome do autor, documentos assinados digitalmente, etc.), repisa-se que há outras formas de aferir a regularidade da demanda como a realização de audiência, por exemplo, em que </w:t>
            </w:r>
            <w:r>
              <w:rPr>
                <w:spacing w:val="-9"/>
                <w:sz w:val="20"/>
              </w:rPr>
              <w:t>se </w:t>
            </w:r>
            <w:r>
              <w:rPr>
                <w:sz w:val="20"/>
              </w:rPr>
              <w:t>verificará a idoneidade da parte e seu efetivo interesse em prosseguir com a ação. IV. Dispositivo e tese: Recurso conhecido e provido. Tese de julgamento: ¿Em ação de contestação de empréstimo consignado, faz-se desnecessário e inapropriado determinar o requerimento prévio do contrato junto a instituição bancária como uma condição de procedibilidade da demanda judicial¿ Dispositivos relevantes citados: CPC, arts. 319 e 320.&lt;/span&gt;&lt;/span&gt; &lt;/span&gt;&lt;/span&gt; &lt;span style="font-family: &amp;quot;times new roman&amp;quot;, times; font-size: medium; white-space-collapse: preserve;"&gt;(Agravo de Instrumento&amp;#160;- 0629000-17.2024.8.06.0000, Rel. Desembargador FRANCISCO LUCÍDIO DE QUEIROZ JÚNIOR, 3ª Câmara Direito Privado, data do julgamento:&amp;#160; 18/12/2024, data da publicação:&amp;#160; 18/12/2024)&lt;/span&gt;&lt;/p&gt;&lt;p style="text-indent: 8%; text-align: justify;"&gt; &lt;span style="font-family: &amp;quot;times new roman&amp;quot;, times;"&gt;</w:t>
            </w:r>
          </w:p>
          <w:p>
            <w:pPr>
              <w:pStyle w:val="TableParagraph"/>
              <w:tabs>
                <w:tab w:pos="1327" w:val="left" w:leader="none"/>
                <w:tab w:pos="1427" w:val="left" w:leader="none"/>
                <w:tab w:pos="2506" w:val="left" w:leader="none"/>
                <w:tab w:pos="3016" w:val="left" w:leader="none"/>
                <w:tab w:pos="3589" w:val="left" w:leader="none"/>
                <w:tab w:pos="3673" w:val="left" w:leader="none"/>
                <w:tab w:pos="4729" w:val="left" w:leader="none"/>
                <w:tab w:pos="5610" w:val="left" w:leader="none"/>
                <w:tab w:pos="5674" w:val="left" w:leader="none"/>
                <w:tab w:pos="7060" w:val="left" w:leader="none"/>
              </w:tabs>
              <w:spacing w:line="208" w:lineRule="auto" w:before="0"/>
              <w:ind w:right="111"/>
              <w:rPr>
                <w:sz w:val="20"/>
              </w:rPr>
            </w:pPr>
            <w:r>
              <w:rPr>
                <w:sz w:val="20"/>
              </w:rPr>
              <w:t>&lt;strong style="font-weight:normal;"&gt;</w:t>
              <w:tab/>
              <w:t>&lt;span style="font-size: medium;"&gt;</w:t>
              <w:tab/>
              <w:t>&lt;span style="font-size: medium;"&gt;</w:t>
              <w:tab/>
              <w:tab/>
              <w:t>&lt;span style="font-family: &amp;quot;times new roman&amp;quot;, times;"&gt;</w:t>
              <w:tab/>
              <w:tab/>
              <w:t>&lt;br /&gt;</w:t>
              <w:tab/>
              <w:t>&lt;/span&gt;</w:t>
              <w:tab/>
              <w:tab/>
              <w:t>&lt;/span&gt;</w:t>
              <w:tab/>
              <w:t>&lt;/span&gt;</w:t>
              <w:tab/>
              <w:tab/>
              <w:t>&lt;/strong&gt; &lt;/span&gt;&lt;/p&gt;&lt;p style="line-height:1.7999999999999998;margin-left: 113.4pt;text-align: justify;margin- top:6pt;margin-bottom:0pt;" dir="ltr"&gt;&amp;#160;&lt;/p&gt;&lt;p style="line- height:1.7999999999999998;margin-left: 113.4pt;text-align: justify;margin-top:6pt;margin- bottom:0pt;" dir="ltr"&gt;&lt;span style="color: #000000; background-color: #ffffff; font-weight: 400; font-style: normal; font-variant: normal; text-decoration: none; vertical-align: baseline; white-space: pre-wrap;"&gt;  &lt;span style="font-size: medium;"&gt;</w:t>
              <w:tab/>
              <w:t>&lt;span style="font-size: medium;"&gt;</w:t>
              <w:tab/>
              <w:t>&lt;span style="font-family: &amp;quot;times new roman&amp;quot;, times;"&gt;DIREITO CIVIL. APELAÇÃO. AÇÃO DE INDENIZAÇÃO POR DANOS MATERIAIS. VIOLAÇÃO A DIREITO AUTORAL. PROGRAMA DE COMPUTADOR. PEDIDO GENÉRICO. INÉPCIA DA INICIAL. EXCESSO DE FORMALISMO. NECESSIDADE DE INTERPRETAÇÃO </w:t>
            </w:r>
            <w:r>
              <w:rPr>
                <w:spacing w:val="-6"/>
                <w:sz w:val="20"/>
              </w:rPr>
              <w:t>COM</w:t>
            </w:r>
          </w:p>
          <w:p>
            <w:pPr>
              <w:pStyle w:val="TableParagraph"/>
              <w:tabs>
                <w:tab w:pos="1439" w:val="left" w:leader="none"/>
                <w:tab w:pos="2239" w:val="left" w:leader="none"/>
                <w:tab w:pos="3464" w:val="left" w:leader="none"/>
                <w:tab w:pos="4218" w:val="left" w:leader="none"/>
                <w:tab w:pos="5021" w:val="left" w:leader="none"/>
                <w:tab w:pos="5296" w:val="left" w:leader="none"/>
                <w:tab w:pos="5788" w:val="left" w:leader="none"/>
                <w:tab w:pos="6463" w:val="left" w:leader="none"/>
              </w:tabs>
              <w:spacing w:line="208" w:lineRule="auto" w:before="0"/>
              <w:ind w:right="52"/>
              <w:rPr>
                <w:sz w:val="20"/>
              </w:rPr>
            </w:pPr>
            <w:r>
              <w:rPr>
                <w:sz w:val="20"/>
              </w:rPr>
              <w:t>BASE NA BOA-FÉ. I. Caso em exame 1. Apelação cível em face de sentença que extinguiu o processo, sem resolução do mérito, nos autos de ação de indenização por danos aos direito autorais. II. Questão em discussão 2. A questão em discussão consiste em decidir se houve correta extinção do processo, sem resolução do mérito, por conta o aspecto genérico do pedido. III. Razões de decidir 3. A sistemática processual determina que o juízo interprete o pedido considerando a petição inicial em conjunto, com base na boa-fé. O pedido e seu montante se podem deduzir dos valores apresentados na causa </w:t>
            </w:r>
            <w:r>
              <w:rPr>
                <w:spacing w:val="-9"/>
                <w:sz w:val="20"/>
              </w:rPr>
              <w:t>de </w:t>
            </w:r>
            <w:r>
              <w:rPr>
                <w:sz w:val="20"/>
              </w:rPr>
              <w:t>pedir, além do valor atribuído à causa, de modo que a extinção do processo se mostra tomada em excessivo rigor formal, devendo ser anulada. IV. Dispositivo e tese 4. Recurso conhecido e provido.&amp;#160;&lt;/span&gt;</w:t>
              <w:tab/>
              <w:t>&lt;/span&gt; &lt;/span&gt;&lt;/span&gt; &lt;span style="font-family: &amp;quot;times new roman&amp;quot;, times; font-size: medium; white-space-collapse: preserve;"&gt;(Apelação Cível&amp;#160;- 0124254-39.2019.8.06.0001, Rel. Desembargador(a) PAULO AIRTON ALBUQUERQUE FILHO, 2ª Câmara Direito Privado, data do julgamento:&amp;#160; 18/06/2025, data da publicação:&amp;#160; 18/06/2025).&lt;/span&gt;&lt;/p&gt;&lt;p style="text-indent: 8%; text-align: justify;"&gt; &lt;span style="font-family: &amp;quot;times new roman&amp;quot;, times;"&gt;</w:t>
              <w:tab/>
              <w:t>&lt;strong style="font-weight:normal;"&gt;</w:t>
              <w:tab/>
              <w:t>&lt;span style="font-size: medium;"&gt;</w:t>
              <w:tab/>
              <w:t>&lt;span style="font-size: medium;"&gt;</w:t>
              <w:tab/>
              <w:t>&lt;span style="font-family: &amp;quot;times new roman&amp;quot;, times;"&gt;</w:t>
              <w:tab/>
              <w:t>&lt;br /&gt;</w:t>
              <w:tab/>
              <w:tab/>
              <w:t>&lt;/span&gt;</w:t>
              <w:tab/>
              <w:t>&lt;/span&gt;</w:t>
            </w:r>
          </w:p>
          <w:p>
            <w:pPr>
              <w:pStyle w:val="TableParagraph"/>
              <w:tabs>
                <w:tab w:pos="985" w:val="left" w:leader="none"/>
                <w:tab w:pos="1327" w:val="left" w:leader="none"/>
                <w:tab w:pos="2462" w:val="left" w:leader="none"/>
                <w:tab w:pos="2794" w:val="left" w:leader="none"/>
                <w:tab w:pos="3019" w:val="left" w:leader="none"/>
                <w:tab w:pos="3062" w:val="left" w:leader="none"/>
                <w:tab w:pos="3964" w:val="left" w:leader="none"/>
                <w:tab w:pos="4852" w:val="left" w:leader="none"/>
                <w:tab w:pos="5291" w:val="left" w:leader="none"/>
                <w:tab w:pos="5811" w:val="left" w:leader="none"/>
                <w:tab w:pos="6265" w:val="left" w:leader="none"/>
                <w:tab w:pos="7275" w:val="left" w:leader="none"/>
                <w:tab w:pos="7411" w:val="left" w:leader="none"/>
              </w:tabs>
              <w:spacing w:line="208" w:lineRule="auto" w:before="0"/>
              <w:ind w:right="68"/>
              <w:rPr>
                <w:sz w:val="20"/>
              </w:rPr>
            </w:pPr>
            <w:r>
              <w:rPr>
                <w:sz w:val="20"/>
              </w:rPr>
              <w:t>&lt;/span&gt;</w:t>
              <w:tab/>
              <w:t>&lt;/strong&gt; &lt;/span&gt;&lt;/p&gt;&lt;p style="line-height:1.7999999999999998;text-indent: 56.7pt;text-align: justify;margin-top:6pt;margin-bottom:0pt;" dir="ltr"&gt; &lt;span style="color: #000000; background-color: transparent; font-weight: 400; font-style: normal; font-variant: normal; text-decoration: none; vertical-align: baseline; white-space: pre-wrap;"&gt;</w:t>
              <w:tab/>
              <w:t>&lt;span style="font-size: medium;"&gt;</w:t>
              <w:tab/>
              <w:tab/>
              <w:t>&lt;span style="font-size: medium;"&gt;</w:t>
              <w:tab/>
              <w:t>&lt;span style="font- family: &amp;quot;times new roman&amp;quot;, times;"&gt;Portanto, a manutenção da decisão impugnada implicaria em ofensa ao princípio do acesso à justiça e da primazia do julgamento do mérito.&lt;/span&gt;</w:t>
              <w:tab/>
              <w:tab/>
              <w: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tab/>
              <w:t>&lt;span style="color: #000000; background-color: transparent; font-weight: 400; font-style: normal; font-variant: normal; text-decoration: none; vertical-align: baseline; white-space: pre- wrap;"&gt;&amp;#160;&lt;/span&gt;</w:t>
              <w:tab/>
              <w:t>&lt;strong style="text-indent: 8%;"&gt;</w:t>
              <w:tab/>
              <w:t>&lt;span style="font-size: large;"&gt;DISPOSITIVO&lt;/span&gt;</w:t>
              <w:tab/>
              <w:tab/>
              <w:tab/>
              <w:t>&lt;/strong&gt;&lt;/span&gt;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tab/>
            </w:r>
            <w:r>
              <w:rPr>
                <w:spacing w:val="-3"/>
                <w:sz w:val="20"/>
              </w:rPr>
              <w:t>&lt;strong</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0201256-38.2024.8.06.0154</w:t>
            </w:r>
          </w:p>
        </w:tc>
      </w:tr>
      <w:tr>
        <w:trPr>
          <w:trHeight w:val="9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27" w:val="left" w:leader="none"/>
                <w:tab w:pos="1550" w:val="left" w:leader="none"/>
                <w:tab w:pos="2074" w:val="left" w:leader="none"/>
                <w:tab w:pos="2384" w:val="left" w:leader="none"/>
                <w:tab w:pos="3019" w:val="left" w:leader="none"/>
                <w:tab w:pos="3130" w:val="left" w:leader="none"/>
                <w:tab w:pos="3508" w:val="left" w:leader="none"/>
                <w:tab w:pos="4017" w:val="left" w:leader="none"/>
                <w:tab w:pos="4264" w:val="left" w:leader="none"/>
                <w:tab w:pos="4453" w:val="left" w:leader="none"/>
                <w:tab w:pos="4841" w:val="left" w:leader="none"/>
                <w:tab w:pos="5021" w:val="left" w:leader="none"/>
                <w:tab w:pos="5291" w:val="left" w:leader="none"/>
                <w:tab w:pos="5351" w:val="left" w:leader="none"/>
                <w:tab w:pos="5986" w:val="left" w:leader="none"/>
                <w:tab w:pos="6178" w:val="left" w:leader="none"/>
                <w:tab w:pos="7522" w:val="left" w:leader="none"/>
              </w:tabs>
              <w:spacing w:line="208" w:lineRule="auto" w:before="26"/>
              <w:ind w:right="77"/>
              <w:rPr>
                <w:sz w:val="20"/>
              </w:rPr>
            </w:pPr>
            <w:r>
              <w:rPr>
                <w:sz w:val="20"/>
              </w:rPr>
              <w:t>style="font-family: &amp;quot;times new roman&amp;quot;, times; font-size: small; text-indent: 8%;"&gt;&amp;#160;&lt;/strong&gt;</w:t>
              <w:tab/>
              <w:tab/>
              <w:t>&lt;span style="font-variant-numeric: normal; font-variant-east- asian: normal; font-variant-alternates: normal; font-variant-position: normal; font-variant- emoji: normal; vertical-align: baseline; white-space-collapse: preserve;"&gt;Diante do que acima foi exposto e fundamentado,&lt;/span&gt;</w:t>
              <w:tab/>
              <w:tab/>
              <w:t>&lt;span style="font-weight: 700; font-variant- numeric: normal; font-variant-east-asian: normal; font-variant-alternates: normal; font- variant-position: normal; font-variant-emoji: normal; vertical-align: baseline; white-space- collapse: preserve;"&gt;CONHEÇO&lt;/span&gt;</w:t>
              <w:tab/>
              <w:t>&lt;span style="background-color: transparent; font-variant-numeric: normal; font-variant-east-asian: normal; font-variant-alternates: normal; font-variant-position: normal; font-variant-emoji: normal; vertical-align: baseline; white-space-collapse: preserve;"&gt;do presente recurso,&lt;/span&gt;</w:t>
              <w:tab/>
              <w:t>&lt;span style="font- variant-numeric: normal; font-variant-east-asian: normal; font-variant-alternates: normal; font-variant-position: normal; font-variant-emoji: normal; vertical-align: baseline; white- space-collapse: preserve;"&gt;para&lt;/span&gt;</w:t>
              <w:tab/>
              <w:t>&lt;span style="font-weight: 700; font-variant- numeric: normal; font-variant-east-asian: normal; font-variant-alternates: normal; font- variant-position: normal; font-variant-emoji: normal; vertical-align: baseline; white-space- collapse: preserve;"&gt;DAR-LHE PROVIMENTO,&lt;/span&gt;</w:t>
              <w:tab/>
              <w:tab/>
              <w:tab/>
              <w:t>&lt;span style="font-variant- numeric: normal; font-variant-east-asian: normal; font-variant-alternates: normal; font- variant-position: normal; font-variant-emoji: normal; vertical-align: baseline; white-space- collapse: preserve;"&gt;anulando a sentença recorrida em todos os seus termos e determinando o retorno dos autos à comarca de origem para o seu regular processamento.&lt;/span&gt;&lt;/span&gt;</w:t>
              <w:tab/>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r>
            <w:r>
              <w:rPr>
                <w:spacing w:val="-3"/>
                <w:sz w:val="20"/>
              </w:rPr>
              <w:t>&lt;span </w:t>
            </w:r>
            <w:r>
              <w:rPr>
                <w:sz w:val="20"/>
              </w:rPr>
              <w:t>style="font-variant-numeric: normal; font-variant-east-asian: normal; font-variant-alternates: normal; font-variant-position: normal; font-variant-emoji: normal; vertical-align: baseline; white-space-collapse: preserve;"&gt;&amp;#160;&lt;/span&gt;</w:t>
              <w:tab/>
              <w:tab/>
              <w:t>&lt;span style="text-indent: 8%;"&gt;É como voto.&lt;/span&gt;</w:t>
              <w:tab/>
              <w:t>&lt;/span&gt;</w:t>
              <w:tab/>
              <w:t>&lt;/span&gt; &lt;/span&gt;&lt;/p&gt;&lt;p style="line- height:1.7999999999999998;text-indent: 56.7pt;text-align: justify;margin-top:6pt;margin- bottom:0pt;" dir="ltr"&gt;  &lt;span style="font-size: medium;"&gt;</w:t>
              <w:tab/>
              <w:t>&lt;span style="font-size: medium;"&gt;</w:t>
              <w:tab/>
              <w:t>&lt;span style="font-family: &amp;quot;times new roman&amp;quot;, times;"&gt;</w:t>
              <w:tab/>
            </w:r>
            <w:r>
              <w:rPr>
                <w:spacing w:val="-3"/>
                <w:sz w:val="20"/>
              </w:rPr>
              <w:t>&lt;span </w:t>
            </w:r>
            <w:r>
              <w:rPr>
                <w:sz w:val="20"/>
              </w:rPr>
              <w:t>style="text-indent: 8%;"&gt;&amp;#160;&lt;/span&gt;</w:t>
              <w:tab/>
              <w:t>&lt;span style="text-indent: 8%;"&gt;Fortaleza/CE, data registrada no sistema.&lt;/span&gt;</w:t>
              <w:tab/>
              <w:t>&lt;/span&gt;</w:t>
              <w:tab/>
              <w:tab/>
              <w:t>&lt;/span&gt; &lt;/span&gt;&lt;/p&gt;&lt;p style="text- indent: 8%; text-align: center;"&gt;  &lt;span style="font-size: medium;"&gt;</w:t>
              <w:tab/>
              <w:tab/>
              <w:t>&lt;strong style="font- size: small;"&gt;</w:t>
              <w:tab/>
              <w:tab/>
              <w:t>&lt;span style="font-size: medium;"&gt;</w:t>
              <w:tab/>
              <w:tab/>
              <w:t>&lt;span style="font-size: medium;"&gt;</w:t>
            </w:r>
          </w:p>
          <w:p>
            <w:pPr>
              <w:pStyle w:val="TableParagraph"/>
              <w:tabs>
                <w:tab w:pos="6456" w:val="left" w:leader="none"/>
              </w:tabs>
              <w:spacing w:line="188" w:lineRule="exact" w:before="0"/>
              <w:rPr>
                <w:sz w:val="20"/>
              </w:rPr>
            </w:pPr>
            <w:r>
              <w:rPr>
                <w:sz w:val="20"/>
              </w:rPr>
              <w:t>&lt;span style="font-family: &amp;quot;times new roman&amp;quot;, times;"&gt;</w:t>
              <w:tab/>
              <w:t>&lt;br /&gt;</w:t>
            </w:r>
          </w:p>
          <w:p>
            <w:pPr>
              <w:pStyle w:val="TableParagraph"/>
              <w:tabs>
                <w:tab w:pos="1083" w:val="left" w:leader="none"/>
                <w:tab w:pos="2185" w:val="left" w:leader="none"/>
                <w:tab w:pos="3352" w:val="left" w:leader="none"/>
                <w:tab w:pos="4408" w:val="left" w:leader="none"/>
                <w:tab w:pos="4554" w:val="left" w:leader="none"/>
                <w:tab w:pos="5353" w:val="left" w:leader="none"/>
                <w:tab w:pos="5476" w:val="left" w:leader="none"/>
              </w:tabs>
              <w:spacing w:line="208" w:lineRule="auto" w:before="10"/>
              <w:ind w:right="491"/>
              <w:rPr>
                <w:sz w:val="20"/>
              </w:rPr>
            </w:pPr>
            <w:r>
              <w:rPr>
                <w:sz w:val="20"/>
              </w:rPr>
              <w:t>&lt;strong style="font-size: medium;"&gt;FRANCISCO LUCÍDIO DE QUEIROZ JÚNIOR&lt;/strong&gt;</w:t>
              <w:tab/>
              <w:t>&lt;/span&gt;</w:t>
              <w:tab/>
              <w:t>&lt;/span&gt;</w:t>
              <w:tab/>
              <w:t>&lt;/span&gt;</w:t>
              <w:tab/>
              <w:t>&lt;/strong&gt; </w:t>
            </w:r>
            <w:r>
              <w:rPr>
                <w:spacing w:val="-2"/>
                <w:sz w:val="20"/>
              </w:rPr>
              <w:t>&lt;/span&gt;&lt;/p&gt;&lt;p </w:t>
            </w:r>
            <w:r>
              <w:rPr>
                <w:sz w:val="20"/>
              </w:rPr>
              <w:t>style="text-align: center;"&gt;  &lt;span style="font-size: small;"&gt;</w:t>
              <w:tab/>
              <w:tab/>
              <w:t>&lt;strong style="font-size: small;"&gt;</w:t>
              <w:tab/>
              <w:t>&lt;span style="font-size: medium;"&gt;</w:t>
              <w:tab/>
              <w:tab/>
              <w:t>&lt;span style="font-size: medium;"&gt;</w:t>
            </w:r>
          </w:p>
          <w:p>
            <w:pPr>
              <w:pStyle w:val="TableParagraph"/>
              <w:tabs>
                <w:tab w:pos="3733" w:val="left" w:leader="none"/>
                <w:tab w:pos="5430" w:val="left" w:leader="none"/>
                <w:tab w:pos="6597" w:val="left" w:leader="none"/>
              </w:tabs>
              <w:spacing w:line="208" w:lineRule="auto" w:before="0"/>
              <w:ind w:right="702"/>
              <w:rPr>
                <w:sz w:val="20"/>
              </w:rPr>
            </w:pPr>
            <w:r>
              <w:rPr>
                <w:sz w:val="20"/>
              </w:rPr>
              <w:t>&lt;span style="font-size: medium;"&gt;</w:t>
              <w:tab/>
              <w:t>&lt;span style="font-family: &amp;quot;times </w:t>
            </w:r>
            <w:r>
              <w:rPr>
                <w:spacing w:val="-6"/>
                <w:sz w:val="20"/>
              </w:rPr>
              <w:t>new </w:t>
            </w:r>
            <w:r>
              <w:rPr>
                <w:sz w:val="20"/>
              </w:rPr>
              <w:t>roman&amp;quot;, times;"&gt;Desembargador Relator&lt;/span&gt;</w:t>
              <w:tab/>
              <w:t>&lt;/span&gt;</w:t>
              <w:tab/>
              <w:t>&lt;/span&gt;</w:t>
            </w:r>
          </w:p>
          <w:p>
            <w:pPr>
              <w:pStyle w:val="TableParagraph"/>
              <w:tabs>
                <w:tab w:pos="985" w:val="left" w:leader="none"/>
                <w:tab w:pos="5720" w:val="left" w:leader="none"/>
              </w:tabs>
              <w:spacing w:line="208" w:lineRule="auto" w:before="0"/>
              <w:ind w:right="163"/>
              <w:rPr>
                <w:sz w:val="20"/>
              </w:rPr>
            </w:pPr>
            <w:r>
              <w:rPr>
                <w:sz w:val="20"/>
              </w:rPr>
              <w:t>&lt;/span&gt;</w:t>
              <w:tab/>
              <w:t>&lt;/strong&gt; &lt;/span&gt;&lt;/p&gt;&lt;br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129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MARCOS ALVES DA SILVA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594"/>
              <w:rPr>
                <w:sz w:val="20"/>
              </w:rPr>
            </w:pPr>
            <w:r>
              <w:rPr>
                <w:sz w:val="20"/>
              </w:rPr>
              <w:t>EURIJANE AUGUSTO FERREIRA - (CE16326-A) ROBSON NOGUEIRA LIMA FILHO - (CE21231-A)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482"/>
              <w:rPr>
                <w:sz w:val="20"/>
              </w:rPr>
            </w:pPr>
            <w:r>
              <w:rPr>
                <w:sz w:val="20"/>
              </w:rPr>
              <w:t>MRV ENGENHARIA E PARTICIPACOES SA RESERVA JARDIM INCORPORACOES SPE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&lt;strong&gt;PROCESSO&lt;/strong&gt;:&amp;#160;0168011-20.2018.8.06.0001 -&amp;#160;APELAÇÃO</w:t>
            </w:r>
          </w:p>
          <w:p>
            <w:pPr>
              <w:pStyle w:val="TableParagraph"/>
              <w:tabs>
                <w:tab w:pos="6357" w:val="left" w:leader="none"/>
                <w:tab w:pos="6557" w:val="left" w:leader="none"/>
              </w:tabs>
              <w:spacing w:line="208" w:lineRule="auto" w:before="8"/>
              <w:ind w:right="189"/>
              <w:rPr>
                <w:sz w:val="20"/>
              </w:rPr>
            </w:pPr>
            <w:r>
              <w:rPr>
                <w:sz w:val="20"/>
              </w:rPr>
              <w:t>CÍVEL (198)&lt;/span&gt;  &lt;/span&gt;&lt;/p&gt;&lt;p&gt;  &lt;span style="font-size: small;"&gt;</w:t>
              <w:tab/>
              <w:tab/>
              <w:t>&lt;span style="font-family: &amp;quot;times new roman&amp;quot;, times;"&gt;APELANTE: MARCOS ALVES DA SILVA&lt;/span&gt;  &lt;/span&gt;&lt;/p&gt;&lt;p&gt;  &lt;span style="font-size: small;"&gt;</w:t>
              <w:tab/>
              <w:t>&lt;span </w:t>
            </w:r>
            <w:r>
              <w:rPr>
                <w:spacing w:val="-2"/>
                <w:sz w:val="20"/>
              </w:rPr>
              <w:t>style="font- </w:t>
            </w:r>
            <w:r>
              <w:rPr>
                <w:sz w:val="20"/>
              </w:rPr>
              <w:t>family: &amp;quot;times new roman&amp;quot;, times;"&gt;APELADO: MRV ENGENHARIA E PARTICIPACOES SA, RESERVA JARDIM INCORPORACOES SPE LTDA&lt;/span&gt;</w:t>
            </w:r>
          </w:p>
          <w:p>
            <w:pPr>
              <w:pStyle w:val="TableParagraph"/>
              <w:tabs>
                <w:tab w:pos="3884" w:val="left" w:leader="none"/>
                <w:tab w:pos="4629" w:val="left" w:leader="none"/>
                <w:tab w:pos="4868" w:val="left" w:leader="none"/>
              </w:tabs>
              <w:spacing w:line="208" w:lineRule="auto" w:before="0"/>
              <w:ind w:right="60"/>
              <w:rPr>
                <w:sz w:val="20"/>
              </w:rPr>
            </w:pPr>
            <w:r>
              <w:rPr>
                <w:sz w:val="20"/>
              </w:rPr>
              <w:t>&lt;/span&gt;&lt;/p&gt;&lt;p&gt;  &lt;span style="font-size: medium;"&gt;</w:t>
              <w:tab/>
              <w:t>&lt;span style="font-family: &amp;quot;times new roman&amp;quot;, times;"&gt;</w:t>
              <w:tab/>
              <w:t>&lt;br /&gt;</w:t>
              <w:tab/>
              <w:t>&lt;/span&gt; &lt;/span&gt;&lt;/p&gt;&lt;p style="line- height:1.38;text-align: justify;margin-top:0pt;margin-bottom:4pt;" dir="ltr"&gt; &lt;span style="font-size:12pt;font-family:'Times New Roman',serif;color:#131314;background- color:#ffffff;font-weight:400;font-style:normal;font-variant:normal;text- decoration:none;vertical-align:baseline;white-space:pre;white-space:pre-wrap;"&gt;Ementa: DIREITO DO CONSUMIDOR. APELAÇÃO CÍVEL. COMISSÃO DE CORRETAGEM. PRESCRIÇÃO TRIENAL. CLÁUSULA DE TOLERÂNCIA PARA ENTREGA DO IMÓVEL. RESTITUIÇÃO DE VALORES. RECURSO CONHECIDO E</w:t>
            </w:r>
            <w:r>
              <w:rPr>
                <w:spacing w:val="-17"/>
                <w:sz w:val="20"/>
              </w:rPr>
              <w:t> </w:t>
            </w:r>
            <w:r>
              <w:rPr>
                <w:sz w:val="20"/>
              </w:rPr>
              <w:t>DESPROVIDO.&lt;/span&gt;&lt;/p&gt;&lt;p</w:t>
            </w:r>
          </w:p>
          <w:p>
            <w:pPr>
              <w:pStyle w:val="TableParagraph"/>
              <w:spacing w:line="208" w:lineRule="auto" w:before="0"/>
              <w:ind w:right="21"/>
              <w:rPr>
                <w:sz w:val="20"/>
              </w:rPr>
            </w:pPr>
            <w:r>
              <w:rPr>
                <w:sz w:val="20"/>
              </w:rPr>
              <w:t>style="line-height:1.38;text-align: justify;margin-top:0pt;margin-bottom:4pt;" dir="ltr"&gt; &lt;span style="font-size:12pt;font-family:'Times New Roman',serif;color:#131314;background- color:#ffffff;font-weight:700;font-style:normal;font-variant:normal;text- decoration:none;vertical-align:baseline;white-space:pre;white-space:pre-wrap;"&gt;I. Caso em exame&lt;/span&gt;&lt;/p&gt;&lt;p style="line-height:1.38;text-align: justify;margin-top:0pt;margin- bottom:4pt;" dir="ltr"&gt; &lt;span style="font-size:12pt;font-family:'Times New Roman',serif;color:#131314;background-color:#ffffff;font-weight:400;font-style:normal;font- variant:normal;text-decoration:none;vertical-align:baseline;white-space:pre;white- space:pre-wrap;"&gt;1. Apelação interposta contra sentença que reconheceu a prescrição trienal da pretensão de restituição da comissão de corretagem e de assessoria, bem como julgou improcedentes os pedidos de ressarcimento de taxas, multa por atraso e danos morais em ação de reparação de danos materiais e morais por alegado atraso na entrega de imóvel. A decisão recorrida acolheu a tese de prescrição e validou a cláusula de prorrogação de 180 dias para a entrega do imóvel e a ausência de inadimplemento contratual.&lt;/span&gt;&lt;/p&gt;&lt;p style="line-height:1.38;text-align: justify;margin-top:0pt;margin- bottom:4pt;" dir="ltr"&gt; &lt;span style="font-size:12pt;font-family:'Times New Roman',serif;color:#131314;background-color:#ffffff;font-weight:700;font-style:normal;font- variant:normal;text-decoration:none;vertical-align:baseline;white-space:pre;white- space:pre-wrap;"&gt;II. Questão em discussão&lt;/span&gt;&lt;/p&gt;&lt;p style="line-height:1.38;text- align: justify;margin-top:0pt;margin-bottom:4pt;" dir="ltr"&gt; &lt;span style="font-size:12pt;font- family:'Times New Roman',serif;color:#131314;background-color:#ffffff;font-weight:400;font- style:normal;font-variant:normal;text-decoration:none;vertical-align:baseline;white- space:pre;white-space:pre-wrap;"&gt;2. A questão em discussão consiste em examinar se houve inadimplemento contratual, por parte das promovidas, consistente no atraso na entrega do imóvel.&lt;/span&gt;&lt;/p&gt;&lt;p style="line-height:1.38;text-align: justify;margin- top:0pt;margin-bottom:4pt;" dir="ltr"&gt; &lt;span style="font-size:12pt;font-family:'Times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
              <w:rPr>
                <w:sz w:val="20"/>
              </w:rPr>
            </w:pPr>
            <w:r>
              <w:rPr>
                <w:sz w:val="20"/>
              </w:rPr>
              <w:t>Roman',serif;color:#131314;background-color:#ffffff;font-weight:700;font-style:normal;font- variant:normal;text-decoration:none;vertical-align:baseline;white-space:pre;white- space:pre-wrap;"&gt;III. Razões de decidir&lt;/span&gt;&lt;/p&gt;&lt;p style="line-height:1.38;text-align: justify;margin-top:0pt;margin-bottom:4pt;" dir="ltr"&gt; &lt;span style="font-size:12pt;font- family:'Times New Roman',serif;color:#131314;background-color:#ffffff;font-weight:400;font- style:normal;font-variant:normal;text-decoration:none;vertical-align:baseline;white- space:pre;white-space:pre-wrap;"&gt;3. A pretensão de restituição de valores pagos a título de comissão de corretagem e taxa de assessoria está sujeita à prescrição trienal (CC, art. 206, § 3º, IV; STJ, Tema 938), sendo certo que a ação foi ajuizada após o lapso de três anos desde o pagamento.&lt;/span&gt;&lt;/p&gt;&lt;p style="line-height:1.38;text-align: justify;margin- top:0pt;margin-bottom:4pt;" dir="ltr"&gt; &lt;span style="font-size:12pt;font-family:'Times New Roman',serif;color:#131314;background-color:#ffffff;font-weight:400;font-style:normal;font- variant:normal;text-decoration:none;vertical-align:baseline;white-space:pre;white- space:pre-wrap;"&gt;4. A cláusula de prorrogação de 180 dias para a entrega do imóvel é válida e considerada não abusiva (STJ - AgInt no AREsp nº 1957756, Rel. Min. Raul Araújo), não havendo atraso na entrega do imóvel, conforme os prazos previstos em contrato.&lt;/span&gt;&lt;/p&gt;&lt;p style="line-height:1.38;text-align: justify;margin-top:0pt;margin- bottom:4pt;" dir="ltr"&gt; &lt;span style="font-size:12pt;font-family:'Times New Roman',serif;color:#131314;background-color:#ffffff;font-weight:700;font-style:normal;font- variant:normal;text-decoration:none;vertical-align:baseline;white-space:pre;white- space:pre-wrap;"&gt;IV. Dispositivo e tese&lt;/span&gt;&lt;/p&gt;&lt;p style="line-height:1.38;text-align: justify;margin-top:0pt;margin-bottom:4pt;" dir="ltr"&gt; &lt;span style="font-size:12pt;font- family:'Times New Roman',serif;color:#131314;background-color:#ffffff;font-weight:400;font- style:normal;font-variant:normal;text-decoration:none;vertical-align:baseline;white- space:pre;white-space:pre-wrap;"&gt;5. Recurso conhecido e desprovido.&lt;/span&gt;&lt;/p&gt;&lt;p style="line-height:1.38;text-align: justify;margin-top:0pt;margin-bottom:4pt;" dir="ltr"&gt; </w:t>
            </w:r>
            <w:r>
              <w:rPr>
                <w:spacing w:val="-3"/>
                <w:sz w:val="20"/>
              </w:rPr>
              <w:t>&lt;span </w:t>
            </w:r>
            <w:r>
              <w:rPr>
                <w:sz w:val="20"/>
              </w:rPr>
              <w:t>style="font-size:12pt;font-family:'Times New Roman',serif;color:#131314;background- color:#ffffff;font-weight:700;font-style:normal;font-variant:normal;text- decoration:none;vertical-align:baseline;white-space:pre;white-space:pre-wrap;"&gt;Teses de julgamento:&lt;/span&gt;&lt;/p&gt;&lt;p style="line-height:1.38;text-align: justify;margin-top:0pt;margin- bottom:4pt;" dir="ltr"&gt; &lt;span style="font-size:12pt;font-family:'Times New Roman',serif;color:#131314;background-color:#ffffff;font-weight:400;font-style:normal;font- variant:normal;text-decoration:none;vertical-align:baseline;white-space:pre;white- space:pre-wrap;"&gt;1. A cláusula de tolerância de 180 dias em contrato de promessa de compra e venda de imóvel é válida e considerada não abusiva, desde que respeitado seu prazo máximo e sem prorrogação indevida.&lt;/span&gt;&lt;/p&gt;&lt;p style="line-height:1.38;text- align: justify;margin-top:0pt;margin-bottom:4pt;" dir="ltr"&gt; &lt;span style="font-size:12pt;font- family:'Times New Roman',serif;color:#131314;background-color:#ffffff;font-weight:400;font- style:normal;font-variant:normal;text-decoration:none;vertical-align:baseline;white- space:pre;white-space:pre-wrap;"&gt;Dispositivos relevantes citados: CC, art. 206, § 3º, IV; STJ, Tema 938.&lt;/span&gt;&lt;/p&gt;&lt;p style="line-height: 100%; orphans: 0; widows: 0; margin- bottom: 0.21cm;" align="justify"&gt; &lt;span id="docs-internal-guid-555a1010-7fff-1ade-fef8- 7e308852d600"&gt;&amp;#160;&lt;/span&gt;&lt;/p&gt;&lt;p style="line-height:1.38;text-align: justify;margin- top:0pt;margin-bottom:4pt;" dir="ltr"&gt; &lt;span style="font-size:12pt;font-family:'Times New Roman',serif;color:#131314;background-color:#ffffff;font-weight:400;font-style:normal;font- variant:normal;text-decoration:none;vertical-align:baseline;white-space:pre;white- space:pre-wrap;"&gt;Jurisprudência relevante citada: STJ - AgInt no AREsp nº 1957756, Rel. Min. Raul Araújo, DJe 05/04/2022.&lt;/span&gt;&lt;/p&gt;&lt;p style="line-height: 100%; orphans: 0; widows: 0; margin-bottom: 0.21cm;" align="justify"&gt; &lt;span style="font-size: medium;"&gt;</w:t>
            </w:r>
          </w:p>
          <w:p>
            <w:pPr>
              <w:pStyle w:val="TableParagraph"/>
              <w:tabs>
                <w:tab w:pos="6123" w:val="left" w:leader="none"/>
                <w:tab w:pos="6979" w:val="left" w:leader="none"/>
              </w:tabs>
              <w:spacing w:line="187" w:lineRule="exact" w:before="0"/>
              <w:rPr>
                <w:sz w:val="20"/>
              </w:rPr>
            </w:pPr>
            <w:r>
              <w:rPr>
                <w:sz w:val="20"/>
              </w:rPr>
              <w:t>&lt;span style="font-family: &amp;quot;times new roman&amp;quot;, times;"&gt;</w:t>
              <w:tab/>
              <w:t>&lt;br /&gt;</w:t>
              <w:tab/>
              <w:t>&lt;br /&gt;</w:t>
            </w:r>
          </w:p>
          <w:p>
            <w:pPr>
              <w:pStyle w:val="TableParagraph"/>
              <w:spacing w:line="208" w:lineRule="auto" w:before="10"/>
              <w:rPr>
                <w:sz w:val="20"/>
              </w:rPr>
            </w:pPr>
            <w:r>
              <w:rPr>
                <w:sz w:val="20"/>
              </w:rPr>
              <w:t>&lt;/span&gt; &lt;/span&gt;&lt;/p&gt;&lt;p style="line-height: 150%; orphans: 0; widows: 0; margin-bottom: 0.21cm;" align="justify"&gt; &lt;span style="font-family: &amp;quot;times new roman&amp;quot;, times;"&gt;</w:t>
            </w:r>
          </w:p>
          <w:p>
            <w:pPr>
              <w:pStyle w:val="TableParagraph"/>
              <w:tabs>
                <w:tab w:pos="1796" w:val="left" w:leader="none"/>
                <w:tab w:pos="5987" w:val="left" w:leader="none"/>
              </w:tabs>
              <w:spacing w:line="208" w:lineRule="auto" w:before="0"/>
              <w:ind w:right="239"/>
              <w:rPr>
                <w:sz w:val="20"/>
              </w:rPr>
            </w:pPr>
            <w:r>
              <w:rPr>
                <w:sz w:val="20"/>
              </w:rPr>
              <w:t>&lt;span style="font-size: medium;"&gt;ACÓRDÃO: Vistos, relatados e discutidos estes </w:t>
            </w:r>
            <w:r>
              <w:rPr>
                <w:spacing w:val="-3"/>
                <w:sz w:val="20"/>
              </w:rPr>
              <w:t>autos, </w:t>
            </w:r>
            <w:r>
              <w:rPr>
                <w:sz w:val="20"/>
              </w:rPr>
              <w:t>acorda a Quinta Câmara de Direito Privado Tribunal de Justiça do Estado do Ceará, por unanimidade em</w:t>
              <w:tab/>
              <w:t>&lt;strong&gt;conhecer&lt;/strong&gt; do recurso para</w:t>
              <w:tab/>
              <w:t>&lt;strong&gt;negar-lhe provimento&lt;/strong&gt;, nos termos do voto do relator, parte integrante deste.&lt;/span&gt;</w:t>
            </w:r>
          </w:p>
          <w:p>
            <w:pPr>
              <w:pStyle w:val="TableParagraph"/>
              <w:spacing w:line="190" w:lineRule="exact" w:before="0"/>
              <w:rPr>
                <w:sz w:val="20"/>
              </w:rPr>
            </w:pPr>
            <w:r>
              <w:rPr>
                <w:sz w:val="20"/>
              </w:rPr>
              <w:t>&lt;/span&gt;&lt;/p&gt;&lt;p style="line-height: 100%; orphans: 0; widows: 0; margin-bottom: 0.21cm;"</w:t>
            </w:r>
          </w:p>
          <w:p>
            <w:pPr>
              <w:pStyle w:val="TableParagraph"/>
              <w:tabs>
                <w:tab w:pos="5252" w:val="left" w:leader="none"/>
                <w:tab w:pos="6269" w:val="left" w:leader="none"/>
              </w:tabs>
              <w:spacing w:line="208" w:lineRule="auto" w:before="9"/>
              <w:ind w:right="277"/>
              <w:rPr>
                <w:sz w:val="20"/>
              </w:rPr>
            </w:pPr>
            <w:r>
              <w:rPr>
                <w:sz w:val="20"/>
              </w:rPr>
              <w:t>align="justify"&gt;&amp;#160;&lt;/p&gt;&lt;p style="line-height: 115%; orphans: 0; widows: 0; margin- bottom: 0.21cm;" align="justify"&gt;  &lt;span style="font-size: medium;"&gt;</w:t>
              <w:tab/>
              <w:t>&lt;span </w:t>
            </w:r>
            <w:r>
              <w:rPr>
                <w:spacing w:val="-2"/>
                <w:sz w:val="20"/>
              </w:rPr>
              <w:t>style="font- </w:t>
            </w:r>
            <w:r>
              <w:rPr>
                <w:sz w:val="20"/>
              </w:rPr>
              <w:t>family: &amp;quot;times new roman&amp;quot;, times;"&gt;F&lt;/span&gt;</w:t>
              <w:tab/>
              <w:t>&lt;span style="font-family: &amp;quot;times new roman&amp;quot;, times;"&gt;ortaleza, data registrada no sistema.&lt;/span&gt;</w:t>
            </w:r>
          </w:p>
          <w:p>
            <w:pPr>
              <w:pStyle w:val="TableParagraph"/>
              <w:tabs>
                <w:tab w:pos="1216" w:val="left" w:leader="none"/>
                <w:tab w:pos="2339" w:val="left" w:leader="none"/>
                <w:tab w:pos="5051" w:val="left" w:leader="none"/>
              </w:tabs>
              <w:spacing w:line="208" w:lineRule="auto" w:before="0"/>
              <w:ind w:right="115"/>
              <w:rPr>
                <w:sz w:val="20"/>
              </w:rPr>
            </w:pPr>
            <w:r>
              <w:rPr>
                <w:sz w:val="20"/>
              </w:rPr>
              <w:t>&lt;/span&gt;&lt;/p&gt;&lt;p style="line-height: 115%; orphans: 0; widows: 0; margin-bottom: 0.21cm;" align="center"&gt; &lt;span style="font-family: &amp;quot;times new roman&amp;quot;, times; font-size: medium; text-align: start;"&gt;&amp;#160;&lt;/span&gt;&lt;/p&gt;&lt;p&gt;&amp;#160;&lt;/p&gt;&lt;p style="line-height: </w:t>
            </w:r>
            <w:r>
              <w:rPr>
                <w:spacing w:val="-4"/>
                <w:sz w:val="20"/>
              </w:rPr>
              <w:t>100%; </w:t>
            </w:r>
            <w:r>
              <w:rPr>
                <w:sz w:val="20"/>
              </w:rPr>
              <w:t>orphans: 0; widows: 0; margin-bottom: 0.21cm;" align="center"&gt; &lt;span style="font-size: medium;"&gt;</w:t>
              <w:tab/>
              <w:t>&lt;strong&gt;</w:t>
              <w:tab/>
              <w:t>&lt;span style="font-family: &amp;quot;times new roman&amp;quot;, times;"&gt;MARIA REGINA OLIVEIRA CÂMARA&lt;/span&gt;</w:t>
              <w:tab/>
              <w:t>&lt;/strong&gt; &lt;/span&gt;&lt;/p&gt;&lt;p style="line-height: 115%; orphans: 0; widows: 0; margin-bottom: 0.21cm;" align="center"&gt;</w:t>
            </w:r>
          </w:p>
          <w:p>
            <w:pPr>
              <w:pStyle w:val="TableParagraph"/>
              <w:tabs>
                <w:tab w:pos="3288" w:val="left" w:leader="none"/>
              </w:tabs>
              <w:spacing w:line="208" w:lineRule="auto" w:before="0"/>
              <w:ind w:right="249"/>
              <w:rPr>
                <w:sz w:val="20"/>
              </w:rPr>
            </w:pPr>
            <w:r>
              <w:rPr>
                <w:sz w:val="20"/>
              </w:rPr>
              <w:t>&lt;span style="font-size: medium;"&gt;</w:t>
              <w:tab/>
              <w:t>&lt;span style="font-family: &amp;quot;times new roman&amp;quot;, times;"&gt;Presidente do Órgão Julgador&lt;/span&gt;  &lt;/span&gt;&lt;/p&gt;&lt;p</w:t>
            </w:r>
            <w:r>
              <w:rPr>
                <w:spacing w:val="6"/>
                <w:sz w:val="20"/>
              </w:rPr>
              <w:t> </w:t>
            </w:r>
            <w:r>
              <w:rPr>
                <w:spacing w:val="-2"/>
                <w:sz w:val="20"/>
              </w:rPr>
              <w:t>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94" w:val="left" w:leader="none"/>
                <w:tab w:pos="1950" w:val="left" w:leader="none"/>
                <w:tab w:pos="2682" w:val="left" w:leader="none"/>
              </w:tabs>
              <w:spacing w:line="208" w:lineRule="auto" w:before="26"/>
              <w:ind w:right="171"/>
              <w:rPr>
                <w:sz w:val="20"/>
              </w:rPr>
            </w:pPr>
            <w:r>
              <w:rPr>
                <w:sz w:val="20"/>
              </w:rPr>
              <w:t>height: 100%; orphans: 0; widows: 0; margin-bottom: 0.21cm;" align="center"&gt; &lt;span style="font-size: medium;"&gt;</w:t>
              <w:tab/>
              <w:t>&lt;span style="font-family: &amp;quot;times new roman&amp;quot;, times;"&gt;</w:t>
              <w:tab/>
              <w:t>&lt;br /&gt;</w:t>
              <w:tab/>
              <w:t>&lt;br /&gt;</w:t>
              <w:tab/>
              <w:t>&lt;/span&gt; &lt;/span&gt;&lt;/p&gt;&lt;p style="line-height: 100%; orphans: 0; widows: 0; margin-bottom: 0.21cm;" align="center"&gt; &lt;span style="font-size:</w:t>
            </w:r>
            <w:r>
              <w:rPr>
                <w:spacing w:val="-18"/>
                <w:sz w:val="20"/>
              </w:rPr>
              <w:t> </w:t>
            </w:r>
            <w:r>
              <w:rPr>
                <w:sz w:val="20"/>
              </w:rPr>
              <w:t>medium;"&gt;</w:t>
            </w:r>
          </w:p>
          <w:p>
            <w:pPr>
              <w:pStyle w:val="TableParagraph"/>
              <w:tabs>
                <w:tab w:pos="6123" w:val="left" w:leader="none"/>
                <w:tab w:pos="6979" w:val="left" w:leader="none"/>
              </w:tabs>
              <w:spacing w:line="190" w:lineRule="exact" w:before="0"/>
              <w:rPr>
                <w:sz w:val="20"/>
              </w:rPr>
            </w:pPr>
            <w:r>
              <w:rPr>
                <w:sz w:val="20"/>
              </w:rPr>
              <w:t>&lt;span style="font-family: &amp;quot;times new roman&amp;quot;, times;"&gt;</w:t>
              <w:tab/>
              <w:t>&lt;br /&gt;</w:t>
              <w:tab/>
              <w:t>&lt;br /&gt;</w:t>
            </w:r>
          </w:p>
          <w:p>
            <w:pPr>
              <w:pStyle w:val="TableParagraph"/>
              <w:tabs>
                <w:tab w:pos="2696" w:val="left" w:leader="none"/>
                <w:tab w:pos="5592" w:val="left" w:leader="none"/>
                <w:tab w:pos="6714" w:val="left" w:leader="none"/>
              </w:tabs>
              <w:spacing w:line="208" w:lineRule="auto" w:before="10"/>
              <w:ind w:right="59"/>
              <w:rPr>
                <w:sz w:val="20"/>
              </w:rPr>
            </w:pPr>
            <w:r>
              <w:rPr>
                <w:sz w:val="20"/>
              </w:rPr>
              <w:t>&lt;/span&gt; &lt;/span&gt;&lt;/p&gt;&lt;p style="line-height: 100%; orphans: 0; widows: 0; margin-bottom: 0.21cm;" align="center"&gt;  &lt;span style="font-size: medium;"&gt;</w:t>
              <w:tab/>
              <w:t>&lt;strong&gt;</w:t>
              <w:tab/>
              <w:t>&lt;span style="font-family: &amp;quot;times new roman&amp;quot;, times;"&gt;FRANCISCO LUCÍDIO DE QUEIROZ JUNIOR&lt;/span&gt;</w:t>
              <w:tab/>
              <w:t>&lt;/strong&gt; &lt;/span&gt;&lt;/p&gt;&lt;p style="line-height: 100%; </w:t>
            </w:r>
            <w:r>
              <w:rPr>
                <w:spacing w:val="-3"/>
                <w:sz w:val="20"/>
              </w:rPr>
              <w:t>orphans: </w:t>
            </w:r>
            <w:r>
              <w:rPr>
                <w:sz w:val="20"/>
              </w:rPr>
              <w:t>0; widows: 0; margin-bottom: 0.21cm;" align="center"&gt; &lt;span style="font-size: medium;"&gt;</w:t>
            </w:r>
          </w:p>
          <w:p>
            <w:pPr>
              <w:pStyle w:val="TableParagraph"/>
              <w:tabs>
                <w:tab w:pos="2239" w:val="left" w:leader="none"/>
                <w:tab w:pos="2438" w:val="left" w:leader="none"/>
                <w:tab w:pos="3561" w:val="left" w:leader="none"/>
                <w:tab w:pos="7032" w:val="left" w:leader="none"/>
                <w:tab w:pos="7396" w:val="left" w:leader="none"/>
              </w:tabs>
              <w:spacing w:line="208" w:lineRule="auto" w:before="0"/>
              <w:ind w:right="35"/>
              <w:rPr>
                <w:sz w:val="20"/>
              </w:rPr>
            </w:pPr>
            <w:r>
              <w:rPr>
                <w:sz w:val="20"/>
              </w:rPr>
              <w:t>&lt;span style="font-family: &amp;quot;times new roman&amp;quot;, times;"&gt;Desembargador Relator&lt;/span&gt; &lt;/span&gt;&lt;/p&gt;&lt;p align="center"&gt; &lt;span style="font-family: &amp;quot;times new roman&amp;quot;, times;"&gt;</w:t>
              <w:tab/>
              <w:t>&lt;br /&gt; &lt;/span&gt;&lt;/p&gt;&lt;p style="text-align: center;"&gt; &lt;span style="font-size: small;"&gt;</w:t>
              <w:tab/>
              <w:tab/>
              <w:t>&lt;strong&gt;</w:t>
              <w:tab/>
              <w:t>&lt;span style="font-size: medium;"&gt;</w:t>
              <w:tab/>
              <w:t>&lt;span style="font-family: &amp;quot;times new roman&amp;quot;, times;"&gt;RELATÓRIO&lt;/span&gt;</w:t>
              <w:tab/>
            </w:r>
            <w:r>
              <w:rPr>
                <w:spacing w:val="-3"/>
                <w:sz w:val="20"/>
              </w:rPr>
              <w:t>&lt;/span&gt;</w:t>
            </w:r>
          </w:p>
          <w:p>
            <w:pPr>
              <w:pStyle w:val="TableParagraph"/>
              <w:spacing w:line="208" w:lineRule="auto" w:before="0"/>
              <w:ind w:right="22"/>
              <w:rPr>
                <w:sz w:val="20"/>
              </w:rPr>
            </w:pPr>
            <w:r>
              <w:rPr>
                <w:sz w:val="20"/>
              </w:rPr>
              <w:t>&lt;/strong&gt; &lt;/span&gt;&lt;/p&gt;&lt;p style="text-align: center;"&gt;&amp;#160;&lt;/p&gt;&lt;p style="text-align: </w:t>
            </w:r>
            <w:r>
              <w:rPr>
                <w:spacing w:val="-3"/>
                <w:sz w:val="20"/>
              </w:rPr>
              <w:t>justify; </w:t>
            </w:r>
            <w:r>
              <w:rPr>
                <w:sz w:val="20"/>
              </w:rPr>
              <w:t>font-family: &amp;quot;Times New Roman&amp;quot;; font-size: medium; line-height: 1.8; text- indent: 56.6929pt; margin-top: 0pt; margin-bottom: 0pt;" dir="ltr"&gt;&lt;span style="font-size: 12pt; font-family: &amp;quot;Times New Roman&amp;quot;, serif; color: #131314; font-variant- numeric: normal; font-variant-east-asian: normal; font-variant-alternates: normal; font- variant-position: normal; font-variant-emoji: normal; vertical-align: baseline; white-space- collapse: preserve;"&gt;Trata-se de&lt;/span&gt; &lt;span style="font-size: 12pt; font-family: &amp;quot;Times New Roman&amp;quot;, serif; color: #131314; font-weight: 700; font-variant- numeric: normal; font-variant-east-asian: normal; font-variant-alternates: normal; font- variant-position: normal; font-variant-emoji: normal; vertical-align: baseline; white-space- collapse: preserve;"&gt;Recurso de Apelação&lt;/span&gt; &lt;span style="font-size: 12pt; font- family: &amp;quot;Times New Roman&amp;quot;, serif; color: #131314; font-variant-numeric: normal; font-variant-east-asian: normal; font-variant-alternates: normal; font-variant-position: normal; font-variant-emoji: normal; vertical-align: baseline; white-space-collapse: preserve;"&gt;interposto por&lt;/span&gt; &lt;span style="font-size: 12pt; font-family: &amp;quot;Times New Roman&amp;quot;, serif; color: #131314; font-weight: 700; font-variant-numeric: normal; font-variant-east-asian: normal; font-variant-alternates: normal; font-variant-position: normal; font-variant-emoji: normal; vertical-align: baseline; white-space-collapse: preserve;"&gt;Marcos Alves da Silva&lt;/span&gt; &lt;span style="font-size: 12pt; font-family: &amp;quot;Times New Roman&amp;quot;, serif; color: #131314; font-variant-numeric: normal; font- variant-east-asian: normal; font-variant-alternates: normal; font-variant-position: normal; font-variant-emoji: normal; vertical-align: baseline; white-space-collapse: preserve;"&gt;em face da sentença proferida pelo Juízo da 5ª Vara Cível da Comarca de Fortaleza, no julgamento da&lt;/span&gt; &lt;span style="font-size: 12pt; font-family: &amp;quot;Times New Roman&amp;quot;, serif; color: #131314; font-weight: 700; font-variant-numeric: normal; font- variant-east-asian: normal; font-variant-alternates: normal; font-variant-position: normal; font-variant-emoji: normal; vertical-align: baseline; white-space-collapse: preserve;"&gt;Ação de Reparação de Danos Morais e Materiais&lt;/span&gt; &lt;span style="font-size: 12pt; font- family: &amp;quot;Times New Roman&amp;quot;, serif; color: #131314; font-variant-numeric: normal; font-variant-east-asian: normal; font-variant-alternates: normal; font-variant-position: normal; font-variant-emoji: normal; vertical-align: baseline; white-space-collapse: preserve;"&gt;ajuizada pelo recorrente em desfavor de&lt;/span&gt; &lt;span style="font-size: 12pt; font-family: &amp;quot;Times New Roman&amp;quot;, serif; color: #131314; font-weight: 700; font- variant-numeric: normal; font-variant-east-asian: normal; font-variant-alternates: normal; font-variant-position: normal; font-variant-emoji: normal; vertical-align: baseline; white- space-collapse: preserve;"&gt;MRV Engenharia e Participações S.A.&lt;/span&gt; &lt;span style="font-size: 12pt; font-family: &amp;quot;Times New Roman&amp;quot;, serif; color: #131314; font-variant-numeric: normal; font-variant-east-asian: normal; font-variant-alternates: normal; font-variant-position: normal; font-variant-emoji: normal; vertical-align: baseline; white-space-collapse: preserve;"&gt;e&lt;/span&gt; &lt;span style="font-size: 12pt; font-family: &amp;quot;Times New Roman&amp;quot;, serif; color: #131314; font-weight: 700; font-variant- numeric: normal; font-variant-east-asian: normal; font-variant-alternates: normal; font- variant-position: normal; font-variant-emoji: normal; vertical-align: baseline; white-space- collapse: preserve;"&gt;Reserva Jardim Incorporações SPE Ltda&lt;/span&gt;&lt;span style="font- size: 12pt; font-family: &amp;quot;Times New Roman&amp;quot;, serif; color: #131314; font-variant- numeric: normal; font-variant-east-asian: normal; font-variant-alternates: normal; font- variant-position: normal; font-variant-emoji: normal; vertical-align: baseline; white-space- collapse: preserve;"&gt;.&lt;/span&gt;&lt;/p&gt;&lt;p style="text-align: justify; font-family: &amp;quot;Times </w:t>
            </w:r>
            <w:r>
              <w:rPr>
                <w:spacing w:val="-4"/>
                <w:sz w:val="20"/>
              </w:rPr>
              <w:t>New </w:t>
            </w:r>
            <w:r>
              <w:rPr>
                <w:sz w:val="20"/>
              </w:rPr>
              <w:t>Roman&amp;quot;; font-size: medium; line-height: 1.8; text-indent: 56.6929pt; margin-top: 0pt; margin-bottom: 0pt;" dir="ltr"&gt; &lt;span style="font-size: 12pt; font-family: &amp;quot;Times New Roman&amp;quot;, serif; color: #131314; font-variant-numeric: normal; font-variant-east-asian: normal; font-variant-alternates: normal; font-variant-position: normal; font-variant-emoji: normal; vertical-align: baseline; white-space-collapse: preserve;"&gt;Consta da inicial que o autor adquiriu um apartamento no empreendimento Reserva Jardim, sendo informado pelo corretor que a obra seria entregue em agosto de 2015, bem como que o valor do imóvel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correspondia ao montante de R$ 152.693,00 (cento e cinquenta e dois mil, seiscentos e noventa e três reais). Afirmou que após análise do contrato percebeu que o valor que havia pago a título de sinal correspondia, na verdade, a “taxa de corretagem”; que a data informada pelo corretor como prevista para entrega da obra não constava do contrato; a existência de “taxa de evolução de obra”, dentre outras ilegalidades.&lt;/span&gt;&lt;/p&gt;&lt;p style="text-align: justify; font-family: &amp;quot;Times New Roman&amp;quot;; font-size: medium; line-height: 1.8; text-indent: 56.6929pt; margin-top: 0pt; margin-bottom: 0pt;" dir="ltr"&gt;&amp;#160;&lt;span style="font-size: 12pt; text-indent: 56.6929pt; font-family: &amp;quot;Times New Roman&amp;quot;, serif; color: #131314; font-variant-numeric: normal; font- variant-east-asian: normal; font-variant-alternates: normal; font-variant-position: normal; font-variant-emoji: normal; vertical-align: baseline; white-space-collapse: preserve;"&gt;Ao final, requereu a condenação das promovidas ao ressarcimento em dobro do valor </w:t>
            </w:r>
            <w:r>
              <w:rPr>
                <w:spacing w:val="-3"/>
                <w:sz w:val="20"/>
              </w:rPr>
              <w:t>cobrado </w:t>
            </w:r>
            <w:r>
              <w:rPr>
                <w:sz w:val="20"/>
              </w:rPr>
              <w:t>a título de “taxa de evolução de obra”; a declaração de nulidade da cláusula B.4, que dispõe sobre a extensão do prazo de entrega do imóvel em 180 dias; a condenação das promovidas ao ressarcimento em dobro da quantia cobrada a título de “taxa de corretagem”; a condenação da promovida ao ressarcimento em dobro da quantia cobrada, referente à “taxa de assessoria no registro Prefeitura e Cartório”; a condenação das promovidas em multa moratória de 2% do valor do imóvel, mais juros moratórios de 1% ao mês&lt;/span&gt; &lt;span style="font-size: 12pt; text-indent: 56.6929pt; font-family: &amp;quot;Times New Roman&amp;quot;, serif; color: #131314; font-style: italic; font-variant-numeric: normal;</w:t>
            </w:r>
          </w:p>
          <w:p>
            <w:pPr>
              <w:pStyle w:val="TableParagraph"/>
              <w:spacing w:line="208" w:lineRule="auto" w:before="0"/>
              <w:ind w:right="31"/>
              <w:rPr>
                <w:sz w:val="20"/>
              </w:rPr>
            </w:pPr>
            <w:r>
              <w:rPr>
                <w:sz w:val="20"/>
              </w:rPr>
              <w:t>font-variant-east-asian: normal; font-variant-alternates: normal; font-variant-position: normal; font-variant-emoji: normal; vertical-align: baseline; white-space-collapse: preserve;"&gt;pro rata die&lt;/span&gt; &lt;span style="font-size: 12pt; text-indent: 56.6929pt; font- family: &amp;quot;Times New Roman&amp;quot;, serif; color: #131314; font-variant-numeric: </w:t>
            </w:r>
            <w:r>
              <w:rPr>
                <w:spacing w:val="-3"/>
                <w:sz w:val="20"/>
              </w:rPr>
              <w:t>normal; </w:t>
            </w:r>
            <w:r>
              <w:rPr>
                <w:sz w:val="20"/>
              </w:rPr>
              <w:t>font-variant-east-asian: normal; font-variant-alternates: normal; font-variant-position: normal; font-variant-emoji: normal; vertical-align: baseline; white-space-collapse: preserve;"&gt;sobre 13 (treze) meses de atraso do prazo de entrega do imóvel; além da condenação das promovidas ao pagamento de indenização por danos morai.&lt;/span&gt;&lt;/p&gt;&lt;p style="text-align: justify; font-family: &amp;quot;Times New Roman&amp;quot;; font-size: medium; line-height: 1.8; text-indent: 56.6929pt; margin-top: 0pt; margin-bottom: 0pt;" dir="ltr"&gt;&amp;#160;&lt;/p&gt;&lt;p style="text-align: justify; font-family: &amp;quot;Times New Roman&amp;quot;; font-size: medium; line-height: 1.8; text-indent: 56.6929pt; margin-top: 0pt; margin-bottom: 0pt;" dir="ltr"&gt;&lt;span style="font-size: 12pt; text-indent: 56.6929pt; font- family: &amp;quot;Times New Roman&amp;quot;, serif; color: #131314; font-variant-numeric: </w:t>
            </w:r>
            <w:r>
              <w:rPr>
                <w:spacing w:val="-3"/>
                <w:sz w:val="20"/>
              </w:rPr>
              <w:t>normal; </w:t>
            </w:r>
            <w:r>
              <w:rPr>
                <w:sz w:val="20"/>
              </w:rPr>
              <w:t>font-variant-east-asian: normal; font-variant-alternates: normal; font-variant-position: normal; font-variant-emoji: normal; vertical-align: baseline; white-space-collapse: preserve;"&gt;Através da sentença de ID 22804099, o Juízo&lt;/span&gt; &lt;span style="font-size: 12pt; text-indent: 56.6929pt; font-family: &amp;quot;Times New Roman&amp;quot;, serif; color: #131314; font-style: italic; font-variant-numeric: normal; font-variant-east-asian: normal; font-variant-alternates: normal; font-variant-position: normal; font-variant-emoji: normal; vertical-align: baseline; white-space-collapse: preserve;"&gt;a quo&lt;/span&gt; &lt;span style="font- size: 12pt; text-indent: 56.6929pt; font-family: &amp;quot;Times New Roman&amp;quot;, serif; color: #131314; font-variant-numeric: normal; font-variant-east-asian: normal; font-variant- alternates: normal; font-variant-position: normal; font-variant-emoji: normal; vertical-align: baseline; white-space-collapse: preserve;"&gt;acolheu a prejudicial de mérito suscitada pela demandadas, para reconhecer a prescrição trienal da pretensão de restituição da comissão de corretagem e taxa de assessoria, e&lt;/span&gt; &lt;span style="font-size: 12pt; text- indent: 56.6929pt; font-family: &amp;quot;Times New Roman&amp;quot;, serif; color: #131314; font- weight: 700; font-variant-numeric: normal; font-variant-east-asian: normal; font-variant- alternates: normal; font-variant-position: normal; font-variant-emoji: normal; vertical-align: baseline; white-space-collapse: preserve;"&gt;julgou improcedente&lt;/span&gt; &lt;span style="font- size: 12pt; text-indent: 56.6929pt; font-family: &amp;quot;Times New Roman&amp;quot;, serif; color: #131314; font-variant-numeric: normal; font-variant-east-asian: normal; font-variant- alternates: normal; font-variant-position: normal; font-variant-emoji: normal; vertical-align: baseline; white-space-collapse: preserve;"&gt;os pedidos do autor.&lt;/span&gt;&lt;/p&gt;&lt;p style="text- align: justify; font-family: &amp;quot;Times New Roman&amp;quot;; font-size: medium; line-height: 1.8; text-indent: 56.6929pt; margin-top: 0pt; margin-bottom: 0pt;" dir="ltr"&gt;&amp;#160;&lt;/p&gt;&lt;p style="text-align: justify; font-family: &amp;quot;Times New Roman&amp;quot;; font-size: medium; line-height: 1.8; text-indent: 56.6929pt; margin-top: 0pt; margin-bottom: 0pt;" dir="ltr"&gt;&amp;#160;&lt;span style="color: #131314; font-family: &amp;quot;Times New Roman&amp;quot;, serif; font-size: 12pt; white-space-collapse: preserve; text-indent: 56.6929pt;"&gt;Em suas razões recursais, o autor sustenta que o magistrado sentenciante não observou que, conforme promessa inicial, o imóvel deveria ter sido entregue em agosto de 2015, sendo abusiva qualquer cláusula posterior que atenue a responsabilidade do fornecedor. Por conseguinte, requer a reforma da sentença a fim de que seja julgado procedente a pretensão autoral.&lt;/span&gt;&lt;/p&gt;&lt;p style="text-align: justify; font-family: &amp;quot;Times New Roman&amp;quot;; font-size: medium; line-height: 1.8; text-indent: 56.6929pt; margin-top: 0pt; margin-bottom: 0pt;" dir="ltr"&gt;&amp;#160;&lt;/p&gt;&lt;p style="text-align: justify; font-family: &amp;quot;Times New Roman&amp;quot;; font-size: medium; line-height: 1.8; text-indent: 56.6929pt; margin-top: 0pt; margin-bottom: 0pt;" dir="ltr"&gt; &lt;span style="color: #131314; font-family:</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384" w:val="left" w:leader="none"/>
                <w:tab w:pos="2905" w:val="left" w:leader="none"/>
                <w:tab w:pos="3329" w:val="left" w:leader="none"/>
                <w:tab w:pos="5476" w:val="left" w:leader="none"/>
                <w:tab w:pos="6599" w:val="left" w:leader="none"/>
              </w:tabs>
              <w:spacing w:line="208" w:lineRule="auto" w:before="26"/>
              <w:ind w:right="31"/>
              <w:rPr>
                <w:sz w:val="20"/>
              </w:rPr>
            </w:pPr>
            <w:r>
              <w:rPr>
                <w:sz w:val="20"/>
              </w:rPr>
              <w:t>&amp;quot;Times New Roman&amp;quot;, serif; font-size: 12pt; white-space-collapse: preserve; </w:t>
            </w:r>
            <w:r>
              <w:rPr>
                <w:spacing w:val="-4"/>
                <w:sz w:val="20"/>
              </w:rPr>
              <w:t>text- </w:t>
            </w:r>
            <w:r>
              <w:rPr>
                <w:sz w:val="20"/>
              </w:rPr>
              <w:t>indent: 56.6929pt;"&gt;As demandadas apresentaram contrarrazões, sustentando a ausência de atraso na entrega e pleiteando a manutenção da sentença (ID 22804133).&lt;/span&gt;&lt;/p&gt;&lt;p style="text-align: justify; font-family: &amp;quot;Times New Roman&amp;quot;; font-size: medium; line-height: 1.8; text-indent: 56.6929pt; margin-top: 0pt; margin-bottom: 0pt;" dir="ltr"&gt;&amp;#160;&lt;/p&gt;&lt;p style="text-align: justify; font-family: &amp;quot;Times New Roman&amp;quot;; font-size: medium; line-height: 1.8; text-indent: 56.6929pt; margin-top: 0pt; margin-bottom: 0pt;" dir="ltr"&gt;&amp;#160;&lt;span style="font-size: 12pt; text- indent: 56.6929pt; font-family: &amp;quot;Times New Roman&amp;quot;, serif; color: #131314; font- variant-numeric: normal; font-variant-east-asian: normal; font-variant-alternates: normal; font-variant-position: normal; font-variant-emoji: normal; vertical-align: baseline; white- space-collapse: preserve;"&gt;Instada a se manifestar, a Procuradoria Geral de Justiça, deixou de adentrar ao exame do mérito, por entender que a demanda se limitava à discussão de&lt;/span&gt; &lt;span style="font-size: 12pt; text-indent: 56.6929pt; font-family: &amp;quot;Times New Roman&amp;quot;, serif; color: #131314; font-weight: 700; font-variant- numeric: normal; font-variant-east-asian: normal; font-variant-alternates: normal; font- variant-position: normal; font-variant-emoji: normal; vertical-align: baseline; white-space- collapse: preserve;"&gt;direitos individuais patrimoniais disponíveis&lt;/span&gt;&lt;span style="font- size: 12pt; text-indent: 56.6929pt; font-family: &amp;quot;Times New Roman&amp;quot;, serif; color: #131314; font-variant-numeric: normal; font-variant-east-asian: normal; font-variant- alternates: normal; font-variant-position: normal; font-variant-emoji: normal; vertical-align: baseline; white-space-collapse: preserve;"&gt;, não configurando hipótese de intervenção ministerial (ID 22803677).&lt;/span&gt;&lt;span style="font-family: &amp;quot;times new roman&amp;quot;, times; text-indent: 8%;"&gt;&amp;#160;&lt;/span&gt;&lt;/p&gt;&lt;p style="text-align: justify; font-family: &amp;quot;Times New Roman&amp;quot;; font-size: medium; line-height: 1.8; text-indent: 56.6929pt; margin-top: 0pt; margin-bottom: 0pt;" dir="ltr"&gt;&amp;#160;&lt;/p&gt;&lt;p style="text-align: justify; font- family: &amp;quot;Times New Roman&amp;quot;; font-size: medium; line-height: 1.8; text-indent: 56.6929pt; margin-top: 0pt; margin-bottom: 0pt;" dir="ltr"&gt;&amp;#160; &lt;span style="color: #131314; font-family: &amp;quot;Times New Roman&amp;quot;, serif; font-size: 12pt; white-space- collapse: preserve; text-indent: 56.6929pt;"&gt;É o relatório, no essencial.&lt;/span&gt;&lt;/p&gt;&lt;p style="text-align: center;"&gt;&amp;#160;&lt;/p&gt;&lt;p style="text-align: center;"&gt;&amp;#160;&lt;/p&gt;&lt;p style="text-align: center;"&gt;  &lt;span style="font-size: small;"&gt;</w:t>
              <w:tab/>
              <w:t>&lt;strong&gt;</w:t>
              <w:tab/>
              <w:t>&lt;span style="font-size: medium;"&gt;</w:t>
              <w:tab/>
              <w:t>&lt;span style="font-family: &amp;quot;times new roman&amp;quot;, times;"&gt;VOTO&lt;/span&gt;</w:t>
              <w:tab/>
              <w:t>&lt;/span&gt;</w:t>
              <w:tab/>
              <w:t>&lt;/strong&gt; &lt;/span&gt;&lt;/p&gt;&lt;p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space:pre-wrap;"&gt;I - Admissibilidade&lt;/span&gt;&lt;/p&gt;&lt;p style="line- height:1.7999999999999998;text-indent: 56.692913385826756pt;text-align: justify;margin- top:4pt;margin-bottom:0pt;" dir="ltr"&gt;&lt;span style="font-size:12pt;font-family:'Times New Roman',serif;color:#131314;background-color:#ffffff;font-weight:400;font-style:normal;font- variant:normal;text-decoration:none;vertical-align:baseline;white-space:pre;white- space:pre-wrap;"&gt;O recurso de apelação é tempestivo e preenche os requisitos de admissibilidade intrínsecos e extrínsecos, conforme a análise preliminar já realizada.</w:t>
            </w:r>
          </w:p>
          <w:p>
            <w:pPr>
              <w:pStyle w:val="TableParagraph"/>
              <w:spacing w:line="208" w:lineRule="auto" w:before="0"/>
              <w:ind w:right="21"/>
              <w:rPr>
                <w:sz w:val="20"/>
              </w:rPr>
            </w:pPr>
            <w:r>
              <w:rPr>
                <w:sz w:val="20"/>
              </w:rPr>
              <w:t>Portanto,&lt;/span&gt; &lt;span style="font-size:12pt;font-family:'Times New Roman',serif;color:#131314;background-color:#ffffff;font-weight:700;font-style:normal;font- variant:normal;text-decoration:none;vertical-align:baseline;white-space:pre;white- space:pre-wrap;"&gt;conheço&lt;/span&gt; &lt;span style="font-size:12pt;font-family:'Times New Roman',serif;color:#131314;background-color:#ffffff;font-weight:400;font-style:normal;font- variant:normal;text-decoration:none;vertical-align:baseline;white-space:pre;white- space:pre-wrap;"&gt;do recurso.&lt;/span&gt;&lt;/p&gt;&lt;p style="line-height:1.7999999999999998;text- indent: 56.692913385826756pt;text-align: justify;margin-top:4pt;margin-bottom:0pt;" dir="ltr"&gt; &lt;span style="font-size:12pt;font-family:'Times New Roman',serif;color:#131314;background-color:#ffffff;font-weight:700;font-style:normal;font- variant:normal;text-decoration:none;vertical-align:baseline;white-space:pre;white- space:pre-wrap;"&gt;II - Mérito&lt;/span&gt;&lt;/p&gt;&lt;p style="line-height:1.7999999999999998;text- indent: 56.692913385826756pt;text-align: justify;margin-top:6pt;margin-bottom:0pt;" dir="ltr"&gt;&lt;span style="font-size:12pt;font-family:'Times New Roman',serif;color:#131314;background-color:#ffffff;font-weight:400;font-style:normal;font- variant:normal;text-decoration:none;vertical-align:baseline;white-space:pre;white- space:pre-wrap;"&gt;Conforme narrado, o Juízo&lt;/span&gt; &lt;span style="font-size:12pt;font- family:'Times New Roman',serif;color:#131314;background-color:#ffffff;font-weight:400;font- style:italic;font-variant:normal;text-decoration:none;vertical-align:baseline;white- space:pre;white-space:pre-wrap;"&gt;a quo&lt;/span&gt; &lt;span style="font-size:12pt;font- family:'Times New Roman',serif;color:#131314;background-color:#ffffff;font-weight:400;font- style:normal;font-variant:normal;text-decoration:none;vertical-align:baseline;white- space:pre;white-space:pre-wrap;"&gt;acolheu a prejudicial de mérito da prescrição trienal para a pretensão de restituição de valores pagos a título de Comissão de Corretagem e Taxa de Assessoria.&lt;/span&gt;&lt;/p&gt;&lt;p style="line-height:1.7999999999999998;text-indent: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56.692913385826756pt;text-align: justify;margin-top:6pt;margin-bottom:0pt;" dir="ltr"&gt;</w:t>
            </w:r>
          </w:p>
          <w:p>
            <w:pPr>
              <w:pStyle w:val="TableParagraph"/>
              <w:spacing w:line="208" w:lineRule="auto" w:before="9"/>
              <w:ind w:right="159"/>
              <w:rPr>
                <w:sz w:val="20"/>
              </w:rPr>
            </w:pPr>
            <w:r>
              <w:rPr>
                <w:sz w:val="20"/>
              </w:rPr>
              <w:t>&lt;span style="font-size:12pt;font-family:'Times New Roman',serif;color:#131314;background-color:#ffffff;font-weight:400;font-style:normal;font- variant:normal;text-decoration:none;vertical-align:baseline;white-space:pre;white- space:pre-wrap;"&gt;O contrato de compra e venda e o pagamento das taxas ocorreram em</w:t>
            </w:r>
          </w:p>
          <w:p>
            <w:pPr>
              <w:pStyle w:val="TableParagraph"/>
              <w:spacing w:line="208" w:lineRule="auto" w:before="0"/>
              <w:ind w:right="21"/>
              <w:rPr>
                <w:sz w:val="20"/>
              </w:rPr>
            </w:pPr>
            <w:r>
              <w:rPr>
                <w:sz w:val="20"/>
              </w:rPr>
              <w:t>2014, e a Ação de Reparação foi ajuizada apenas em 03 de outubro de 2018. assim, tendo sido ultrapassado o lapso temporal de três anos, a pretensão encontra-se, de fato, fulminada pela prescrição. Tal conclusão encontra-se em consonância com o disposto no Tema 938/STJ, que estabelece que a pretensão de restituição dos valores pagos a título de comissão de corretagem ou serviço está sujeita à prescrição trienal.&lt;/span&gt;&lt;/p&gt;&lt;p style="line-height:1.7999999999999998;text-indent: 56.692913385826756pt;text-align: justify;margin-top:6pt;margin-bottom:0pt;" dir="ltr"&gt; &lt;span style="font-size:12pt;font- family:'Times New Roman',serif;color:#131314;background-color:#ffffff;font-weight:400;font- style:normal;font-variant:normal;text-decoration:none;vertical-align:baseline;white- space:pre;white-space:pre-wrap;"&gt;Concluiu-se, também, pela legalidade da cláusula de prorrogação de 180 dias, e que não houve atraso na entrega do imóvel.&amp;#160;&lt;/span&gt;&lt;/p&gt;&lt;p style="line-height:1.7999999999999998;text-indent: 56.692913385826756pt;text-align: justify;margin-top:6pt;margin-bottom:0pt;" dir="ltr"&gt;</w:t>
            </w:r>
          </w:p>
          <w:p>
            <w:pPr>
              <w:pStyle w:val="TableParagraph"/>
              <w:spacing w:line="208" w:lineRule="auto" w:before="0"/>
              <w:ind w:right="119"/>
              <w:rPr>
                <w:sz w:val="20"/>
              </w:rPr>
            </w:pPr>
            <w:r>
              <w:rPr>
                <w:sz w:val="20"/>
              </w:rPr>
              <w:t>&lt;span style="font-size:12pt;font-family:'Times New Roman',serif;color:#131314;background-color:#ffffff;font-weight:400;font-style:normal;font- variant:normal;text-decoration:none;vertical-align:baseline;white-space:pre;white- space:pre-wrap;"&gt;O recorrente, no entanto, sustenta que o juízo sentenciante não observou que a promessa inicial era de que o imóvel fosse entregue em agosto de 2015, consoante e-mail enviado pelo corretor.&lt;/span&gt;&lt;/p&gt;&lt;p style="line- height:1.7999999999999998;text-indent: 56.692913385826756pt;text-align: justify;margin- top:6pt;margin-bottom:0pt;" dir="ltr"&gt; &lt;span style="font-size:12pt;font-family:'Times New Roman',serif;color:#131314;background-color:#ffffff;font-weight:400;font-style:normal;font- variant:normal;text-decoration:none;vertical-align:baseline;white-space:pre;white- space:pre-wrap;"&gt;Da detida análise dos autos, notadamente do documento de Id 22804316, verifica-se que o prazo previsto contratualmente, para a entrega do imóvel, era 31/08/2026. Referido instrumento contratual também estabelecia a cláusula de tolerância de 180 dias, a qual é legítima, conforme remansosa jurisprudência pátria.</w:t>
            </w:r>
          </w:p>
          <w:p>
            <w:pPr>
              <w:pStyle w:val="TableParagraph"/>
              <w:tabs>
                <w:tab w:pos="7183" w:val="left" w:leader="none"/>
              </w:tabs>
              <w:spacing w:line="189" w:lineRule="exact" w:before="0"/>
              <w:rPr>
                <w:sz w:val="20"/>
              </w:rPr>
            </w:pPr>
            <w:r>
              <w:rPr>
                <w:sz w:val="20"/>
              </w:rPr>
              <w:t>Vejamos:&lt;/span&gt;&lt;/p&gt;&lt;p align="center"&gt;  &lt;strong style="font-weight:normal;"&gt;</w:t>
              <w:tab/>
              <w:t>&lt;br /&gt;</w:t>
            </w:r>
          </w:p>
          <w:p>
            <w:pPr>
              <w:pStyle w:val="TableParagraph"/>
              <w:spacing w:line="208" w:lineRule="auto" w:before="8"/>
              <w:ind w:right="21"/>
              <w:rPr>
                <w:sz w:val="20"/>
              </w:rPr>
            </w:pPr>
            <w:r>
              <w:rPr>
                <w:sz w:val="20"/>
              </w:rPr>
              <w:t>&lt;/strong&gt;&lt;/p&gt;&lt;p style="line-height:1.38;margin-left: 113.38582677165354pt;text-align: justify;margin-top:0pt;margin-bottom:0pt;" dir="ltr"&gt; &lt;span style="font-size:11pt;font- family:'Times New Roman',serif;color:#131314;background-color:#ffffff;font-weight:400;font- style:normal;font-variant:normal;text-decoration:none;vertical-align:baseline;white- space:pre;white-space:pre-wrap;"&gt;EMENTA: DIREITO CIVIL E CONSUMIDOR. APELAÇÃO CÍVEL. AÇÃO DE REPETIÇÃO DO INDÉBITO C/C INDENIZAÇÃO POR DANOS MORAIS. PROMESSA DE COMPRA E VENDA. ATRASO NA ENTREGA DO IMÓVEL. INOCORRÊNCIA. TAXA DE EVOLUÇÃO DA OBRA. DEVIDA. TAXA DE ADMINISTRAÇÃO E DE ASSESSORIA. PRESCRIÇÃO. SENTENÇA MANTIDA.</w:t>
            </w:r>
          </w:p>
          <w:p>
            <w:pPr>
              <w:pStyle w:val="TableParagraph"/>
              <w:spacing w:line="208" w:lineRule="auto" w:before="0"/>
              <w:ind w:right="54"/>
              <w:rPr>
                <w:sz w:val="20"/>
              </w:rPr>
            </w:pPr>
            <w:r>
              <w:rPr>
                <w:sz w:val="20"/>
              </w:rPr>
              <w:t>RECURSO CONHECIDO E IMPROVIDO.&amp;#160;&lt;/span&gt;&lt;/p&gt;&lt;p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space:pre-wrap;"&gt;1. A controvérsia recursal consiste em saber se houve atraso na </w:t>
            </w:r>
            <w:r>
              <w:rPr>
                <w:spacing w:val="-3"/>
                <w:sz w:val="20"/>
              </w:rPr>
              <w:t>entrega </w:t>
            </w:r>
            <w:r>
              <w:rPr>
                <w:sz w:val="20"/>
              </w:rPr>
              <w:t>do imóvel, e, por consequência se são devidas as taxas de evolução da obra, de assessoria e de administração contratual e condenação em dano moral do promitente vendedor pelo atraso na entrega de imóvel objeto de contrato de promessa de compra e venda firmado com a recorrente.&amp;#160;&lt;/span&gt;&lt;/p&gt;&lt;p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space:pre-wrap;"&gt;2. Inicialmente, destaco que está presente relação de consumo, nos termos do art. 2º e 3º do CDC, uma vez que a parte apelada é fornecedora de bens e serviços, enquanto a recorrente, como adquirente daquele, figura na qualidade de consumidora.&lt;/span&gt;&lt;/p&gt;&lt;p style="line-height:1.38;margin-left: 113.38582677165354pt;text-align: justify;margin-top:0pt;margin-bottom:0pt;" dir="ltr"&gt;</w:t>
            </w:r>
          </w:p>
          <w:p>
            <w:pPr>
              <w:pStyle w:val="TableParagraph"/>
              <w:spacing w:line="208" w:lineRule="auto" w:before="0"/>
              <w:ind w:right="109"/>
              <w:rPr>
                <w:sz w:val="20"/>
              </w:rPr>
            </w:pPr>
            <w:r>
              <w:rPr>
                <w:sz w:val="20"/>
              </w:rPr>
              <w:t>&lt;span style="font-size:11pt;font-family:'Times New Roman',serif;color:#131314;background-color:#ffffff;font-weight:400;font-style:normal;font- variant:normal;text-decoration:none;vertical-align:baseline;white-space:pre;white- space:pre-wrap;"&gt;3. Examinando o contrato celebrado entre as partes (ID 18464244) bem como o quadro resumo (ID 18464254), observa-se que o prazo previsto para a entrega da infraestrutura seria 29 (vinte e nove) meses a partir do registro do financiamento bancário que, consoante reconhecido pela recorrente, ocorreu em 21.02.2013.&lt;/span&gt;&lt;/p&gt;&lt;p style="line-height:1.38;margin-left: 113.38582677165354pt;text-align: justify;margin- top:0pt;margin-bottom:0pt;" dir="ltr"&gt; &lt;span style="font-size:11pt;font-family:'Times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59"/>
              <w:rPr>
                <w:sz w:val="20"/>
              </w:rPr>
            </w:pPr>
            <w:r>
              <w:rPr>
                <w:sz w:val="20"/>
              </w:rPr>
              <w:t>Roman',serif;color:#131314;background-color:#ffffff;font-weight:400;font-style:normal;font- variant:normal;text-decoration:none;vertical-align:baseline;white-space:pre;white- space:pre-wrap;"&gt;4. Desse modo, a entrega seria para 21/07/2015.&lt;/span&gt;&lt;/p&gt;&lt;p style="line-height:1.38;margin-left: 113.38582677165354pt;text-align: justify;margin- top:0pt;margin-bottom:0pt;" dir="ltr"&gt; &lt;span style="font-size:11pt;font-family:'Times New Roman',serif;color:#131314;background-color:#ffffff;font-weight:400;font-style:normal;font- variant:normal;text-decoration:none;vertical-align:baseline;white-space:pre;white- space:pre-wrap;"&gt;5. Inobstante, a cláusula quinta do contrato (ID 18464244) previu a prazo de tolerância de 180 (cento e oitenta) dias, postergando o prazo de entrega para 21/01/2016.&lt;/span&gt;&lt;/p&gt;&lt;p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space:pre-wrap;"&gt;6. Assim, deve ser considerado o mês de janeiro de 2016 para fins de surgimento do direito da recorrente pelo atraso da obra, conforme também orientação do art. 43-A da Lei 4.591/64 .&lt;/span&gt;&lt;/p&gt;&lt;p style="line-height:1.38;margin-left: 113.38582677165354pt;text-align: justify;margin-top:0pt;margin-bottom:0pt;" dir="ltr"&gt;</w:t>
            </w:r>
          </w:p>
          <w:p>
            <w:pPr>
              <w:pStyle w:val="TableParagraph"/>
              <w:spacing w:line="208" w:lineRule="auto" w:before="0"/>
              <w:ind w:right="97"/>
              <w:rPr>
                <w:sz w:val="20"/>
              </w:rPr>
            </w:pPr>
            <w:r>
              <w:rPr>
                <w:sz w:val="20"/>
              </w:rPr>
              <w:t>&lt;span style="font-size:11pt;font-family:'Times New Roman',serif;color:#131314;background-color:#ffffff;font-weight:400;font-style:normal;font- variant:normal;text-decoration:none;vertical-align:baseline;white-space:pre;white- space:pre-wrap;"&gt;7. Registre-se que o Superior Tribunal de Justiça posiciona-se pela validade da cláusula de tolerância&amp;#160; (STJ - AgInt no AREsp: 1957756 RO 2021/0246485-0, Relator.: Ministro RAUL ARAÚJO, Data de Julgamento: 14/03/2022, T4 </w:t>
            </w:r>
            <w:r>
              <w:rPr>
                <w:spacing w:val="-18"/>
                <w:sz w:val="20"/>
              </w:rPr>
              <w:t>- </w:t>
            </w:r>
            <w:r>
              <w:rPr>
                <w:sz w:val="20"/>
              </w:rPr>
              <w:t>QUARTA TURMA, Data de Publicação: DJe 05/04/2022).&lt;/span&gt;&lt;/p&gt;&lt;p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space:pre-wrap;"&gt;8. Desse modo, considerando que a entrega do imóvel ocorreu em 26/11/2015, consoante termo de posse de ID 18464259, não há que se falar em atraso na entrega no imóvel.&lt;/span&gt;&lt;/p&gt;&lt;p style="line-height:1.38;margin-left: 113.38582677165354pt;text-align: justify;margin-top:0pt;margin-bottom:0pt;" dir="ltr"&gt;</w:t>
            </w:r>
          </w:p>
          <w:p>
            <w:pPr>
              <w:pStyle w:val="TableParagraph"/>
              <w:spacing w:line="208" w:lineRule="auto" w:before="0"/>
              <w:ind w:right="125"/>
              <w:rPr>
                <w:sz w:val="20"/>
              </w:rPr>
            </w:pPr>
            <w:r>
              <w:rPr>
                <w:sz w:val="20"/>
              </w:rPr>
              <w:t>&lt;span style="font-size:11pt;font-family:'Times New Roman',serif;color:#131314;background-color:#ffffff;font-weight:400;font-style:normal;font- variant:normal;text-decoration:none;vertical-align:baseline;white-space:pre;white- space:pre-wrap;"&gt;9. Tampouco comporta acolhimento a alegação de ausência de prazo definido para a entrega, vez que todos os termos foram devidamente fixados no contrato.&lt;/span&gt;&lt;/p&gt;&lt;p style="line-height:1.38;margin-left: 113.38582677165354pt;text- align: justify;margin-top:0pt;margin-bottom:0pt;" dir="ltr"&gt; &lt;span style="font-size:11pt;font-</w:t>
            </w:r>
          </w:p>
          <w:p>
            <w:pPr>
              <w:pStyle w:val="TableParagraph"/>
              <w:spacing w:line="208" w:lineRule="auto" w:before="0"/>
              <w:ind w:right="20"/>
              <w:rPr>
                <w:sz w:val="20"/>
              </w:rPr>
            </w:pPr>
            <w:r>
              <w:rPr>
                <w:sz w:val="20"/>
              </w:rPr>
              <w:t>family:'Times New Roman',serif;color:#131314;background-color:#ffffff;font-weight:400;font- style:normal;font-variant:normal;text-decoration:none;vertical-align:baseline;white- space:pre;white-space:pre-wrap;"&gt;10. No tocante à taxa de evolução da obra, considerando que não houve atraso, é devida a cobrança.&lt;/span&gt;&lt;/p&gt;&lt;p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space:pre-wrap;"&gt;11. No tocante às taxas de administração e de assessoria, encontra-se o pedido de restituição fulminado pela prescrição trienal, vez o pagamento ocorreu quando da contratação, em 05/12/2012.&lt;/span&gt;&lt;/p&gt;&lt;p style="line-height:1.38;margin-left: 113.38582677165354pt;text-align: justify;margin-top:0pt;margin-bottom:0pt;" dir="ltr"&gt;</w:t>
            </w:r>
          </w:p>
          <w:p>
            <w:pPr>
              <w:pStyle w:val="TableParagraph"/>
              <w:spacing w:line="208" w:lineRule="auto" w:before="0"/>
              <w:ind w:right="159"/>
              <w:rPr>
                <w:sz w:val="20"/>
              </w:rPr>
            </w:pPr>
            <w:r>
              <w:rPr>
                <w:sz w:val="20"/>
              </w:rPr>
              <w:t>&lt;span style="font-size:11pt;font-family:'Times New Roman',serif;color:#131314;background-color:#ffffff;font-weight:400;font-style:normal;font- variant:normal;text-decoration:none;vertical-align:baseline;white-space:pre;white- space:pre-wrap;"&gt;2. Recurso conhecido e improvido.&lt;/span&gt;&lt;/p&gt;&lt;p style="line- height:1.38;margin-left: 113.38582677165354pt;text-align: justify;margin-top:0pt;margin- bottom:0pt;" dir="ltr"&gt; &lt;span style="font-size:11pt;font-family:'Times New Roman',serif;color:#131314;background-color:#ffffff;font-weight:400;font-style:normal;font- variant:normal;text-decoration:none;vertical-align:baseline;white-space:pre;white- space:pre-wrap;"&gt;(APELAÇÃO CÍVEL - 02202936420208060001, Relator(a): CARLOS</w:t>
            </w:r>
          </w:p>
          <w:p>
            <w:pPr>
              <w:pStyle w:val="TableParagraph"/>
              <w:tabs>
                <w:tab w:pos="7417" w:val="left" w:leader="none"/>
              </w:tabs>
              <w:spacing w:line="208" w:lineRule="auto" w:before="0"/>
              <w:ind w:right="212"/>
              <w:rPr>
                <w:sz w:val="20"/>
              </w:rPr>
            </w:pPr>
            <w:r>
              <w:rPr>
                <w:sz w:val="20"/>
              </w:rPr>
              <w:t>ALBERTO MENDES FORTE, 2ª Câmara de Direito Privado, Data do julgamento: 03/04/2025)&lt;/span&gt;&lt;/p&gt;&lt;p align="center"&gt;  &lt;strong style="font-weight:normal;"&gt;</w:t>
              <w:tab/>
              <w:t>&lt;br</w:t>
            </w:r>
            <w:r>
              <w:rPr>
                <w:spacing w:val="1"/>
                <w:sz w:val="20"/>
              </w:rPr>
              <w:t> </w:t>
            </w:r>
            <w:r>
              <w:rPr>
                <w:spacing w:val="-9"/>
                <w:sz w:val="20"/>
              </w:rPr>
              <w:t>/&gt;</w:t>
            </w:r>
          </w:p>
          <w:p>
            <w:pPr>
              <w:pStyle w:val="TableParagraph"/>
              <w:spacing w:line="208" w:lineRule="auto" w:before="0"/>
              <w:ind w:right="21"/>
              <w:rPr>
                <w:sz w:val="20"/>
              </w:rPr>
            </w:pPr>
            <w:r>
              <w:rPr>
                <w:sz w:val="20"/>
              </w:rPr>
              <w:t>&lt;/strong&gt;&lt;/p&gt;&lt;p style="line-height:1.38;margin-left: 113.38582677165354pt;text-align: justify;margin-top:0pt;margin-bottom:0pt;" dir="ltr"&gt; &lt;span style="font-size:11pt;font- family:'Times New Roman',serif;color:#131314;background-color:#ffffff;font-weight:400;font- style:normal;font-variant:normal;text-decoration:none;vertical-align:baseline;white- space:pre;white-space:pre-wrap;"&gt;Ementa: DIREITO CIVIL. EMBARGOS DE DECLARAÇÃO EM APELAÇÃO CÍVEL. PROMESSA DE COMPRA E VENDA. ATRASO NA ENTREGA DO IMÓVEL. CLÁUSULA DE TOLERÂNCIA. POSSIBILIDADE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71"/>
              <w:rPr>
                <w:sz w:val="20"/>
              </w:rPr>
            </w:pPr>
            <w:r>
              <w:rPr>
                <w:sz w:val="20"/>
              </w:rPr>
              <w:t>FIXAÇÃO EM CLÁUSULA CONTRATUAL. OMISSÃO INEXISTENTE. TERMO FINAL DOS LUCROS CESSANTES. DATA DA POSSE DIRETA PELO ADQUIRENTE. TEMA 966 do STJ. CONTRADIÇÃO VERIFICADA. EMBARGOS DE DECLARAÇÃO</w:t>
            </w:r>
          </w:p>
          <w:p>
            <w:pPr>
              <w:pStyle w:val="TableParagraph"/>
              <w:spacing w:line="208" w:lineRule="auto" w:before="0"/>
              <w:ind w:right="105"/>
              <w:rPr>
                <w:sz w:val="20"/>
              </w:rPr>
            </w:pPr>
            <w:r>
              <w:rPr>
                <w:sz w:val="20"/>
              </w:rPr>
              <w:t>PARCIALMENTE PROVIDOS. I. CASO EM EXAME: 1. Embargos de declaração em apelação cível, contra acórdão que reformou parcialmente a sentença da 1ª Vara Cível da Comarca de Aquiraz, condenando a parte embargada ao pagamento de lucros cessantes e danos morais pelo atraso na entrega de imóvel no Complexo Turístico Mandara. Os embargantes alegam omissão e contradição na decisão. II. QUESTÃO EM DISCUSSÃO:</w:t>
            </w:r>
          </w:p>
          <w:p>
            <w:pPr>
              <w:pStyle w:val="TableParagraph"/>
              <w:tabs>
                <w:tab w:pos="4943" w:val="left" w:leader="none"/>
              </w:tabs>
              <w:spacing w:line="208" w:lineRule="auto" w:before="0"/>
              <w:ind w:right="21"/>
              <w:rPr>
                <w:sz w:val="20"/>
              </w:rPr>
            </w:pPr>
            <w:r>
              <w:rPr>
                <w:sz w:val="20"/>
              </w:rPr>
              <w:t>2. Há duas questões a se analisar: (i) alegada omissão quanto à justificativa para a aplicação da cláusula de tolerância de 180 dias; e (ii) alegada contradição referente ao termo final dos lucros cessantes, fixado na data do habite-se, ao invés da data do efetivo recebimento do imóvel pelos embargantes. III. RAZÕES DE DECIDIR: 3. A alegação de omissão quanto à cláusula de tolerância não prospera, pois a decisão embargada fundamentou adequadamente sua validade, com base em jurisprudência do Superior Tribunal de Justiça (STJ). A rediscussão do mérito não é cabível em embargos de declaração, conforme a Súmula 18 do TJCE. 4. Assiste razão aos embargantes quanto à contradição nos lucros cessantes, sendo adequada sua fixação até a data da posse direta do imóvel pelos adquirentes, conforme entendimento consolidado do STJ em sede de recurso repetitivo (Tema 966 - REsp 1729593/SP). IV. DISPOSITIVO E TESE: 5. Embargos de declaração parcialmente providos, apenas para fazer constar como termo final dos lucros cessantes a data do efetivo recebimento do imóvel pelos embargantes, mantendo inalterada a decisão embargada em todo o demais termos. Teses de julgamento: ¿1. A cláusula de tolerância de 180 dias em contrato de promessa de compra e venda de imóvel é válida e não abusiva, desde que respeitado seu prazo máximo e sem prorrogação indevida. 2. O termo final para a indenização por lucros cessantes, em caso de atraso na entrega do imóvel, deve ser a data do efetivo recebimento do imóvel pelo adquirente. (TJ/CE; Embargos de Declaração nº 0019880-38.2017.8.06.0034; Relator(a): CLEIDE ALVES DE AGUIAR; Comarca: Aquiraz; Órgão julgador: 3ª Câmara Direito Privado; Data do julgamento: 12/02/2025; Data de publicação: 12/02/2025)&lt;/span&gt;&lt;/p&gt;&lt;p align="center"&gt;  &lt;strong style="font-weight:normal;"&gt;</w:t>
              <w:tab/>
              <w:t>&lt;br /&gt; &lt;/strong&gt;&lt;/p&gt;&lt;p style="line- height:1.7999999999999998;text-indent: 56.692913385826756pt;text-align: justify;margin- top:6pt;margin-bottom:0pt;" dir="ltr"&gt;&lt;span style="font-size:12pt;font-family:'Times New Roman',serif;color:#131314;background-color:#ffffff;font-weight:400;font-style:normal;font- variant:normal;text-decoration:none;vertical-align:baseline;white-space:pre;white- space:pre-wrap;"&gt;Dessa forma, somando-se o prazo de tolerância à data prevista para entrega do empreendimento, o prazo final era&lt;/span&gt; &lt;span style="font-size:12pt;font- family:'Times New Roman',serif;color:#131314;background-color:#ffffff;font-weight:700;font- style:normal;font-variant:normal;text-decoration:none;vertical-align:baseline;white- space:pre;white-space:pre-wrap;"&gt;fevereiro/2017&lt;/span&gt;&lt;span style="font-size:12pt;font- family:'Times New Roman',serif;color:#131314;background-color:#ffffff;font-weight:400;font- style:normal;font-variant:normal;text-decoration:none;vertical-align:baseline;white- space:pre;white-space:pre-wrap;"&gt;. A imissão na posse, por parte do autor/apelante, ocorreu em&lt;/span&gt; &lt;span style="font-size:12pt;font-family:'Times New Roman',serif;color:#131314;background-color:#ffffff;font-weight:700;font-style:normal;font- variant:normal;text-decoration:none;vertical-align:baseline;white-space:pre;white- space:pre-wrap;"&gt;setembro de 2016&lt;/span&gt;&lt;span style="font-size:12pt;font-family:'Times New Roman',serif;color:#131314;background-color:#ffffff;font-weight:400;font- style:normal;font-variant:normal;text-decoration:none;vertical-align:baseline;white- space:pre;white-space:pre-wrap;"&gt;, como afirmado pelo próprio recorrente.&lt;/span&gt;&lt;/p&gt;&lt;p style="line-height:1.7999999999999998;text-indent: 56.692913385826756pt;text-align: justify;margin-top:6pt;margin-bottom:0pt;" dir="ltr"&gt; &lt;span style="font-size:12pt;font- family:'Times New Roman',serif;color:#131314;background-color:#ffffff;font-weight:400;font- style:normal;font-variant:normal;text-decoration:none;vertical-align:baseline;white- space:pre;white-space:pre-wrap;"&gt;Não assiste razão, portanto, ao apelante de que a entrega do imóvel deveria ter sido realizada em agosto de 2015. Embora tenha juntado aos autos um e-mail enviado por um corretor de imóveis em que consta a informação de que o imóvel seria entregue em agosto de 2015, isso não se sobrepõe ao disposto no contrato firmado entre as partes.&lt;/span&gt;&lt;/p&gt;&lt;p style="line- height:1.7999999999999998;text-indent: 56.692913385826756pt;text-align: justify;margin- top:6pt;margin-bottom:0pt;" dir="ltr"&gt;&lt;span style="font-size:12pt;font-family:'Times New Roman',serif;color:#131314;background-color:#ffffff;font-weight:400;font-style:normal;font- variant:normal;text-decoration:none;vertical-align:baseline;white-space:pre;white- space:pre-wrap;"&gt;Por conseguinte, considerando que&lt;/span&gt; &lt;span style="font- size:12pt;font-family:'Times New Roman',serif;color:#131314;background-color:#ffffff;font- weight:700;font-style:normal;font-variant:normal;text-decoration:none;vertical- align:baseline;white-space:pre;white-space:pre-wrap;"&gt;não foi constatado o inadimplemento contratual&lt;/span&gt; &lt;span style="font-size:12pt;font-family:'Times New Roman',serif;color:#131314;background-color:#ffffff;font-weight:400;font-style:normal;font- variant:normal;text-decoration:none;vertical-align:baseline;white-space:pre;white- space:pre-wrap;"&gt;por atraso, deve ser mantida a sentença recorrida, que julgou</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0168011-20.2018.8.06.0001</w:t>
            </w:r>
          </w:p>
        </w:tc>
      </w:tr>
      <w:tr>
        <w:trPr>
          <w:trHeight w:val="11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72" w:val="left" w:leader="none"/>
                <w:tab w:pos="1083" w:val="left" w:leader="none"/>
                <w:tab w:pos="2461" w:val="left" w:leader="none"/>
                <w:tab w:pos="3317" w:val="left" w:leader="none"/>
                <w:tab w:pos="4262" w:val="left" w:leader="none"/>
                <w:tab w:pos="4332" w:val="left" w:leader="none"/>
                <w:tab w:pos="5522" w:val="left" w:leader="none"/>
                <w:tab w:pos="7278" w:val="left" w:leader="none"/>
              </w:tabs>
              <w:spacing w:line="208" w:lineRule="auto" w:before="26"/>
              <w:ind w:right="21"/>
              <w:rPr>
                <w:sz w:val="20"/>
              </w:rPr>
            </w:pPr>
            <w:r>
              <w:rPr>
                <w:sz w:val="20"/>
              </w:rPr>
              <w:t>improcedente os pedidos do autor.&lt;/span&gt;&lt;/p&gt;&lt;p style="line- height:1.7999999999999998;text-indent: 56.692913385826756pt;text-align: justify;margin- top:4pt;margin-bottom:0pt;" dir="ltr"&gt; &lt;span style="font-size:12pt;font-family:'Times New Roman',serif;color:#131314;background-color:#ffffff;font-weight:700;font-style:normal;font- variant:normal;text-decoration:none;vertical-align:baseline;white-space:pre;white- space:pre-wrap;"&gt;Dispositivo&lt;/span&gt;&lt;/p&gt;&lt;p style="line-height:1.7999999999999998;text- indent: 56.692913385826756pt;text-align: justify;margin-top:4pt;margin-bottom:0pt;" dir="ltr"&gt;&lt;span style="font-size:12pt;font-family:'Times New Roman',serif;color:#131314;background-color:#ffffff;font-weight:400;font-style:normal;font- variant:normal;text-decoration:none;vertical-align:baseline;white-space:pre;white- space:pre-wrap;"&gt;Por todo exposto e fundamentado,&lt;/span&gt; &lt;span style="font- size:12pt;font-family:'Times New Roman',serif;color:#131314;background-color:#ffffff;font- weight:700;font-style:normal;font-variant:normal;text-decoration:none;vertical- align:baseline;white-space:pre;white-space:pre-wrap;"&gt;conheço&lt;/span&gt; &lt;span style="font- size:12pt;font-family:'Times New Roman',serif;color:#131314;background-color:#ffffff;font- weight:400;font-style:normal;font-variant:normal;text-decoration:none;vertical- align:baseline;white-space:pre;white-space:pre-wrap;"&gt;do presente Recurso de Apelação, para&lt;/span&gt; &lt;span style="font-size:12pt;font-family:'Times New Roman',serif;color:#131314;background-color:#ffffff;font-weight:700;font-style:normal;font- variant:normal;text-decoration:none;vertical-align:baseline;white-space:pre;white- space:pre-wrap;"&gt;negar-lhe provimento&lt;/span&gt;&lt;span style="font-size:12pt;font- family:'Times New Roman',serif;color:#131314;background-color:#ffffff;font-weight:400;font- style:normal;font-variant:normal;text-decoration:none;vertical-align:baseline;white- space:pre;white-space:pre-wrap;"&gt;.&lt;/span&gt;&lt;/p&gt;&lt;p style="line- height:1.7999999999999998;text-indent: 56.692913385826756pt;text-align: justify;margin- top:6pt;margin-bottom:0pt;" dir="ltr"&gt; &lt;span style="font-size:12pt;font-family:'Times New Roman',serif;color:#131314;background-color:#ffffff;font-weight:400;font-style:normal;font- variant:normal;text-decoration:none;vertical-align:baseline;white-space:pre;white- space:pre-wrap;"&gt;Por fim.&amp;#160; nos termos do art. 85, § 11, do Código de Processo Civil, majoro os honorários advocatícios sucumbenciais devidos pelo apelante para 12% sobre o valor da causa, mantendo-se a suspensão da sua exigibilidade em razão do benefício da justiça gratuita deferido em seu favor.&lt;/span&gt;&lt;/p&gt;&lt;p style="line- height:1.7999999999999998;text-indent: 56.692913385826756pt;text-align: justify;margin- top:6pt;margin-bottom:0pt;" dir="ltr"&gt; &lt;span style="font-size:12pt;font-family:'Times New Roman',serif;color:#131314;background-color:#ffffff;font-weight:400;font-style:normal;font- variant:normal;text-decoration:none;vertical-align:baseline;white-space:pre;white- space:pre-wrap;"&gt;É como voto.&lt;/span&gt;&lt;/p&gt;&lt;p style="line- height:1.7999999999999998;text-indent: 56.692913385826756pt;text-align: justify;margin- top:6pt;margin-bottom:0pt;" dir="ltr"&gt; &lt;span style="font-size:12pt;font-family:'Times New Roman',serif;color:#131314;background-color:#ffffff;font-weight:400;font-style:normal;font- variant:normal;text-decoration:none;vertical-align:baseline;white-space:pre;white- space:pre-wrap;"&gt;&amp;#160;&lt;/span&gt; &lt;span style="font-family: &amp;quot;times new roman&amp;quot;, times; font-size: medium; text-indent: 8%;"&gt;Fortaleza/CE, data registrada no sistema.&lt;/span&gt;&lt;/p&gt;&lt;p style="text-indent: 8%; text-align: justify;"&gt; &lt;span style="font-size: small;"&gt;</w:t>
              <w:tab/>
              <w:t>&lt;span style="font-size: medium;"&gt;</w:t>
              <w:tab/>
              <w:tab/>
              <w:t>&lt;span style="font-family: &amp;quot;times new roman&amp;quot;, times;"&gt;</w:t>
              <w:tab/>
              <w:t>&lt;br /&gt;</w:t>
              <w:tab/>
              <w:t>&lt;/span&gt;</w:t>
              <w:tab/>
              <w:t>&lt;/span&gt; &lt;/span&gt;&lt;/p&gt;&lt;p style="text-indent: 8%; text-align: center;"&gt;  &lt;span style="font-size: medium;"&gt;</w:t>
              <w:tab/>
              <w:t>&lt;strong style="font-size: small;"&gt;</w:t>
              <w:tab/>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Representação comercial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SAFILO DO BRASIL LTDA.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527"/>
              <w:rPr>
                <w:sz w:val="20"/>
              </w:rPr>
            </w:pPr>
            <w:r>
              <w:rPr>
                <w:sz w:val="20"/>
              </w:rPr>
              <w:t>SERGIO LUIZ BEZERRA PRESTA - (SP190369-S) LUCIANO DE AZEVEDO RIOS - (SP108639-A)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 L D L REPRESENTACOES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138"/>
              <w:rPr>
                <w:sz w:val="20"/>
              </w:rPr>
            </w:pPr>
            <w:r>
              <w:rPr>
                <w:sz w:val="20"/>
              </w:rPr>
              <w:t>THIAGO MAIA NUNES - (CE17465-A) MARCOS DA SILVA BRUNO - (CE14379-A)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&lt;strong&gt;PROCESSO&lt;/strong&gt;:&amp;#160;0200570-34.2023.8.06.0137 -&amp;#160;APELAÇÃO</w:t>
            </w:r>
          </w:p>
          <w:p>
            <w:pPr>
              <w:pStyle w:val="TableParagraph"/>
              <w:tabs>
                <w:tab w:pos="6557" w:val="left" w:leader="none"/>
                <w:tab w:pos="6791" w:val="left" w:leader="none"/>
              </w:tabs>
              <w:spacing w:line="208" w:lineRule="auto" w:before="8"/>
              <w:ind w:right="183"/>
              <w:rPr>
                <w:sz w:val="20"/>
              </w:rPr>
            </w:pPr>
            <w:r>
              <w:rPr>
                <w:sz w:val="20"/>
              </w:rPr>
              <w:t>CÍVEL (198)&lt;/span&gt;  &lt;/span&gt;&lt;/p&gt;&lt;p&gt;  &lt;span style="font-size: small;"&gt;</w:t>
              <w:tab/>
              <w:t>&lt;span style="font-family: &amp;quot;times new roman&amp;quot;, times;"&gt;APELANTE: SAFILO DO BRASIL LTDA.&lt;/span&gt;  &lt;/span&gt;&lt;/p&gt;&lt;p&gt;  &lt;span style="font-size: small;"&gt;</w:t>
              <w:tab/>
              <w:t>&lt;span style="font-family: &amp;quot;times new roman&amp;quot;, times;"&gt;APELADO: A L D L REPRESENTACOES LTDA&lt;/span&gt; &lt;/span&gt;&lt;/p&gt;&lt;p&gt; &lt;span style="font-size:</w:t>
            </w:r>
            <w:r>
              <w:rPr>
                <w:spacing w:val="-17"/>
                <w:sz w:val="20"/>
              </w:rPr>
              <w:t> </w:t>
            </w:r>
            <w:r>
              <w:rPr>
                <w:sz w:val="20"/>
              </w:rPr>
              <w:t>medium;"&gt;</w:t>
            </w:r>
          </w:p>
          <w:p>
            <w:pPr>
              <w:pStyle w:val="TableParagraph"/>
              <w:tabs>
                <w:tab w:pos="6123" w:val="left" w:leader="none"/>
                <w:tab w:pos="6868" w:val="left" w:leader="none"/>
              </w:tabs>
              <w:spacing w:line="190" w:lineRule="exact" w:before="0"/>
              <w:rPr>
                <w:sz w:val="20"/>
              </w:rPr>
            </w:pPr>
            <w:r>
              <w:rPr>
                <w:sz w:val="20"/>
              </w:rPr>
              <w:t>&lt;span style="font-family: &amp;quot;times new roman&amp;quot;, times;"&gt;</w:t>
              <w:tab/>
              <w:t>&lt;br /&gt;</w:t>
              <w:tab/>
              <w:t>&lt;/span&gt;</w:t>
            </w:r>
          </w:p>
          <w:p>
            <w:pPr>
              <w:pStyle w:val="TableParagraph"/>
              <w:spacing w:line="208" w:lineRule="auto" w:before="9"/>
              <w:ind w:right="93"/>
              <w:rPr>
                <w:sz w:val="20"/>
              </w:rPr>
            </w:pPr>
            <w:r>
              <w:rPr>
                <w:sz w:val="20"/>
              </w:rPr>
              <w:t>&lt;/span&gt;&lt;/p&gt;&lt;p style="line-height: 1.38; text-align: justify; margin-top: 0pt; margin-bottom: 6pt;" dir="ltr"&gt; &lt;span style="font-size: 12pt; font-family: 'Times New Roman',serif; color: #000000; background-color: transparent; font-weight: 400; font-style: normal; font-variant: small-caps; text-decoration: none; vertical-align: baseline; white-space: pre-wrap;"&gt; &lt;span style="background-color: transparent; font-size: 12pt; font-weight: 700; font-style: italic; font-variant-numeric: normal; font-variant-east-asian: normal; font-variant-alternates: normal; font-variant-position: normal; font-variant-emoji: normal; vertical-align:</w:t>
            </w:r>
          </w:p>
          <w:p>
            <w:pPr>
              <w:pStyle w:val="TableParagraph"/>
              <w:spacing w:line="208" w:lineRule="auto" w:before="0"/>
              <w:ind w:right="18"/>
              <w:rPr>
                <w:sz w:val="20"/>
              </w:rPr>
            </w:pPr>
            <w:r>
              <w:rPr>
                <w:sz w:val="20"/>
              </w:rPr>
              <w:t>baseline;"&gt;EMENTA:&lt;/span&gt; &lt;span style="background-color: transparent; font-size: 12pt; font-variant-numeric: normal; font-variant-east-asian: normal; font-variant-alternates: normal; font-variant-position: normal; font-variant-emoji: normal; vertical-align: baseline;"&gt;Direito comercial e Processual Civil. Apelação Cível. Cláusula de foro afastada. Gratuidade judiciária não demonstrada. Contrato de representação comercial. Inexistência de desídia da representante. Redução de vendas atribuível a perda de marcas e demora de reposição pela representada. Rescisão sem justa causa. Indenização devida. Recurso conhecido e parcialmente provido.&lt;/span&gt;&lt;/span&gt;&lt;/p&gt;&lt;p style="line-height: 1.38; text- align: justify; margin-top: 0pt; margin-bottom: 6pt;" dir="ltr"&gt; &lt;span style="font-size: 12pt; font-family: 'Times New Roman',serif; color: #000000; background-color: transparent; font- weight: 700; font-style: normal; font-variant: small-caps; text-decoration: none; vertical- align: baseline; white-space: pre-wrap;"&gt;I. Caso em Exame&lt;/span&gt;&lt;/p&gt;&lt;p style="line- height: 1.38; text-align: justify; margin-top: 0pt; margin-bottom: 6pt;" dir="ltr"&gt; &lt;span style="font-size: 12pt; font-family: 'Times New Roman',serif; color: #000000; background- color: transparent; font-weight: 400; font-style: normal; font-variant: normal; text-decoration: none; vertical-align: baseline; white-space: pre-wrap;"&gt;1. Apelação Cível interposta contra sentença que julgou procedente ação de cobrança de verbas indenizatórias, </w:t>
            </w:r>
            <w:r>
              <w:rPr>
                <w:spacing w:val="-2"/>
                <w:sz w:val="20"/>
              </w:rPr>
              <w:t>reconhecendo </w:t>
            </w:r>
            <w:r>
              <w:rPr>
                <w:sz w:val="20"/>
              </w:rPr>
              <w:t>a inexistência de justa causa na rescisão contratual promovida pela representada. A apelante questiona a competência territorial, a hipossuficiência da autora, a prescrição quinquenal e a justa causa para a rescisão contratual.&lt;/span&gt;&lt;/p&gt;&lt;p style="line-height: 1.38; text-align: justify; margin-top: 0pt; margin-bottom: 6pt;" dir="ltr"&gt; &lt;span style="font- size: 12pt; font-family: 'Times New Roman',serif; color: #000000; background-color: transparent; font-weight: 700; font-style: normal; font-variant: small-caps; text-decoration: none; vertical-align: baseline; white-space: pre-wrap;"&gt;II. Questão em Discussão&lt;/span&gt;&lt;/p&gt;&lt;p style="line-height: 1.38; text-align: justify; margin-top: 0pt;</w:t>
            </w:r>
          </w:p>
          <w:p>
            <w:pPr>
              <w:pStyle w:val="TableParagraph"/>
              <w:spacing w:line="208" w:lineRule="auto" w:before="0"/>
              <w:ind w:right="252"/>
              <w:rPr>
                <w:sz w:val="20"/>
              </w:rPr>
            </w:pPr>
            <w:r>
              <w:rPr>
                <w:sz w:val="20"/>
              </w:rPr>
              <w:t>margin-bottom: 6pt;" dir="ltr"&gt;&lt;span style="font-size: 12pt; font-family: 'Times New Roman',serif; color: #000000; background-color: transparent; font-weight: 400; font-style: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normal; font-variant: normal; text-decoration: none; vertical-align: baseline; white-space: pre-wrap;"&gt;2.&lt;/span&gt; &lt;span style="font-size: 12pt; font-family: 'Times New Roman',serif; color: #1a202c; background-color: transparent; font-weight: 400; font-style: normal; font- variant: normal; text-decoration: none; vertical-align: baseline; white-space: pre-wrap;"&gt;A questão em discussão consiste em (I) verificar a aplicabilidade da cláusula de eleição de foro e da gratuidade judiciária; (II) determinar se houve prescrição quinquenal quanto à base de cálculo da indenização e (III) avaliar a existência de justa causa na rescisão do contrato.&lt;/span&gt;&lt;/p&gt;&lt;p style="line-height: 1.38; text-align: justify; margin-top: 0pt; margin- bottom: 6pt;" dir="ltr"&gt; &lt;span style="font-size: 12pt; font-family: 'Times New Roman',serif; color: #000000; background-color: transparent; font-weight: 700; font-style: normal; font- variant: small-caps; text-decoration: none; vertical-align: baseline; white-space: pre- wrap;"&gt;III. Razões de Decidir&lt;/span&gt;&lt;/p&gt;&lt;p style="line-height: 1.38;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pre-wrap;"&gt;3. A legislação processual reconhece admite a mitigação da cláusula e eleição de foro em casos de hipossuficiência econômica, aplicando-se a competência do foro do domicílio da autora, pequena empresa com sede neste Estado.&lt;/span&gt;&lt;/p&gt;&lt;p style="line-height: 1.38; text-align: justify; margin-top: 0pt; margin-bottom: 6pt;" dir="ltr"&gt;</w:t>
            </w:r>
          </w:p>
          <w:p>
            <w:pPr>
              <w:pStyle w:val="TableParagraph"/>
              <w:spacing w:line="208" w:lineRule="auto" w:before="0"/>
              <w:ind w:right="152"/>
              <w:rPr>
                <w:sz w:val="20"/>
              </w:rPr>
            </w:pPr>
            <w:r>
              <w:rPr>
                <w:sz w:val="20"/>
              </w:rPr>
              <w:t>&lt;span style="font-size: 12pt; font-family: 'Times New Roman',serif; color: #000000; background-color: transparent; font-weight: 400; font-style: normal; font-variant: normal; text-decoration: none; vertical-align: baseline; white-space: pre-wrap;"&gt;4. Por se tratar de pessoa jurídica, é necessário que haja a comprovação da insuficiência de recursos capazes de arcar com os encargos processuais, ônus que compete à autora. Ainda que </w:t>
            </w:r>
            <w:r>
              <w:rPr>
                <w:spacing w:val="-18"/>
                <w:sz w:val="20"/>
              </w:rPr>
              <w:t>a </w:t>
            </w:r>
            <w:r>
              <w:rPr>
                <w:sz w:val="20"/>
              </w:rPr>
              <w:t>demandante tenha apresentado os extratos bancários dos meses que antecederam o ajuizamento da ação, tais dados não são suficientes, por si só, a demonstrar a vulnerabilidade exigida para a concessão da gratuidade judiciária.&lt;/span&gt;&lt;/p&gt;&lt;p style="line-height: 1.38; text-align: justify; margin-top: 0pt; margin-bottom: 6pt;"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pre-wrap;"&gt;5. O prazo prescricional de cinco anos previsto pelo parágrafo único do art. 44, da Lei 4.886/65, se aplica sobre as parcelas não pagas ou pagas a menor de forma mensal, bem como à pretensão à indenização pela rescisão do contrato. Esta última deve ser calculada sobre o total das comissões auferidas pelo representante durante todo o período contratual, sem limitação ao quinquênio anterior ao ajuizamento da demanda. Portanto, a prescrição quinquenal mês a mês não alcança a base de cálculo da indenização pela rescisão do contrato, apenas a pretensão reparatória.&lt;/span&gt;&lt;/p&gt;&lt;p style="line-height: 1.38; text-align: justify; margin-top: 0pt; margin-bottom: 6pt;" dir="ltr"&gt; &lt;span style="font-size: 12pt; font- family: 'Times New Roman',serif; color: #000000; background-color: transparent; font- weight: 400; font-style: normal; font-variant: normal; text-decoration: none; vertical-align: baseline; white-space: pre-wrap;"&gt;6. As dificuldades das vendas da recorrida se devem à redução do número de marcas comercializadas pela representada, bem como à demora na entrega de produtos para estoque e mostruário. A prova dos autos revelou o desempenho positivo da autora, não havendo demonstração de sua desídia no desempenho das funções de representante.&lt;/span&gt;&lt;/p&gt;&lt;p style="line-height: 1.38; text- align: justify; margin-top: 0pt; margin-bottom: 6pt;" dir="ltr"&gt; &lt;span style="font-size: 12pt; font-family: 'Times New Roman',serif; color: #000000; background-color: transparent; font- weight: 700; font-style: normal; font-variant: small-caps; text-decoration: none; vertical- align: baseline; white-space: pre-wrap;"&gt;IV. Dispositivo e Tese&lt;/span&gt;&lt;/p&gt;&lt;p style="line- height: 1.38; text-align: justify; margin-top: 0pt; margin-bottom: 6pt;" dir="ltr"&gt; &lt;span style="font-size: 12pt; font-family: 'Times New Roman',serif; color: #000000; background- color: transparent; font-weight: 400; font-style: normal; font-variant: normal; text-decoration: none; vertical-align: baseline; white-space: pre-wrap;"&gt;7. Recurso conhecido e parcialmente provido.&lt;/span&gt; &lt;span style="background-color: transparent; font-family: &amp;quot;Times New Roman&amp;quot;, serif; font-size: 12pt; font-style: italic; white-space- collapse: preserve;"&gt;&amp;#160;&lt;/span&gt;&lt;/p&gt;&lt;p style="line-height: 1.38; text-align: justify; margin-top: 0pt; margin-bottom: 6pt;" dir="ltr"&gt;&lt;span style="font-size: 12pt; font-family: 'Times New Roman',serif; color: #000000; background-color: transparent; font-weight: 400; font-style: italic; font-variant: normal; text-decoration: none; vertical-align: baseline; white- space: pre-wrap;"&gt;Tese de julgamento:&lt;/span&gt;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pre-wrap;"&gt;1. A cláusula de eleição de foro pode ser afastada em casos de hipossuficiência da parte, prevalecendo o foro de seu domicílio. 2. A base de cálculo da indenização por rescisão de contrato de representação comercial deve incluir valores por todo o período contratual, não se limitando ao quinquênio prescricional&lt;/span&gt;&lt;/p&gt;&lt;p style="line-height: 1.38; text-align: justify; margin-top: 0pt;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w:t>
            </w:r>
            <w:r>
              <w:rPr>
                <w:spacing w:val="3"/>
                <w:sz w:val="20"/>
              </w:rPr>
              <w:t> </w:t>
            </w:r>
            <w:r>
              <w:rPr>
                <w:spacing w:val="-3"/>
                <w:sz w:val="20"/>
              </w:rPr>
              <w:t>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text-decoration: none; vertical-align: baseline; white-space: pre-</w:t>
            </w:r>
          </w:p>
          <w:p>
            <w:pPr>
              <w:pStyle w:val="TableParagraph"/>
              <w:tabs>
                <w:tab w:pos="1606" w:val="left" w:leader="none"/>
              </w:tabs>
              <w:spacing w:line="208" w:lineRule="auto" w:before="9"/>
              <w:ind w:right="27"/>
              <w:rPr>
                <w:sz w:val="20"/>
              </w:rPr>
            </w:pPr>
            <w:r>
              <w:rPr>
                <w:sz w:val="20"/>
              </w:rPr>
              <w:t>wrap;"&gt;</w:t>
            </w:r>
            <w:r>
              <w:rPr>
                <w:sz w:val="20"/>
                <w:u w:val="single"/>
              </w:rPr>
              <w:t> </w:t>
              <w:tab/>
            </w:r>
            <w:r>
              <w:rPr>
                <w:sz w:val="20"/>
              </w:rPr>
              <w:t>&lt;/span&gt;&lt;/p&gt;&lt;p style="line-height: 1.38; text-align: justify; margin-top: 0pt; margin-bottom: 6pt;" dir="ltr"&gt; &lt;span style="font-size: 12pt; font-family: 'Times New Roman',serif; color: #000000; background-color: transparent; font-weight: 400; font-style: normal; font-variant: normal; text-decoration: none; vertical-align: baseline; white-space: pre-wrap;"&gt;&amp;#160;&lt;/span&gt;&lt;/p&gt;&lt;p style="line-height: 1.38; text-align: justify; margin-top: 0pt; margin-bottom: 6pt;" dir="ltr"&gt;&lt;span style="font-size: 12pt; font-family: 'Times New Roman',serif; color: #000000; background-color: transparent; font-weight: 700; font-style: normal; font-variant: normal; text-decoration: none; vertical-align: baseline; white-space: pre-wrap;"&gt;ACÓRDÃO&lt;/span&gt;&lt;span style="font-size: 12pt; font-family: 'Times New Roman',serif; color: #000000; background-color: transparent; font-weight: 400; font-style: normal; font-variant: normal; text-decoration: none; vertical-align: baseline; white-space: pre-wrap;"&gt;: Vistos, relatados e discutidos estes autos, acorda a&lt;/span&gt; &lt;span </w:t>
            </w:r>
            <w:r>
              <w:rPr>
                <w:spacing w:val="-2"/>
                <w:sz w:val="20"/>
              </w:rPr>
              <w:t>style="font- </w:t>
            </w:r>
            <w:r>
              <w:rPr>
                <w:sz w:val="20"/>
              </w:rPr>
              <w:t>size: 12pt; font-family: 'Times New Roman',serif; color: #000000; background-color: transparent; font-weight: 700; font-style: normal; font-variant: normal; text-decoration: none; vertical-align: baseline; white-space: pre-wrap;"&gt;Quinta Câmara de Direito Privado&lt;/span&gt;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pre-wrap;"&gt;do Tribunal de Justiça do Estado do Ceará, por unanimidade, em&lt;/span&gt; &lt;span style="font-size: 12pt; font-family: 'Times New Roman',serif; color: #000000; background-color: transparent; font- weight: 700; font-style: normal; font-variant: normal; text-decoration: none; vertical-align: baseline; white-space: pre-wrap;"&gt;CONHECER&lt;/span&gt; &lt;span style="font-size: 12pt; font- family: 'Times New Roman',serif; color: #000000; background-color: transparent; font- weight: 400; font-style: normal; font-variant: normal; text-decoration: none; vertical-align: baseline; white-space: pre-wrap;"&gt;da&lt;/span&gt; &lt;span style="font-size: 12pt; font-family: 'Times New Roman',serif; color: #000000; background-color: transparent; font-weight: 700; font-style: normal; font-variant: normal; text-decoration: none; vertical-align: baseline; white- space: pre-wrap;"&gt;APELAÇÃO CÍVEL&lt;/span&gt; &lt;span style="font-size: 12pt; font-family: 'Times New Roman',serif; color: #000000; background-color: transparent; font-weight: 400; font-style: normal; font-variant: normal; text-decoration: none; vertical-align: baseline; white- space: pre-wrap;"&gt;para&lt;/span&gt; &lt;span style="font-size: 12pt; font-family: 'Times New Roman',serif; color: #000000; background-color: transparent; font-weight: 700; font-style: normal; font-variant: normal; text-decoration: none; vertical-align: baseline; white-space: pre-wrap;"&gt;DAR-LHE PARCIAL PROVIMENTO&lt;/span&gt;&lt;span style="font-size: 12pt; font- family: 'Times New Roman',serif; color: #000000; background-color: transparent; font- weight: 400; font-style: normal; font-variant: normal; text-decoration: none; vertical-align: baseline; white-space: pre-wrap;"&gt;, nos termos do voto do relator.&lt;/span&gt;&lt;/p&gt;&lt;p style="line-height: 1.38; text-align: justify; margin-top: 0pt; margin-bottom: 6pt;"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1.38; text-align: justify; margin-top: 0pt; margin-bottom: 6pt;" dir="ltr"&gt; &lt;span style="font-size: 12pt; font-family: 'Times New Roman',serif; color: #000000; background-color: transparent; font-weight: 400; font-style: normal; font-variant: normal; text-decoration: none; vertical-align: baseline; white-space: pre-wrap;"&gt;Fortaleza, data da assinatura digital.&lt;/span&gt; &lt;span style="background-color: transparent; font-family: &amp;quot;Times New Roman&amp;quot;, serif; font-size: 12pt; font-weight: 700; white-space-collapse: preserve; text-align: center;"&gt;&amp;#160;&lt;/span&gt;&lt;/p&gt;&lt;p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pre-wrap;"&gt;&amp;#160;&lt;/span&gt;&lt;/p&gt;&lt;p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pre-wrap;"&gt;MARIA REGINA OLIVEIRA CÂMARA&lt;/span&gt;&lt;/p&gt;&lt;p style="line-height: 1.38; text-align: center; margin-top: 0pt;</w:t>
            </w:r>
          </w:p>
          <w:p>
            <w:pPr>
              <w:pStyle w:val="TableParagraph"/>
              <w:spacing w:line="208" w:lineRule="auto" w:before="0"/>
              <w:ind w:right="53"/>
              <w:rPr>
                <w:sz w:val="20"/>
              </w:rPr>
            </w:pPr>
            <w:r>
              <w:rPr>
                <w:sz w:val="20"/>
              </w:rPr>
              <w:t>margin-bottom: 6pt;" dir="ltr"&gt; &lt;span style="font-size: 12pt; font-family: 'Times New Roman',serif; color: #000000; background-color: transparent; font-weight: 400; font-style: normal; font-variant: normal; text-decoration: none; vertical-align: baseline; white-space: pre-wrap;"&gt;Desembargadora Presidente do Órgão Julgador&lt;/span&gt;&lt;/p&gt;&lt;p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pre-wrap;"&gt;&amp;#160;&lt;/span&gt;&lt;/p&gt;&lt;p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pre-wrap;"&gt;FRANCISCO LUCÍDIO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438" w:val="left" w:leader="none"/>
                <w:tab w:pos="3995" w:val="left" w:leader="none"/>
                <w:tab w:pos="5489" w:val="left" w:leader="none"/>
                <w:tab w:pos="5798" w:val="left" w:leader="none"/>
                <w:tab w:pos="6567" w:val="left" w:leader="none"/>
              </w:tabs>
              <w:spacing w:line="208" w:lineRule="auto" w:before="26"/>
              <w:ind w:right="127"/>
              <w:rPr>
                <w:sz w:val="20"/>
              </w:rPr>
            </w:pPr>
            <w:r>
              <w:rPr>
                <w:sz w:val="20"/>
              </w:rPr>
              <w:t>QUEIROZ JÚNIOR&lt;/span&gt;&lt;/p&gt;&lt;p style="line-height: 1.38; text-align: center; margin-top: 0pt; margin-bottom: 6pt;" dir="ltr"&gt; &lt;span style="font-size: 12pt; font-family: 'Times New Roman',serif; color: #000000; background-color: transparent; font-weight: 400; font-style: normal; font-variant: normal; text-decoration: none; vertical-align: baseline; white-space: pre-wrap;"&gt;Desembargador Relator&lt;/span&gt;&lt;/p&gt;&lt;p style="line-height: 1.38; margin-top: 0pt; margin-bottom: 6pt;" dir="ltr"&gt; &lt;span style="font-size: 12pt; font-family: 'Times New Roman',serif; color: #000000; background-color: transparent; font-weight: 700; font-style: normal; font-variant: normal; text-decoration: none; vertical-align: baseline; white-space: pre-wrap;"&gt;&amp;#160;&lt;/span&gt;&lt;/p&gt;&lt;p style="text-indent: 8%; text-align: justify;"&gt; &lt;span style="font-size: small;"&gt;</w:t>
              <w:tab/>
              <w:t>&lt;span style="font-size: medium;"&gt;</w:t>
              <w:tab/>
              <w:tab/>
              <w:t>&lt;span style="font-family: &amp;quot;times new roman&amp;quot;, times;"&gt;</w:t>
              <w:tab/>
              <w:t>&lt;strong id="docs-internal-guid-8ab38a44-7fff- 3ee4-f01d-65c1c69fb5b0" style="font-weight: normal;"&gt;</w:t>
              <w:tab/>
              <w:t>&lt;br /&gt;</w:t>
              <w:tab/>
              <w:t>&lt;br /&gt;</w:t>
            </w:r>
          </w:p>
          <w:p>
            <w:pPr>
              <w:pStyle w:val="TableParagraph"/>
              <w:tabs>
                <w:tab w:pos="1218" w:val="left" w:leader="none"/>
                <w:tab w:pos="2163" w:val="left" w:leader="none"/>
              </w:tabs>
              <w:spacing w:line="208" w:lineRule="auto" w:before="0"/>
              <w:ind w:right="20"/>
              <w:rPr>
                <w:sz w:val="20"/>
              </w:rPr>
            </w:pPr>
            <w:r>
              <w:rPr>
                <w:sz w:val="20"/>
              </w:rPr>
              <w:t>&lt;/strong&gt;</w:t>
              <w:tab/>
              <w:t>&lt;/span&gt;</w:t>
              <w:tab/>
              <w:t>&lt;/span&gt; &lt;/span&gt;&lt;/p&gt;&lt;p style="line-height: 1.38; text-align: center; margin-top: 0pt; margin-bottom: 6pt;"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pre-wrap;"&gt;RELATÓRIO&lt;/span&gt;&lt;/p&gt;&lt;p style="line-height: 1.38; text-align: center;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pre-wrap;"&gt;&amp;#160;&lt;/span&gt;&lt;/p&gt;&lt;p style="line-height: 1.7999999999999998; text- 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pre-wrap;"&gt;Cuida-se</w:t>
            </w:r>
            <w:r>
              <w:rPr>
                <w:spacing w:val="-18"/>
                <w:sz w:val="20"/>
              </w:rPr>
              <w:t> </w:t>
            </w:r>
            <w:r>
              <w:rPr>
                <w:sz w:val="20"/>
              </w:rPr>
              <w:t>de&lt;/span&gt;</w:t>
            </w:r>
          </w:p>
          <w:p>
            <w:pPr>
              <w:pStyle w:val="TableParagraph"/>
              <w:spacing w:line="208" w:lineRule="auto" w:before="0"/>
              <w:ind w:right="72"/>
              <w:rPr>
                <w:sz w:val="20"/>
              </w:rPr>
            </w:pPr>
            <w:r>
              <w:rPr>
                <w:sz w:val="20"/>
              </w:rPr>
              <w:t>&lt;span style="font-size: 12pt; font-family: 'Times New Roman',serif; color: #000000; background-color: transparent; font-weight: 700; font-style: normal; font-variant: normal; text-decoration: none; vertical-align: baseline; white-space: pre-wrap;"&gt;Apelação Cível,&lt;/span&gt; &lt;span style="font-size: 12pt; font-family: 'Times New Roman',serif; color: #000000; background-color: transparent; font-weight: 400; font-style: normal; font-variant: normal; text-decoration: none; vertical-align: baseline; white-space: pre-wrap;"&gt;interposta por&lt;/span&gt; &lt;span style="font-size: 12pt; font-family: 'Times New Roman',serif; color: #000000; background-color: transparent; font-weight: 700; font-style: normal; font-variant: normal; text-decoration: none; vertical-align: baseline; white-space: pre-wrap;"&gt;Safilo do Brasil LTDA&lt;/span&gt;&lt;span style="font-size: 12pt; font-family: 'Times New Roman',serif; color: #000000; background-color: transparent; font-weight: 400; font-style: normal; font- variant: normal; text-decoration: none; vertical-align: baseline; white-space: pre-wrap;"&gt;. visando reformar a sentença de id. 26794996, proferida pelo juízo da 2ª Vara Cível da Comarca de Pacatuba, quando do julgamento da&lt;/span&gt; &lt;span style="font-size: 12pt; font-family: 'Times New Roman',serif; color: #000000; background-color: transparent; font- weight: 700; font-style: normal; font-variant: normal; text-decoration: none; vertical-align: baseline; white-space: pre-wrap;"&gt;Ação de Cobrança de Verbas Indenizatórias&lt;/span&gt;&lt;span style="font-size: 12pt; font-family: 'Times New Roman',serif; color: #000000; background-color: transparent; font-weight: 400; font-style: normal; font- variant: normal; text-decoration: none; vertical-align: baseline; white-space: pre-wrap;"&gt;, ajuizada por&lt;/span&gt; &lt;span style="font-size: 12pt; font-family: 'Times New Roman',serif; color: #000000; background-color: transparent; font-weight: 700; font-style: normal; font- variant: normal; text-decoration: none; vertical-align: baseline; white-space: pre- wrap;"&gt;ALDL Representações Eireli – ME&lt;/span&gt; &lt;span style="font-size: 12pt; </w:t>
            </w:r>
            <w:r>
              <w:rPr>
                <w:spacing w:val="-2"/>
                <w:sz w:val="20"/>
              </w:rPr>
              <w:t>font-family: </w:t>
            </w:r>
            <w:r>
              <w:rPr>
                <w:sz w:val="20"/>
              </w:rPr>
              <w:t>'Times New Roman',serif; color: #000000; background-color: transparent; font-weight: 400;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pre-wrap;"&gt;em desfavor da apelante.&lt;/span&gt;&lt;/p&gt;&lt;p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pre-wrap;"&gt;Na origem, a autora ALDL Representações Eireli – ME requereu o pagamento de indenização por rompimento sem justa causa do contrato de representação comercial firmado com a empresa Safilo do Brasil Ltda, com fundamento nos artigos 35 e 36 da Lei nº 4.886/65. Segundo a autora, a queda de desempenho comercial no trimestre anterior se deveu a falhas operacionais da ré, como ausência de estoque e atraso na entrega de mostruário, além de intercorrências de saúde da representante regional de vendas.&lt;/span&gt;&lt;/p&gt;&lt;p style="line-height: 1.7999999999999998; text-indent: 56.692913385826756pt; text-align: justify; margin-top: 0pt; margin-bottom: 6pt;" dir="ltr"&gt;</w:t>
            </w:r>
          </w:p>
          <w:p>
            <w:pPr>
              <w:pStyle w:val="TableParagraph"/>
              <w:spacing w:line="208" w:lineRule="auto" w:before="0"/>
              <w:ind w:right="307"/>
              <w:rPr>
                <w:sz w:val="20"/>
              </w:rPr>
            </w:pPr>
            <w:r>
              <w:rPr>
                <w:sz w:val="20"/>
              </w:rPr>
              <w:t>&lt;span style="font-size: 12pt; font-family: 'Times New Roman',serif; color: #000000; background-color: transparent; font-weight: 400; font-style: normal; font-variant: normal; text-decoration: none; vertical-align: baseline; white-space: pre-wrap;"&gt;Na sentença, o juízo rejeitou a preliminar de incompetência, reconheceu a culpa exclusiva atribuível à representada, haja vista falha no fornecimento de produtos, julgando a ação procedente nos seguintes termos:&lt;/span&gt;&lt;/p&gt;&lt;p style="line-height: 1.38; text-indent: 2pt;</w:t>
            </w:r>
            <w:r>
              <w:rPr>
                <w:spacing w:val="-11"/>
                <w:sz w:val="20"/>
              </w:rPr>
              <w:t> </w:t>
            </w:r>
            <w:r>
              <w:rPr>
                <w:sz w:val="20"/>
              </w:rPr>
              <w:t>text-align: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1"/>
              <w:rPr>
                <w:sz w:val="20"/>
              </w:rPr>
            </w:pPr>
            <w:r>
              <w:rPr>
                <w:sz w:val="20"/>
              </w:rPr>
              <w:t>justify; margin-top: 0pt; margin-bottom: 6pt;" dir="ltr"&gt; &lt;span style="font-size: 12pt; font- family: 'Times New Roman',serif; color: #000000; background-color: transparent; font- weight: 400; font-style: normal; font-variant: normal; text-decoration: none; vertical-align: baseline; white-space: pre-wrap;"&gt;&amp;#160;&lt;/span&gt;&lt;/p&gt;&lt;p style="line-height: 1.38; margin- left: 113pt; text-align: justify; margin-top: 0pt; margin-bottom: 6pt;" dir="ltr"&gt; &lt;span style="font-size: 12pt; font-family: 'Times New Roman',serif; color: #000000; background- color: transparent; font-weight: 400; font-style: italic; font-variant: normal; text-decoration: none; vertical-align: baseline; white-space: pre-wrap;"&gt;Ante o exposto, JULGO PROCEDENTE o pedido formulado por ALDL Representações EIRELI – ME, para reconhecer a inexistência de justa causa na rescisão contratual promovida, afastando a incidência do art. 35, alíneas “a” e “c”, da Lei nº 4.886/65;&lt;/span&gt;&lt;/p&gt;&lt;p style="line-height: 1.38; margin-left: 113pt; text-align: justify; margin-top: 0pt; margin-bottom: 6pt;" dir="ltr"&gt;</w:t>
            </w:r>
          </w:p>
          <w:p>
            <w:pPr>
              <w:pStyle w:val="TableParagraph"/>
              <w:spacing w:line="208" w:lineRule="auto" w:before="0"/>
              <w:ind w:right="42"/>
              <w:rPr>
                <w:sz w:val="20"/>
              </w:rPr>
            </w:pPr>
            <w:r>
              <w:rPr>
                <w:sz w:val="20"/>
              </w:rPr>
              <w:t>&lt;span style="font-size: 12pt; font-family: 'Times New Roman',serif; color: #000000; background-color: transparent; font-weight: 400; font-style: italic; font-variant: normal; text- decoration: none; vertical-align: baseline; white-space: pre-wrap;"&gt;Desta feita, condeno a ré ao pagamento da indenização prevista no art. 36 da referida Lei, no valor de R$ 109.569,12 (cento e nove mil, quinhentos e sessenta e nove reais e doze centavos), a ser corrigido monetariamente pelo INPC desde a data da rescisão (março de 2023) e acrescido de juros de mora de 1% ao mês a contar da citação.&lt;/span&gt;&lt;/p&gt;&lt;p style="line- height: 1.38; margin-left: 113pt; text-align: justify; margin-top: 0pt; margin-bottom: 6pt;" dir="ltr"&gt; &lt;span style="font-size: 12pt; font-family: 'Times New Roman',serif; color: #000000; background-color: transparent; font-weight: 400; font-style: italic; font-variant: normal; text-decoration: none; vertical-align: baseline; white-space: pre-wrap;"&gt;Condenar a ré ao pagamento das custas processuais e dos honorários advocatícios, os quais fixo em 10% (dez por cento) sobre o valor da condenação, nos termos do art. 85, §2º, do CPC.&lt;/span&gt;&lt;/p&gt;&lt;p style="line-height: 1.38; text-indent: 2pt; text-align: justify; margin-top: 0pt; margin-bottom: 6pt;" dir="ltr"&gt; &lt;span style="font-size: 12pt; font-family: 'Times New Roman',serif; color: #000000; background-color: transparent; font-weight: 400; font-style: normal; font-variant: normal; text-decoration: none; vertical-align: baseline; white-space: pre-wrap;"&gt;&amp;#160;&lt;/span&gt;&lt;/p&gt;&lt;p style="line-height: 1.7999999999999998; text-indent: 56.692913385826756pt; text-align: justify; margin-top: 0pt; margin-bottom: 6pt;" dir="ltr"&gt;&lt;span style="font-size: 12pt; font-family: 'Times New Roman',serif; color: </w:t>
            </w:r>
            <w:r>
              <w:rPr>
                <w:spacing w:val="-3"/>
                <w:sz w:val="20"/>
              </w:rPr>
              <w:t>#000000; </w:t>
            </w:r>
            <w:r>
              <w:rPr>
                <w:sz w:val="20"/>
              </w:rPr>
              <w:t>background-color: transparent; font-weight: 400; font-style: normal; font-variant: normal; text-decoration: none; vertical-align: baseline; white-space: pre-wrap;"&gt;Inconformada, a parte recorrente Safilo do Brasil Ltda. interpôs seu recurso de apelação (id. 26795001), em que suscitou a preliminar de incompetência, haja vista a eleição do Foro Central Cível da Capital do Estado de São Paulo, conforme estipulado em cláusula contratual.&lt;/span&gt;</w:t>
            </w:r>
          </w:p>
          <w:p>
            <w:pPr>
              <w:pStyle w:val="TableParagraph"/>
              <w:spacing w:line="208" w:lineRule="auto" w:before="0"/>
              <w:ind w:right="53"/>
              <w:rPr>
                <w:sz w:val="20"/>
              </w:rPr>
            </w:pPr>
            <w:r>
              <w:rPr>
                <w:sz w:val="20"/>
              </w:rPr>
              <w:t>&lt;span style="font-size: 12pt; font-family: 'Times New Roman',serif; color: #000000; background-color: transparent; font-weight: 700; font-style: normal; font-variant: normal; text-decoration: none; vertical-align: baseline; white-space: pre-wrap;"&gt;Quanto ao mérito, defendeu a ocorrência da prescrição quinquenal aplicável à indenização de representação comercial, sustentando que a indenização deve se limitar a comissões dos últimos cinco anos anteriores à propositura da ação. A apelante seguiu alegando a justa causa para a rescisão contratual com base no desempenho insatisfatório e na desídia da representante.&lt;/span&gt; &lt;span style="font-size: 12pt; font-family: 'Times New Roman',serif; color: #000000; background-color: transparent; font-weight: 400; font-style: normal; font- variant: normal; text-decoration: none; vertical-align: baseline; white-space: pre-wrap;"&gt;Ao final, requereu a improcedência da ação.&lt;/span&gt;&lt;/p&gt;&lt;p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pre-wrap;"&gt;Nas contrarrazões de id. 26795003, a recorrida&lt;/span&gt; &lt;span style="font-size: 12pt; font-family: 'Times New Roman',serif; color: #000000; background-color: transparent; font-weight: 700; font-style: normal; font-variant: normal; text-decoration: none; vertical- align: baseline; white-space: pre-wrap;"&gt;ALDL Representações Eireli – ME&lt;/span&gt; &lt;span style="font-size: 12pt; font-family: 'Times New Roman',serif; color: #000000; background- color: transparent; font-weight: 400; font-style: normal; font-variant: normal; text-decoration: none; vertical-align: baseline; white-space: pre-wrap;"&gt;defendeu a manutenção da competência do Juízo da Comarca de Pacatuba, argumentando que a cláusula de eleição de foro pode ser mitigada diante da hipossuficiência técnica e econômica da parte, conforme entendimento do STJ. Afirmou que a prescrição quinquenal não se aplica ao cálculo das comissões que servem de base para a indenização, uma vez que a violação do direito e a pretensão de indenização somente nasceram com a rescisão contratual em março de 2023, estando a demanda proposta dentro do prazo legal. Alegou, ainda, a inexistência de justa causa para a rescisão contratual, destacando a ausência de advertências anteriores, o reconhecimento do bom desempenho da autora e fatores externos que motivaram a queda nas vendas. Por fim, requereu o não provimento do recurso, a manutenção da sentença de primeiro grau e a majoração dos honorários advocatícios sucumbenciais.&lt;/span&gt;&lt;/p&gt;&lt;p style="line-height: 1.7999999999999998; 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9"/>
              <w:rPr>
                <w:sz w:val="20"/>
              </w:rPr>
            </w:pPr>
            <w:r>
              <w:rPr>
                <w:sz w:val="20"/>
              </w:rPr>
              <w: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pre-wrap;"&gt;Deixei de remeter os autos à apreciação da douta Procuradoria-Geral de Justiça por se tratar de causa exclusivamente patrimonial.&lt;/span&gt;&lt;/p&gt;&lt;p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pre-wrap;"&gt;É o relatório.&lt;/span&gt;&lt;/p&gt;&lt;p style="line-height: 1.38; text-align: justify; margin- top: 0pt; margin-bottom: 6pt;" dir="ltr"&gt; &lt;span style="font-size: 12pt; font-family: 'Times New Roman',serif; color: #000000; background-color: transparent; font-weight: 700; font- style: normal; font-variant: normal; text-decoration: none; vertical-align: baseline; white- space: pre-wrap;"&gt;&amp;#160;&lt;/span&gt;&lt;/p&gt;&lt;p style="line-height: 1.38; text-align: center; margin-top: 0pt; margin-bottom: 6pt;" dir="ltr"&gt; &lt;span style="font-size: 13.999999999999998pt; font-family: 'Times New Roman',serif; color: #000000; background-color: transparent; font-weight: 700; font-style: normal; font-variant: normal; text-decoration: none; vertical-align: baseline; white-space: pre- wrap;"&gt;VOTO&lt;/span&gt;&lt;/p&gt;&lt;p style="line-height: 1.38; text-indent: 2pt; text-align: justify; margin-top: 0pt; margin-bottom: 6pt;" dir="ltr"&gt; &lt;span style="font-size: 12pt; font-family: 'Times New Roman',serif; color: #000000; background-color: transparent; font-weight: 700;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pre-wrap;"&gt;&amp;#160;&lt;/span&gt;&lt;/p&gt;&lt;p style="line-height: 1.7999999999999998; text- indent: 28.346456692913378pt; text-align: justify; margin-top: 0pt; margin-bottom: 6pt;" dir="ltr"&gt; &lt;span style="font-size: 12pt; font-family: &amp;quot;Times New Roman&amp;quot;, serif; color: #000000; background-color: transparent; font-weight: 700; font-style: normal; font- variant: normal; text-decoration-skip-ink: none; vertical-align: baseline; white-space: pre- wrap; text-decoration: underline;"&gt;1 – Admissibilidade recursal.&lt;/span&gt;&lt;/p&gt;&lt;p style="line- 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pre-wrap;"&gt;Exercendo o juízo de admissibilidade recursal, constato a presença dos requisitos de admissibilidade extrínsecos e intrínsecos, pelo que conheço do recurso e passo à análise do mérito.&lt;/span&gt;&lt;/p&gt;&lt;p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28.346456692913378pt; text-align: justify; margin-top: 0pt; margin-bottom: 6pt;" dir="ltr"&gt;</w:t>
            </w:r>
          </w:p>
          <w:p>
            <w:pPr>
              <w:pStyle w:val="TableParagraph"/>
              <w:spacing w:line="208" w:lineRule="auto" w:before="0"/>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4"/>
                <w:sz w:val="20"/>
              </w:rPr>
              <w:t>text- </w:t>
            </w:r>
            <w:r>
              <w:rPr>
                <w:sz w:val="20"/>
              </w:rPr>
              <w:t>decoration: underline;"&gt;2 – Mérito recursal: Cláusula de eleição de foro e gratuidade judiciária&lt;/span&gt;&lt;/p&gt;&lt;p style="line-height: 1.7999999999999998; text-indent: 56.692913385826756pt; text-align: justify; margin-top: 0pt; margin-bottom: 6pt;"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pre-wrap;"&gt;A questão em discussão consiste em verificar o acerto da sentença ao afastar a cláusula de eleição de foro, não acolhendo a exceção de incompetência territorial suscitada pela ora apelante, Safilo do Brasil Ltda, ao fundamento de que, embora haja cláusula de eleição de foro contratual (Foro Central Cível da Capital do Estado de São Paulo).&lt;/span&gt;&lt;/p&gt;&lt;p 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pre-wrap;"&gt;A sentença aplicou ao caso concreto a exceção do art. 63, § 3º. fundada na hipossuficiência da parte autora, ALDL Representações LTDA, pequena empresa com sede na Comarca de Pacatuba/CE.&lt;/span&gt;&lt;/p&gt;&lt;p style="line- 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 jurisprudência do Superior Tribunal de Justiça admite que cláusulas de eleição de foro, embora válidas no plano formal quando se trata de competência relativa, podem ser afastadas nos casos em que reste evidenciada a dificuldade de acesso à justiça da parte hipossuficiente, ainda que pessoa jurídica.&lt;/span&gt;&lt;/p&gt;&lt;p style="line-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 space: pre-wrap;"&gt;Com efeito, o art. 39 da Lei nº 4.886/65 prevê que, nos contratos de representação comercial, o foro competente é o do domicílio do representante, ou seja, da autora da ação originária. Ainda que o contrato contenha cláusula em sentido contrário, é de se reconhecer a prevalência da norma protetiva, mormente quando constatado que a autora é uma empresa de pequeno porte, com recursos financeiros limitados, o que, somado à redução dos seus ganhos com o contrato e os parcos recursos de que dispunha à época da rescisão (id. 26794797 ao id. 26794799), revela sua condição de hipossuficiência econômica em relação à apelante.&lt;/span&gt;&lt;/p&gt;&lt;p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pre-wrap;"&gt;Esse entendimento encontra respaldo na jurisprudência consolidada do Superior Tribunal de Justiça, segundo a qual a cláusula de eleição de foro pode ser afastada quando comprovada a hipossuficiência ou vulnerabilidade da parte, seja pessoa física ou jurídica. Em igual sentido, o posicionamento deste Tribunal de Justiça:&lt;/span&gt;&lt;/p&gt;&lt;p style="line-height: 1.38; margin-left: 113pt; text-align: justify;</w:t>
            </w:r>
          </w:p>
          <w:p>
            <w:pPr>
              <w:pStyle w:val="TableParagraph"/>
              <w:spacing w:line="208" w:lineRule="auto" w:before="0"/>
              <w:ind w:right="20"/>
              <w:rPr>
                <w:sz w:val="20"/>
              </w:rPr>
            </w:pPr>
            <w:r>
              <w:rPr>
                <w:sz w:val="20"/>
              </w:rPr>
              <w:t>margin-top: 0pt; margin-bottom: 6pt;" dir="ltr"&gt; &lt;span style="font-size: 12pt; font-family: 'Times New Roman',serif; color: #000000; background-color: transparent; font-weight: 400; font-style: normal; font-variant: normal; text-decoration: none; vertical-align: baseline; white- space: pre-wrap;"&gt;&amp;#160;&lt;/span&gt;&lt;/p&gt;&lt;p style="line-height: 1.38; margin-left: 113pt; text- align: justify; margin-top: 0pt; margin-bottom: 6pt;" dir="ltr"&gt;&lt;span style="font-size: 12pt; font-family: 'Times New Roman',serif; color: #000000; background-color: transparent; font- weight: 400; font-style: normal; font-variant: normal; text-decoration: none; vertical-align: baseline; white-space: pre-wrap;"&gt;DIREITO PROCESSUAL CIVIL. AGRAVO DE INSTRUMENTO. AÇÃO DECLARATÓRIA DE RESCISÃO CONTRATUAL CUMULADA COM INDENIZAÇÃO. CLÁUSULA DE ELEIÇÃO DE FORO. HIPOSSUFICIÊNCIA DEMONSTRADA. MANUTENÇÃO DO FORO DO DOMICÍLIO DO REPRESENTANTE. DESPROVIMENTO. I. CASO EM EXAME II. QUESTÃO EM DISCUSSÃO III. RAZÕES DE</w:t>
            </w:r>
          </w:p>
          <w:p>
            <w:pPr>
              <w:pStyle w:val="TableParagraph"/>
              <w:spacing w:line="208" w:lineRule="auto" w:before="0"/>
              <w:ind w:right="53"/>
              <w:rPr>
                <w:sz w:val="20"/>
              </w:rPr>
            </w:pPr>
            <w:r>
              <w:rPr>
                <w:sz w:val="20"/>
              </w:rPr>
              <w:t>DECIDIR IV. DISPOSITIVO E TESE Tese de julgamento: ¿1. A cláusula de eleição de </w:t>
            </w:r>
            <w:r>
              <w:rPr>
                <w:spacing w:val="-5"/>
                <w:sz w:val="20"/>
              </w:rPr>
              <w:t>foro </w:t>
            </w:r>
            <w:r>
              <w:rPr>
                <w:sz w:val="20"/>
              </w:rPr>
              <w:t>pode ser afastada quando evidenciada a hipossuficiência da parte, ainda que pessoa jurídica. 2. Nos contratos de representação comercial, prevalece o foro do domicílio do representante quando demonstrada a dificuldade de acesso à justiça no foro eleito.¿ Dispositivos relevantes citados: Lei nº 4.886/1965, art. 39; CPC, art. 1.015, III. Jurisprudência relevante citada: STJ, AgInt no AREsp 1777648/SP, Rel. Min. Marco Aurélio Bellizze, 3ª Turma, j. 17.11.2020; STJ, AgInt no AREsp 1194060/GO, Rel. Min.</w:t>
            </w:r>
          </w:p>
          <w:p>
            <w:pPr>
              <w:pStyle w:val="TableParagraph"/>
              <w:spacing w:line="208" w:lineRule="auto" w:before="0"/>
              <w:ind w:right="145"/>
              <w:rPr>
                <w:sz w:val="20"/>
              </w:rPr>
            </w:pPr>
            <w:r>
              <w:rPr>
                <w:sz w:val="20"/>
              </w:rPr>
              <w:t>Ricardo Villas Bôas Cueva, 3ª Turma, j. 05.02.2019; TJCE, Agravo de Instrumento nº 0632306-28.2023.8.06.0000, Rel. Des. André Luiz de Souza Costa, 4ª Câmara Direito Privado, j. 05.03.2024; TJCE, Agravo de Instrumento nº 0637068-87.2023.8.06.0000, </w:t>
            </w:r>
            <w:r>
              <w:rPr>
                <w:spacing w:val="-5"/>
                <w:sz w:val="20"/>
              </w:rPr>
              <w:t>Rel. </w:t>
            </w:r>
            <w:r>
              <w:rPr>
                <w:sz w:val="20"/>
              </w:rPr>
              <w:t>Des. José Ricardo Vidal Patrocínio, 1ª Câmara Direito Privado, j. 21.02.2024.&lt;/span&gt;</w:t>
            </w:r>
          </w:p>
          <w:p>
            <w:pPr>
              <w:pStyle w:val="TableParagraph"/>
              <w:spacing w:line="208" w:lineRule="auto" w:before="0"/>
              <w:ind w:right="52"/>
              <w:rPr>
                <w:sz w:val="20"/>
              </w:rPr>
            </w:pPr>
            <w:r>
              <w:rPr>
                <w:sz w:val="20"/>
              </w:rPr>
              <w:t>&lt;span style="font-size: 12pt; font-family: 'Times New Roman',serif; color: #000000; background-color: transparent; font-weight: 400; font-style: normal; font-variant: normal; text-decoration: none; vertical-align: baseline; white-space: pre-wrap;"&gt;(Agravo de Instrumento - 0625873-71.2024.8.06.0000, Rel. Desembargador MARCOS WILLIAM LEITE DE OLIVEIRA, 3ª Câmara Direito Privado, data do julgamento:&amp;#160; 02/07/2025, data da publicação:&amp;#160; 03/07/2025)&lt;/span&gt;&lt;/p&gt;&lt;p style="line-height: 1.38; text-align: justify; margin-top: 0pt; margin-bottom: 6pt;" dir="ltr"&gt; &lt;span style="font-size: 12pt; font- family: 'Times New Roman',serif; color: #000000; background-color: transparent; font- weight: 400; font-style: normal; font-variant: normal; text-decoration: none; vertical-align: baseline; white-space: pre-wrap;"&gt;&amp;#160;&lt;/span&gt;&lt;/p&gt;&lt;p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pre-wrap;"&gt;Observo que, apesar da possibilidade de peticionamento eletrônico e realização de audiências pela via telepresencial, a tramitação do feito em Comarca situada em outro Estado dificulta o exercício do direito de defesa, em razão das múltiplas exigências de adaptação ao contexto digital, o que contrasta com o pleno acesso à justiça quando se litiga no foro de seu domicílio.&lt;/span&gt;&lt;/p&gt;&lt;p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pre-wrap;"&gt;Assim, verificada a vulnerabilidade econômica da apelada em relação à empresa apelante, motivada pela sua condição de pequena empresa e o consequente obstáculo ao exercício pleno do direito de defesa caso tivesse que litigar no foro 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5"/>
              <w:rPr>
                <w:sz w:val="20"/>
              </w:rPr>
            </w:pPr>
            <w:r>
              <w:rPr>
                <w:sz w:val="20"/>
              </w:rPr>
              <w:t>Comarca de São Paulo/SP, entendo por indevida a imposição da cláusula de eleição de foro, de modo que deve ser mantida a competência do foro do domicílio da parte autora, situado em Pacatuba/CE.&lt;/span&gt;&lt;/p&gt;&lt;p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pre-wrap;"&gt;Contudo, observo que o contexto acima não é suficiente para demonstração da hipossuficiência financeira necessária para o deferimento da gratuidade judiciária. Por se tratar de pessoa jurídica, é necessário que haja a comprovação da insuficiência de recursos capazes de arcar com os encargos processuais, ônus que compete à autora.&lt;/span&gt;&lt;/p&gt;&lt;p 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pre-wrap;"&gt;No caso em comento, ainda que a demandante tenha apresentado os extratos bancários dos meses que antecederam o ajuizamento da ação, tais dados não são suficientes, por si só, a demonstrar a vulnerabilidade exigida para a</w:t>
            </w:r>
          </w:p>
          <w:p>
            <w:pPr>
              <w:pStyle w:val="TableParagraph"/>
              <w:tabs>
                <w:tab w:pos="7275" w:val="left" w:leader="none"/>
              </w:tabs>
              <w:spacing w:line="208" w:lineRule="auto" w:before="0"/>
              <w:ind w:right="19"/>
              <w:rPr>
                <w:sz w:val="20"/>
              </w:rPr>
            </w:pPr>
            <w:r>
              <w:rPr>
                <w:sz w:val="20"/>
              </w:rPr>
              <w:t>concessão da gratuidade judiciária. Desse modo, dou provimento ao recurso para afastar </w:t>
            </w:r>
            <w:r>
              <w:rPr>
                <w:spacing w:val="-18"/>
                <w:sz w:val="20"/>
              </w:rPr>
              <w:t>a </w:t>
            </w:r>
            <w:r>
              <w:rPr>
                <w:sz w:val="20"/>
              </w:rPr>
              <w:t>gratuidade concedida à autora na origem.&lt;/span&gt; &lt;span style="background-color: transparent; font-family: &amp;quot;Times New Roman&amp;quot;, serif; font-size: 12pt; white- space-collapse: preserve; text-indent: 56.6929pt;"&gt;&amp;#160;&lt;/span&gt;&lt;/p&gt;&lt;p style="line- height: 1.7999999999999998; text-indent: 28.346456692913378pt; text-align: justify; margin-top: 0pt; margin-bottom: 6pt;" dir="ltr"&gt; &lt;span style="font-size: 12pt; font-family: &amp;quot;Times New Roman&amp;quot;, serif; color: #000000; background-color: transparent; font- weight: 700; font-style: normal; font-variant: normal; text-decoration-skip-ink: none; vertical- align: baseline; white-space: pre-wrap; text-decoration: underline;"&gt;3 – Mérito recursal: Prescrição da indenização&lt;/span&gt;&lt;/p&gt;&lt;p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pre-wrap;"&gt;A questão em discussão consiste em saber se a decisão apelada desrespeitou a força obrigatória </w:t>
            </w:r>
            <w:r>
              <w:rPr>
                <w:spacing w:val="-6"/>
                <w:sz w:val="20"/>
              </w:rPr>
              <w:t>dos </w:t>
            </w:r>
            <w:r>
              <w:rPr>
                <w:sz w:val="20"/>
              </w:rPr>
              <w:t>contratos ao reconhecer a inaplicabilidade da prescrição quinquenal prevista no parágrafo único do art. 44, Lei nº 4.886/65, sobre a base de cálculo da indenização prevista pelo art. 27, alínea “j”, da mesma lei.&lt;/span&gt;&lt;/p&gt;&lt;p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pre-wrap;"&gt;A apelante defende que a base de cálculo da indenização em caso de rescisão do contrato pela representada compreende apenas as parcelas não atingidas pela prescrição, prevista pelo art. 44, parágrafo único. Veja-se os termos do dispositivo:&lt;/span&gt;&lt;/p&gt;&lt;p style="line- 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white-space: pre-wrap;"&gt;</w:t>
              <w:tab/>
              <w:t>&lt;em&gt;Art.</w:t>
            </w:r>
          </w:p>
          <w:p>
            <w:pPr>
              <w:pStyle w:val="TableParagraph"/>
              <w:tabs>
                <w:tab w:pos="2831" w:val="left" w:leader="none"/>
                <w:tab w:pos="6733" w:val="left" w:leader="none"/>
                <w:tab w:pos="7422" w:val="left" w:leader="none"/>
              </w:tabs>
              <w:spacing w:line="208" w:lineRule="auto" w:before="0"/>
              <w:ind w:right="53"/>
              <w:rPr>
                <w:sz w:val="20"/>
              </w:rPr>
            </w:pPr>
            <w:r>
              <w:rPr>
                <w:sz w:val="20"/>
              </w:rPr>
              <w:t>44. No caso de falência ou de recuperação judicial do representado, as importâncias por ele devidas ao representante comercial, relacionadas com a representação, inclusive comissões vencidas e vincendas, indenização e aviso prévio, e qualquer outra verba devida ao representante oriunda da relação estabelecida com base nesta Lei, serão consideradas créditos da mesma natureza dos créditos trabalhistas para fins de inclusão no pedido de falência ou plano de recuperação judicial.&amp;#160;&lt;/em&gt; &lt;/span&gt;&lt;/p&gt;&lt;p style="line-height: 1.38; margin-left: 113pt; text-align: justify; margin-top: 0pt; margin- bottom: 6pt;" dir="ltr"&gt;  &lt;em&gt;</w:t>
              <w:tab/>
              <w:t>&lt;span style="font-size: 12pt; font-family: 'Times New Roman',serif; color: #000000; background-color: transparent; font-weight: 400; font-style: normal; font-variant: normal; text-decoration: none; vertical-align: baseline; white-space: pre-wrap;"&gt;Parágrafo único. Os créditos devidos ao representante comercial reconhecidos em título executivo judicial transitado em julgado após o deferimento do processamento da recuperação judicial, e a sua respectiva execução, inclusive quanto aos honorários advocatícios, não se sujeitarão à recuperação judicial, aos seus efeitos e à competência do juízo da recuperação, ainda que existentes na data do pedido&lt;/span&gt;</w:t>
              <w:tab/>
              <w:t>&lt;span style="font-size: 12pt; font-family: &amp;quot;Times New Roman&amp;quot;, serif; color: #000000; background-color: transparent; font-weight: 700; font-variant: normal; text-decoration-skip- ink: none; vertical-align: baseline; white-space: pre-wrap; text-decoration: underline;"&gt;, e prescreverá em 5 (cinco) anos a ação do representante comercial para pleitear a retribuição que lhe é devida e os demais direitos garantidos por esta Lei.&lt;/span&gt;</w:t>
              <w:tab/>
              <w:t>&lt;span style="font-size: 12pt; font-family: 'Times New Roman',serif; color: #000000; background- color: transparent; font-weight: 400; font-style: normal; font-variant: normal; text-decoration: none; vertical-align: baseline; white-space: pre-wrap;"&gt;&amp;#160;&amp;#160;&lt;/span&gt;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&lt;/em&gt;&lt;/p&gt;&lt;p style="line-height: 1.38; text-align: justify; margin-top: 0pt; margin-bottom: 6pt;" dir="ltr"&gt;&amp;#160;&lt;/p&gt;&lt;p style="line-height: 1.7999999999999998; text-indent: 56.692913385826756pt; text-align: justify; margin-top: 0pt; margin-bottom: 6pt;"</w:t>
            </w:r>
            <w:r>
              <w:rPr>
                <w:spacing w:val="-18"/>
                <w:sz w:val="20"/>
              </w:rPr>
              <w:t> </w:t>
            </w:r>
            <w:r>
              <w:rPr>
                <w:sz w:val="20"/>
              </w:rPr>
              <w:t>dir="ltr"&gt;</w:t>
            </w:r>
          </w:p>
          <w:p>
            <w:pPr>
              <w:pStyle w:val="TableParagraph"/>
              <w:spacing w:line="208" w:lineRule="auto" w:before="0"/>
              <w:ind w:right="108"/>
              <w:rPr>
                <w:sz w:val="20"/>
              </w:rPr>
            </w:pPr>
            <w:r>
              <w:rPr>
                <w:sz w:val="20"/>
              </w:rPr>
              <w:t>&lt;span style="font-size: 12pt; font-family: 'Times New Roman',serif; color: #000000; background-color: transparent; font-weight: 400; font-style: normal; font-variant: normal; text-decoration: none; vertical-align: baseline; white-space: pre-wrap;"&gt;Nesse ponto, destaco que o artigo acima estabelece o prazo quinquenal como limite para o ajuizamento da cobrança da indenização, não se referindo à indenização em caso de rescisão contratual injustificada, cuja previsão do art. 27, j, apresento a seguir:&lt;/span&gt; &lt;span style="background-color: transparent; font-family: &amp;quot;Times New Roman&amp;quot;, serif; font-size: 12pt; white-space-collapse: preserve;"&gt;&amp;#160;&lt;/span&gt;&lt;/p&gt;&lt;p style="line-height: 1.38; margin-left: 113pt; text-align: justify; margin-top: 0pt; margin-bottom: 6pt;" dir="ltr"&gt;</w:t>
            </w:r>
          </w:p>
          <w:p>
            <w:pPr>
              <w:pStyle w:val="TableParagraph"/>
              <w:tabs>
                <w:tab w:pos="6553" w:val="left" w:leader="none"/>
              </w:tabs>
              <w:spacing w:line="208" w:lineRule="auto" w:before="0"/>
              <w:ind w:right="132"/>
              <w:rPr>
                <w:sz w:val="20"/>
              </w:rPr>
            </w:pPr>
            <w:r>
              <w:rPr>
                <w:sz w:val="20"/>
              </w:rPr>
              <w:t>&lt;span style="font-size: 12pt; font-family: 'Times New Roman',serif; color: #000000; background-color: transparent; font-weight: 400; font-style: normal; font-variant: normal; text-decoration: none; vertical-align: baseline; white-space: pre-wrap;"&gt;</w:t>
              <w:tab/>
              <w:t>&lt;em&gt;Art. 27. </w:t>
            </w:r>
            <w:r>
              <w:rPr>
                <w:spacing w:val="-9"/>
                <w:sz w:val="20"/>
              </w:rPr>
              <w:t>Do </w:t>
            </w:r>
            <w:r>
              <w:rPr>
                <w:sz w:val="20"/>
              </w:rPr>
              <w:t>contrato de representação comercial, quando celebrado por escrito, além dos elementos comuns e outros, a juízo dos interessados, constarão, obrigatoriamente:&lt;/em&gt;</w:t>
            </w:r>
          </w:p>
          <w:p>
            <w:pPr>
              <w:pStyle w:val="TableParagraph"/>
              <w:tabs>
                <w:tab w:pos="1294" w:val="left" w:leader="none"/>
              </w:tabs>
              <w:spacing w:line="208" w:lineRule="auto" w:before="0"/>
              <w:ind w:right="42"/>
              <w:rPr>
                <w:sz w:val="20"/>
              </w:rPr>
            </w:pPr>
            <w:r>
              <w:rPr>
                <w:sz w:val="20"/>
              </w:rPr>
              <w:t>&lt;/span&gt;&lt;/p&gt;&lt;p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white-space: pre-wrap;"&gt;</w:t>
              <w:tab/>
              <w:t>&lt;em&gt;[...]&lt;/em&gt; &lt;/span&gt;&lt;/p&gt;&lt;p style="line-height: 1.38; margin-left: 113pt; text-align: justify; margin-top: 0pt; margin-bottom: 6pt;" dir="ltr"&gt; &lt;em&gt;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pre-wrap;"&gt;&amp;#160;j) indenização devida ao representante pela rescisão do contrato fora dos casos previstos no art. 35, cujo montante não poderá ser inferior a 1/12 (um doze avos)&lt;/span&gt; &lt;span style="font-size: 12pt; font- family: 'Times New Roman',serif; color: #000000; background-color: transparent; font- weight: 700; font-style: normal; font-variant: normal; text-decoration: none; vertical-align: baseline; white-space: pre-wrap;"&gt;do total da retribuição auferida durante o tempo em que exerceu a representação&lt;/span&gt; &lt;span style="font-size: 12pt; font-family: 'Times New Roman',serif; color: #000000; background-color: transparent; font-weight: 400; font-style: normal; font-variant: normal; text-decoration: none; vertical-align: baseline; white-space: pre-wrap;"&gt;.&amp;#160;&amp;#160;&amp;#160;&lt;/span&gt;&lt;/em&gt;&lt;/p&gt;&lt;p style="line-height: 1.38; text-align: justify; margin-top: 0pt; margin-bottom: 6pt;" dir="ltr"&gt; &lt;span style="font-size: 12pt; font- family: &amp;quot;Times New Roman&amp;quot;, serif; color: #000000; background-color: transparent; font-weight: 700; font-style: normal; font-variant: normal; text-decoration-skip- ink: none; vertical-align: baseline; white-space: pre-wrap; text-decoration: underline;"&gt;&amp;#160;&lt;/span&gt;&lt;/p&gt;&lt;p style="line-height: 1.7999999999999998; text-indent: 56.692913385826756pt; text-align: justify; margin-top: 0pt; margin-bottom: 6pt;" dir="ltr"&gt;</w:t>
            </w:r>
          </w:p>
          <w:p>
            <w:pPr>
              <w:pStyle w:val="TableParagraph"/>
              <w:spacing w:line="208" w:lineRule="auto" w:before="0"/>
              <w:ind w:right="24"/>
              <w:rPr>
                <w:sz w:val="20"/>
              </w:rPr>
            </w:pPr>
            <w:r>
              <w:rPr>
                <w:sz w:val="20"/>
              </w:rPr>
              <w:t>&lt;span style="font-size: 12pt; font-family: 'Times New Roman',serif; color: #000000; background-color: transparent; font-weight: 400; font-style: normal; font-variant: normal; text-decoration: none; vertical-align: baseline; white-space: pre-wrap;"&gt;Da leitura dos dispositivos legais, percebe-se que a prescrição acima não se aplica sobre base de cálculo legal da indenização, a qual deve ser de 1/12 (um doze avos) do total da retribuição auferida durante o tempo em que o representante exerceu a representação.&lt;/span&gt;&lt;/p&gt;&lt;p 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pre-wrap;"&gt;O prazo prescricional de cinco anos se aplica mensalmente sobre as parcelas mensais não pagas ou pagas a menor. Contudo, a indenização pela representação deverá ser paga sobre os valores recebidos pelo representante desde o início da representação, sem sujeitar sua base de cálculo à prescrição quinquenal. Foi nesse sentido que a norma foi interpretada pelo douto Magistrado sentenciante:&lt;/span&gt;&lt;/p&gt;&lt;p style="line-height: 1.38; margin-left: 113pt; text- align: justify; margin-top: 0pt; margin-bottom: 6pt;" dir="ltr"&gt; &lt;span style="font-size: 12pt; font-family: 'Times New Roman',serif; color: #000000; background-color: transparent; font- weight: 400; font-style: normal; font-variant: normal; text-decoration: none; vertical-align: baseline; white-space: pre-wrap;"&gt;&amp;#160;&lt;/span&gt;&lt;/p&gt;&lt;p style="line-height: 1.38; margin- left: 113pt; text-align: justify; margin-top: 0pt; margin-bottom: 6pt;" dir="ltr"&gt; &lt;span style="font-size: 12pt; font-family: 'Times New Roman',serif; color: #000000; background- color: transparent; font-weight: 400; font-style: italic; font-variant: normal; text-decoration: none; vertical-align: baseline; white-space: pre-wrap;"&gt;“Quanto a prescrição quinquenal, entendo por afastar o argumento. Isto porque nos termos do art. 44 da Lei nº 4.886/65, aplica-se o prazo prescricional de cinco anos às ações indenizatórias decorrentes de representação comercial. Tendo a rescisão ocorrido em março de 2023, e a presente demanda proposta no mesmo ano, afasta-se a alegação de prescrição”&lt;/span&gt; &lt;span style="font-size: 12pt; font-family: 'Times New Roman',serif; color: #000000; background-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5"/>
              <w:rPr>
                <w:sz w:val="20"/>
              </w:rPr>
            </w:pPr>
            <w:r>
              <w:rPr>
                <w:sz w:val="20"/>
              </w:rPr>
              <w:t>color: transparent; font-weight: 400; font-style: normal; font-variant: normal; text-decoration: none; vertical-align: baseline; white-space: pre-wrap;"&gt;.&lt;/span&gt;&lt;/p&gt;&lt;p style="line-height: 1.38; text-indent: 2pt; text-align: justify; margin-top: 0pt; margin-bottom: 6pt;" dir="ltr"&gt;</w:t>
            </w:r>
          </w:p>
          <w:p>
            <w:pPr>
              <w:pStyle w:val="TableParagraph"/>
              <w:spacing w:line="208" w:lineRule="auto" w:before="0"/>
              <w:ind w:right="48"/>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2pt; text-align: justify; margin-top: 0pt; margin-bottom: 6pt;" dir="ltr"&gt; &lt;span style="font-size: 12pt; font-family: 'Times New Roman',serif; color: #000000; background-color: transparent; font-weight: 400; font-style: normal; font-variant: normal; text-decoration: none; vertical- align: baseline; white-space: pre-wrap;"&gt;A sentença reproduz o posicionamento já firmado pelo STJ e por este Tribunal de Justiça:&lt;/span&gt;&lt;/p&gt;&lt;p style="line-height: 1.38; margin-left: 85pt; text-align: justify; margin-top: 0pt; margin-bottom: 6pt;" dir="ltr"&gt;&amp;#160;&lt;/p&gt;&lt;p style="line-height: 1.38; margin-left: 113pt; text-align: justify; margin-top: 0pt; margin- bottom: 6pt;" dir="ltr"&gt; &lt;span style="font-size: 12pt; font-family: 'Times New Roman',serif; color: #000000; background-color: transparent; font-weight: 400; font-style: normal; font- variant: normal; text-decoration: none; vertical-align: baseline; white-space: pre- wrap;"&gt;CIVIL. RECURSOS ESPECIAIS. AÇÃO DE COBRANÇA. CONTRATO DE REPRESENTAÇÃO COMERCIAL. RESCISÃO INJUSTIFICADA PELA REPRESENTADA. PRETENSÃO DE COBRANÇA DAS COMISSÕES PAGAS A MENOR. PRESCRIÇÃO QUINQUENAL. OCORRÊNCIA. PRESCRIÇÃO DA PRETENSÃO DE COBRANÇA DAS VERBAS RESCISÓRIAS. INEXISTÊNCIA. JUSTO MOTIVO PARA A RESCISÃO UNILATERAL. AUSÊNCIA. CORREÇÃO MONETÁRIA INCIDENTE SOBRE AS VERBAS RESCISÓRIAS. TERMO INICIAL. RESCISÃO DO CONTRATO. COMISSÕES PAGAS A MENOR. SUPRESSIO. BASE DE CÁLCULO DAS VERBAS RESCISÓRIAS. CADA UMA</w:t>
            </w:r>
          </w:p>
          <w:p>
            <w:pPr>
              <w:pStyle w:val="TableParagraph"/>
              <w:spacing w:line="208" w:lineRule="auto" w:before="0"/>
              <w:ind w:right="110"/>
              <w:rPr>
                <w:sz w:val="20"/>
              </w:rPr>
            </w:pPr>
            <w:r>
              <w:rPr>
                <w:sz w:val="20"/>
              </w:rPr>
              <w:t>DAS COMISSÕES CORRIGIDAS MONETARIAMENTE.&lt;/span&gt;&lt;/p&gt;&lt;p style="line-height: 1.38; margin-left: 113pt; text-align: justify; margin-top: 0pt; margin-bottom: 6pt;" dir="ltr"&gt;</w:t>
            </w:r>
          </w:p>
          <w:p>
            <w:pPr>
              <w:pStyle w:val="TableParagraph"/>
              <w:spacing w:line="208" w:lineRule="auto" w:before="0"/>
              <w:ind w:right="20"/>
              <w:rPr>
                <w:sz w:val="20"/>
              </w:rPr>
            </w:pPr>
            <w:r>
              <w:rPr>
                <w:sz w:val="20"/>
              </w:rPr>
              <w:t>&lt;span style="font-size: 12pt; font-family: 'Times New Roman',serif; color: #000000; background-color: transparent; font-weight: 400; font-style: normal; font-variant: normal; text-decoration: none; vertical-align: baseline; white-space: pre-wrap;"&gt;1. Ação de cobrança de comissões e de verbas rescisórias cumulada com pedido de indenização por danos morais ajuizada em 08/08/2008, da qual foram extraídos os presentes recursos especiais interpostos em 03/09/2019 e 22/08/2019 e atribuídos ao gabinete em 18/12/2020.&lt;/span&gt;&lt;/p&gt;&lt;p style="line-height: 1.38; margin-left: 113pt; text-align: justify; margin-top: 0pt; margin-bottom: 6pt;" dir="ltr"&gt; &lt;span style="font-size: 12pt; font-family: 'Times New Roman',serif; color: #000000; background-color: transparent; font-weight: 700; font-style: normal; font-variant: normal; text-decoration: none; vertical-align: baseline; </w:t>
            </w:r>
            <w:r>
              <w:rPr>
                <w:spacing w:val="-3"/>
                <w:sz w:val="20"/>
              </w:rPr>
              <w:t>white- </w:t>
            </w:r>
            <w:r>
              <w:rPr>
                <w:sz w:val="20"/>
              </w:rPr>
              <w:t>space: pre-wrap;"&gt;2. O propósito recursal do primeiro recurso especial é definir a) se está prescrita a pretensão de cobrança das comissões pagas a menor e da verba rescisória prevista no art. 27, "j", da Lei nº 4.886/65;&lt;/span&gt;&lt;/p&gt;&lt;p style="line-height: 1.38; margin- left: 113pt; text-align: justify; margin-top: 0pt; margin-bottom: 6pt;" dir="ltr"&gt; &lt;span style="font-size: 12pt; font-family: 'Times New Roman',serif; color: #000000; background- color: transparent; font-weight: 700; font-style: normal; font-variant: normal; text-decoration: none; vertical-align: baseline; white-space: pre-wrap;"&gt;b) se está configurada a justa causa para a rescisão do contrato de representação comercial e c) o termo inicial da correção monetária incidente sobre as verbas rescisórias. Já o propósito recursal do segundo recurso especial é dizer sobre a) a validade da redução tácita das comissões e b) a base de cálculo das verbas rescisórias.&lt;/span&gt;&lt;/p&gt;&lt;p style="line-height: 1.38; margin-left: 113pt; text-align: justify; margin-top: 0pt; margin-bottom: 6pt;" dir="ltr"&gt; &lt;span style="font- size: 12pt; font-family: 'Times New Roman',serif; color: #000000; background-color: transparent; font-weight: 400; font-style: normal; font-variant: normal; text-decoration: none; vertical-align: baseline; white-space: pre-wrap;"&gt;3. Recurso especial de Copobrás S/A Indústria e Comércio de Embalagens.&lt;/span&gt;&lt;/p&gt;&lt;p style="line-height: 1.38; margin-left: 113pt; text-align: justify; margin-top: 0pt; margin-bottom: 6pt;" dir="ltr"&gt; &lt;span style="font- size: 12pt; font-family: 'Times New Roman',serif; color: #000000; background-color: transparent; font-weight: 400; font-style: normal; font-variant: normal; text-decoration: none; vertical-align: baseline; white-space: pre-wrap;"&gt;3.1. A pretensão do representante comercial de cobrar as diferenças das comissões pagas a menor prescreve mês a mês e está sujeita ao prazo prescricional quinquenal previsto no art. 44 da Lei nº 4.886/65.</w:t>
            </w:r>
          </w:p>
          <w:p>
            <w:pPr>
              <w:pStyle w:val="TableParagraph"/>
              <w:spacing w:line="208" w:lineRule="auto" w:before="0"/>
              <w:ind w:right="37"/>
              <w:rPr>
                <w:sz w:val="20"/>
              </w:rPr>
            </w:pPr>
            <w:r>
              <w:rPr>
                <w:sz w:val="20"/>
              </w:rPr>
              <w:t>Precedentes. Assim, está prescrita a pretensão de cobrança das parcelas vencidas antes do quinquênio que antecedeu a propositura da ação.&lt;/span&gt;&lt;/p&gt;&lt;p style="line-height: 1.38; margin-left: 113pt; text-align: justify; margin-top: 0pt; margin-bottom: 6pt;" dir="ltr"&gt;&lt;span style="font-size: 12pt; font-family: 'Times New Roman',serif; color: #000000; background-color: transparent; font-weight: 400; font-style: normal; font-variant: normal; text-decoration: none; vertical-align: baseline; white-space: pre-wrap;"&gt;3.2. À pretensão de cobrança da indenização correspondente a 1/12 do total da remuneração auferida pelo representante comercial (art. 27, "j", da Lei nº 4.886/1965) também se aplica o prazo prescricional quinquenal e tem como termo inicial a data da rescisão injustificada do contrato.&lt;/span&gt; &lt;span style="font-size: 12pt; font-family: &amp;quot;Times New Roman&amp;quot;, serif; color: #000000; background-color: transparent; font-weight: 700; font-style: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3"/>
              <w:rPr>
                <w:sz w:val="20"/>
              </w:rPr>
            </w:pPr>
            <w:r>
              <w:rPr>
                <w:sz w:val="20"/>
              </w:rPr>
              <w:t>font-variant: normal; text-decoration-skip-ink: none; vertical-align: baseline; white-space: pre-wrap; text-decoration: underline;"&gt;Nada obstante, nos termos da jurisprudência do STJ, a base de cálculo da indenização por rescisão sem justa causa deve incluir os valores recebidos durante todo o período de exercício da representação comercial, não ficando limitada ao quinquênio anterior ao ajuizamento da demanda.&lt;/span&gt; &lt;span style="font-size: 12pt; font-family: 'Times New Roman',serif; color: #000000; background- color: transparent; font-weight: 400; font-style: normal; font-variant: normal; text-decoration: none; vertical-align: baseline; white-space: pre-wrap;"&gt;Na hipótese, a pretensão da recorrida (representada) remanesce hígida, porquanto entre a data da rescisão do negócio jurídico e do ajuizamento da ação não transcorreram cinco anos.&lt;/span&gt;&lt;/p&gt;&lt;p style="line-height: 1.38; margin-left: 113pt; text-align: justify; margin-top: 0pt; margin- bottom: 6pt;" dir="ltr"&gt; &lt;span style="font-size: 12pt; font-family: 'Times New Roman',serif; color: #000000; background-color: transparent; font-weight: 400; font-style: normal; font- variant: normal; text-decoration: none; vertical-align: baseline; white-space: </w:t>
            </w:r>
            <w:r>
              <w:rPr>
                <w:spacing w:val="-2"/>
                <w:sz w:val="20"/>
              </w:rPr>
              <w:t>pre-wrap;"&gt;3.3. </w:t>
            </w:r>
            <w:r>
              <w:rPr>
                <w:sz w:val="20"/>
              </w:rPr>
              <w:t>O descumprimento de quaisquer obrigações inerentes ao contrato de representação comercial qualifica-se como justo motivo para a rescisão do contrato pelo representado (art. 35, "c", da Lei nº 4.886/65). Desse modo, caso o representante descumpra qualquer atribuição expressamente pactuada, surgirá para o representado a possibilidade de</w:t>
            </w:r>
          </w:p>
          <w:p>
            <w:pPr>
              <w:pStyle w:val="TableParagraph"/>
              <w:spacing w:line="208" w:lineRule="auto" w:before="0"/>
              <w:ind w:right="20"/>
              <w:rPr>
                <w:sz w:val="20"/>
              </w:rPr>
            </w:pPr>
            <w:r>
              <w:rPr>
                <w:sz w:val="20"/>
              </w:rPr>
              <w:t>rescindir o contrato por justa causa, circunstância na qual não serão devidos indenização e aviso prévio. O inadimplemento de outras obrigações que não estão previstas no contrato de representação comercial, mas que são implícitas ou decorrem da própria lei, também se caracteriza como justo motivo para a rescisão do contrato pelo representado. No particular, a recusa da representante (recorrida) em assinar os novos termos apresentados pela representada (recorrente), nos quais houve redução dos seus direitos, não configura justa causa, porquanto não há notícias de que, no instrumento original, a recorrida (representada) havia se obrigado a assinar, futuramente, um novo contrato no qual seus direitos seriam restringidos.&lt;/span&gt;&lt;/p&gt;&lt;p style="line-height: 1.38; margin-left: 113pt; text- align: justify; margin-top: 0pt; margin-bottom: 6pt;" dir="ltr"&gt; &lt;span style="font-size: 12pt; font-family: 'Times New Roman',serif; color: #000000; background-color: transparent; font- weight: 400; font-style: normal; font-variant: normal; text-decoration: none; vertical-align: baseline; white-space: pre-wrap;"&gt;3.4. Na hipótese de rescisão injustificada do contrato de representação comercial, o valor da condenação relativo às verbas rescisórias deve ser corrigido monetariamente a partir da notificação do representante acerca da rescisão contratual.&lt;/span&gt;&lt;/p&gt;&lt;p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pre-wrap;"&gt;Precedentes.&lt;/span&gt;&lt;/p&gt;&lt;p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 align: baseline; white-space: pre-wrap;"&gt;3.5. A ausência de cotejo analítico e de demonstração da similitude fática entre os acórdãos confrontados impedem a análise do dissídio.&lt;/span&gt;&lt;/p&gt;&lt;p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pre-wrap;"&gt;4. Recurso especial de Córrego Representações Ltda. 4.1. A ausência de decisão acerca de dispositivos legais indicados como violados impede o conhecimento do recurso especial.&lt;/span&gt;&lt;/p&gt;&lt;p style="line-height: 1.38; margin-left: 113pt; text-align: justify; margin-top: 0pt; margin-bottom: 6pt;" dir="ltr"&gt; &lt;span style="font-size: 12pt; font- family: 'Times New Roman',serif; color: #000000; background-color: transparent; font- weight: 400; font-style: normal; font-variant: normal; text-decoration: none; vertical-align: baseline; white-space: pre-wrap;"&gt;4.2. A boa-fé objetiva induz deveres acessórios de conduta, impondo às partes comportamentos obrigatórios implicitamente contidos em todos os contratos, a serem observados para que se concretizem as justas expectativas oriundas da própria celebração e execução da avença, mantendo-se o equilíbrio da relação. Uma das funções exercidas pela boa-fé objetiva consiste na limitação ao exercício de direitos subjetivos, daí derivando o instituto da supressio, que visa a tutelar a estabilidade do comportamento. Essa figura viabiliza o reconhecimento da perda do direito subjetivo em razão da inatividade do seu titular por um período suficiente para criar na outra parte a sensação plausível de ter havido renúncia àquela prerrogativa.&lt;/span&gt;&lt;/p&gt;&lt;p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pre-wrap;"&gt;4.3. Na espécie, ao longo de toda a relação negocial em que se implementaram as reduções das comissões de forma unilateral pela recorrida (representada), em nenhum momento houve insurgência por parte da recorrente (representante), que somente propugnou pelas diferenças das comissões após a rescisão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0"/>
              <w:rPr>
                <w:sz w:val="20"/>
              </w:rPr>
            </w:pPr>
            <w:r>
              <w:rPr>
                <w:sz w:val="20"/>
              </w:rPr>
              <w:t>unilateral do contrato pela recorrida. Ou seja, apesar das diminuições das comissões, a recorrente permaneceu no exercício da representação comercial por quase 22 (vinte e dois) anos, despertando na recorrida a justa expectativa de que não haveria exigência posterior. Diante desse panorama, o princípio da boa-fé objetiva torna inviável a pretensão da recorrente de exigir retroativamente valores a título de diferenças, que sempre foram dispensadas.&lt;/span&gt;&lt;/p&gt;&lt;p style="line-height: 1.38; margin-left: 113pt; text-align: justify; margin-top: 0pt; margin-bottom: 6pt;" dir="ltr"&gt; &lt;span style="font-size: 12pt; font-family: &amp;quot;Times New Roman&amp;quot;, serif; color: #000000; background-color: transparent; font- weight: 700; font-style: normal; font-variant: normal; text-decoration-skip-ink: none; vertical- align: baseline; white-space: pre-wrap; text-decoration: underline;"&gt;4.4. A base de cálculo das verbas rescisórias (indenização e aviso prévio) deve ser composta pelo valor atualizado monetariamente de cada uma das comissões recebidas pela recorrente (representante), com base no índice vigente à época do pagamento, que será o BTN, se anterior a março de 1991 (vigência a Lei nº 8.117/91), ou o INPC, se posterior a esse marco temporal.&lt;/span&gt;&lt;/p&gt;&lt;p style="line-height: 1.38; margin-left: 113pt; text-align: justify; margin-top: 0pt; margin-bottom: 6pt;" dir="ltr"&gt; &lt;span style="font-size: 12pt; font- family: 'Times New Roman',serif; color: #000000; background-color: transparent; font- weight: 400; font-style: normal; font-variant: normal; text-decoration: none; vertical-align: baseline; white-space: pre-wrap;"&gt;5. Recurso especial de Copobrás S/A Indústria e Comércio de Embalagens conhecido e parcialmente provido e recurso especial de Córrego Representações Ltda parcialmente conhecido e, nessa parte, parcialmente provido. (REsp</w:t>
            </w:r>
          </w:p>
          <w:p>
            <w:pPr>
              <w:pStyle w:val="TableParagraph"/>
              <w:spacing w:line="208" w:lineRule="auto" w:before="0"/>
              <w:ind w:right="31"/>
              <w:rPr>
                <w:sz w:val="20"/>
              </w:rPr>
            </w:pPr>
            <w:r>
              <w:rPr>
                <w:sz w:val="20"/>
              </w:rPr>
              <w:t>n. 1.838.752/SC, relatora Ministra Nancy Andrighi, Terceira Turma, julgado em 19/10/2021, DJe de 22/10/2021.)&lt;/span&gt;&lt;/p&gt;&lt;p style="line-height: 1.38; margin-left: 113pt; text-align: justify; margin-top: 0pt; margin-bottom: 6pt;" dir="ltr"&gt; &lt;span style="font-size: 12pt; font- family: &amp;quot;Times New Roman&amp;quot;, serif; color: #000000; background-color: transparent; font-weight: 700; font-style: normal; font-variant: normal; text-decoration-skip- ink: none; vertical-align: baseline; white-space: pre-wrap; text-decoration: underline;"&gt;&amp;#160;&lt;/span&gt;&lt;/p&gt;&lt;p style="line-height: 1.38; margin-left: 113pt; text-align: justify; margin-top: 0pt; margin-bottom: 6pt;" dir="ltr"&gt;&lt;span style="font-size: 12pt; font- family: 'Times New Roman',serif; color: #000000; background-color: transparent; font- weight: 400; font-style: normal; font-variant: normal; text-decoration: none; vertical-align: baseline; white-space: pre-wrap;"&gt;Direito civil. Apelação cível. Indenização por rescisão de contrato de representação comercial. Base de cálculo da indenização não submetida à prescrição quinquenal. Previsão contratual. Recurso conhecido e desprovido. I. Caso em exame 1. Apelação Cível interposta contra sentença que condenou a apelante ao pagamento de indenização por rescisão de contrato de representação comercial firmado com apelada. A decisão recorrida afastou a prescrição e condenou a requerida ao pagamento de 1/12 do total das comissões auferidas durante toda a vigência do contrato, incluindo correção monetária e juros. II. Questão em discussão 2. A questão em discussão consiste em (I) determinar se a prescrição quinquenal no art. 44, parágrafo único, da Lei nº 4.886/65 limita a base de cálculo da indenização prevista no art. 27, j, da mesma lei; e (II) verificar o cumprimento das disposições contratuais e legais sobre os valores rescisórios devidos. III. Razões de decidir 3.&amp;#160; O prazo prescricional de cinco anos previsto pelo parágrafo único do art. 44, da Lei 4.886/65, se aplica sobre as parcelas não pagas ou pagas a menor de forma mensal, bem como à pretensão à indenização pela rescisão do contrato. Esta última deve ser calculada sobre o total das comissões auferidas pelo representante durante todo o período contratual, sem limitação ao quinquênio anterior ao ajuizamento da demanda. 4. Não houve acerto entre as partes para modificar a base de cálculo da indenização prevista no art. 27, ¿j¿, da Lei 4.886/65. Conforme previsão legal e contratual, a prescrição quinquenal mês a mês não alcança a base de cálculo da indenização pela rescisão do contrato, apenas a pretensão reparatória. Portanto, a sentença não viola a liberdade contratual das partes. IV. Dispositivo e tese 5. Recurso conhecido e não provido. Tese de julgamento: ¿A indenização prevista no art. 27, 'j', da </w:t>
            </w:r>
            <w:r>
              <w:rPr>
                <w:spacing w:val="-6"/>
                <w:sz w:val="20"/>
              </w:rPr>
              <w:t>Lei </w:t>
            </w:r>
            <w:r>
              <w:rPr>
                <w:sz w:val="20"/>
              </w:rPr>
              <w:t>nº 4.886/65 deve incluir os valores recebidos durante todo o período de representação comercial, sem sujeição à prescrição quinquenal para efeito de cálculo.¿ Dispositivos relevantes citados: Lei 4.886/65, art. 27, j; art. 44, parágrafo único. Jurisprudência relevante citada: STJ, REsp nº 1.838.752/SC, Rel. Min. Nancy Andrighi, DJ 22.10.2021; TJCE Apelação Cível - 0047384-68.2018.8.06.0071, Rel. Desembargador(a) EVERARDO LUCENA SEGUNDO, 2ª Câmara Direito Privado, data do julgamento:&amp;#160; 24/08/2022, data da publicação:&amp;#160; 24/08/2022; Apelação Cível - 0011275-82.2014.8.06.0075, Rel. Desembargador(a) FRANCISCO JAIME MEDEIROS NETO, 4ª Câmara Direito Privado, data do julgamento:&amp;#160; 06/02/2024, data da publicação:&amp;#160; 06/02/2024.&lt;/span&gt;&lt;span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ind w:right="181"/>
              <w:rPr>
                <w:sz w:val="20"/>
              </w:rPr>
            </w:pPr>
            <w:r>
              <w:rPr>
                <w:sz w:val="20"/>
              </w:rPr>
              <w:t>&lt;br /&gt;&lt;/span&gt; &lt;span style="font-size: 12pt; font-family: 'Times New Roman',serif; color: #000000; background-color: transparent; font-weight: 400; font-style: normal; font-variant: normal; text-decoration: none; vertical-align: baseline; white-space: pre-wrap;"&gt;(Apelação Cível - 0053093-82.2021.8.06.0167, Rel. Desembargador(a) FRANCISCO LUCÍDIO DE</w:t>
            </w:r>
          </w:p>
          <w:p>
            <w:pPr>
              <w:pStyle w:val="TableParagraph"/>
              <w:spacing w:line="205" w:lineRule="exact" w:before="0"/>
              <w:rPr>
                <w:sz w:val="20"/>
              </w:rPr>
            </w:pPr>
            <w:r>
              <w:rPr>
                <w:sz w:val="20"/>
              </w:rPr>
              <w:t>QUEIROZ JÚNIOR, 3ª Câmara Direito Privado, data do julgamento:&amp;#160; 16/04/2025,</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data da publicação:&amp;#160; 16/04/2025)&lt;/span&gt;&lt;/p&gt;&lt;p style="line-height: 1.38; margin-left: 113pt; text-align: justify; margin-top: 0pt; margin-bottom: 6pt;" dir="ltr"&gt; &lt;span style="font- size: 12pt; font-family: 'Times New Roman',serif; color: #000000; background-color: transparent; font-weight: 400; font-style: normal; font-variant: normal; text-decoration: none; vertical-align: baseline; white-space: pre-wrap;"&gt;&amp;#160;&lt;/span&gt;&lt;/p&gt;&lt;p style="line-height: 1.38; margin-left: 113pt; text-align: justify; margin-top: 0pt; margin-bottom: 6pt;" dir="ltr"&gt;&lt;span style="font-size: 12pt; font-family: 'Times New Roman',serif; color: #000000; background-color: transparent; font-weight: 400; font-style: normal; font-variant: normal; text-decoration: none; vertical-align: baseline; white-space: pre-wrap;"&gt;APELAÇÃO. SENTENÇA IMPROCEDENTE. CONTRATOS DE REPRESENTAÇÃO COMERCIAL DE</w:t>
            </w:r>
          </w:p>
          <w:p>
            <w:pPr>
              <w:pStyle w:val="TableParagraph"/>
              <w:spacing w:line="208" w:lineRule="auto" w:before="0"/>
              <w:ind w:right="20"/>
              <w:rPr>
                <w:sz w:val="20"/>
              </w:rPr>
            </w:pPr>
            <w:r>
              <w:rPr>
                <w:sz w:val="20"/>
              </w:rPr>
              <w:t>FORMA ESCRITA.&lt;/span&gt; &lt;span style="font-size: 12pt; font-family: &amp;quot;Times New Roman&amp;quot;, serif; color: #000000; background-color: transparent; font-weight: 700; font- style: normal; font-variant: normal; text-decoration-skip-ink: none; vertical-align: baseline; white-space: pre-wrap; text-decoration: underline;"&gt;PRESCRIÇÃO: ART. 44, PARÁGRAFO ÚNICO, LEI Nº 4.886/65.&lt;/span&gt;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pre-wrap;"&gt;REVERÊNCIA AO AGRAVO DE INSTRUMENTO PREEXISTENTE (AI Nº 0623281-98.2017.8.06.0000). REPRESENTAÇÃO SEM EXCLUSIVIDADE CONFORME EXPRESSO NOS CONTRATOS FIRMADOS EM 1997 E 2013.</w:t>
            </w:r>
          </w:p>
          <w:p>
            <w:pPr>
              <w:pStyle w:val="TableParagraph"/>
              <w:spacing w:line="208" w:lineRule="auto" w:before="0"/>
              <w:ind w:right="38"/>
              <w:rPr>
                <w:sz w:val="20"/>
              </w:rPr>
            </w:pPr>
            <w:r>
              <w:rPr>
                <w:sz w:val="20"/>
              </w:rPr>
              <w:t>COMISSÕES LIMITADAS AOS NEGÓCIOS REALIZADOS DIRETAMENTE PELO REPRESENTANTE CONFORME O CONTRATO. DISTRATO É DIREITO POTESTATIVO. REIVINDICAÇÃO DOS VALORES DESPENDIDOS EM RAZÃO DA REPRESENTAÇÃO.</w:t>
            </w:r>
          </w:p>
          <w:p>
            <w:pPr>
              <w:pStyle w:val="TableParagraph"/>
              <w:spacing w:line="208" w:lineRule="auto" w:before="0"/>
              <w:ind w:right="128"/>
              <w:rPr>
                <w:sz w:val="20"/>
              </w:rPr>
            </w:pPr>
            <w:r>
              <w:rPr>
                <w:sz w:val="20"/>
              </w:rPr>
              <w:t>DESPROVIMENTO.&lt;/span&gt; &lt;span style="font-size: 12pt; font-family: &amp;quot;Times New Roman&amp;quot;, serif; color: #000000; background-color: transparent; font-weight: 700; font- style: normal; font-variant: normal; text-decoration-skip-ink: none; vertical-align: baseline; white-space: pre-wrap; text-decoration: underline;"&gt;1. PRESCRIÇÃO: ART. 44, PARÁGRAFO ÚNICO, LEI Nº 4.886/65: Na Decisão, às f. 907/909, foi reconhecida a Prescrição das parcelas anteriores a 22.02.2013, conforme consta na Decisão Singular.&lt;/span&gt; &lt;span style="font-size: 12pt; font-family: 'Times New Roman',serif; color: #000000; background-color: transparent; font-weight: 400; font-style: normal; font-variant: normal; text-decoration: none; vertical-align: baseline; white-space: pre-wrap;"&gt;2.</w:t>
            </w:r>
          </w:p>
          <w:p>
            <w:pPr>
              <w:pStyle w:val="TableParagraph"/>
              <w:spacing w:line="190" w:lineRule="exact" w:before="0"/>
              <w:rPr>
                <w:sz w:val="20"/>
              </w:rPr>
            </w:pPr>
            <w:r>
              <w:rPr>
                <w:sz w:val="20"/>
              </w:rPr>
              <w:t>REVERÊNCIA AO AGRAVO DE INSTRUMENTO PREEXISTENTE: Oportuno registrar a</w:t>
            </w:r>
          </w:p>
          <w:p>
            <w:pPr>
              <w:pStyle w:val="TableParagraph"/>
              <w:spacing w:line="208" w:lineRule="auto" w:before="8"/>
              <w:ind w:right="60"/>
              <w:rPr>
                <w:sz w:val="20"/>
              </w:rPr>
            </w:pPr>
            <w:r>
              <w:rPr>
                <w:sz w:val="20"/>
              </w:rPr>
              <w:t>preexistência do julgamento do Agravo de Instrumento nº 0623281-98.2017.8.06.0000 manejado pela Promovida contra Decisão Interlocutória proferida no Processo Cautelar Antecedente nº 47410-03.2017.8.06.0071. A propósito, no âmbito de tal recurso, o egrégio Tribunal de Justiça - TJCE já se manifestou no tocante à alegada exclusividade reivindicada pela parte autora. Assim, apontada a força vinculante do Contrato de Representação Comercial para as Partes, aliás, como não poderia deixar de ser. 3.</w:t>
            </w:r>
          </w:p>
          <w:p>
            <w:pPr>
              <w:pStyle w:val="TableParagraph"/>
              <w:spacing w:line="190" w:lineRule="exact" w:before="0"/>
              <w:rPr>
                <w:sz w:val="20"/>
              </w:rPr>
            </w:pPr>
            <w:r>
              <w:rPr>
                <w:sz w:val="20"/>
              </w:rPr>
              <w:t>REPRESENTAÇÃO SEM EXCLUSIVIDADE CONFORME EXPRESSO NOS</w:t>
            </w:r>
          </w:p>
          <w:p>
            <w:pPr>
              <w:pStyle w:val="TableParagraph"/>
              <w:spacing w:line="208" w:lineRule="auto" w:before="9"/>
              <w:ind w:right="101"/>
              <w:rPr>
                <w:sz w:val="20"/>
              </w:rPr>
            </w:pPr>
            <w:r>
              <w:rPr>
                <w:sz w:val="20"/>
              </w:rPr>
              <w:t>CONTRATOS FIRMADOS EM 1997 E 2013: Os pactos celebrados pelos Litigantes são escritos, de modo a autorizar ao Julgador a sempre buscar as soluções de impasses na vontade dos Contraentes. Daí porque as próprias avenças resolvem o dissenso acerca do quesito Exclusividade. 4. COMISSÕES LIMITADAS AOS NEGÓCIOS REALIZADOS DIRETAMENTO PELO REPRESENTANTE CONFORME O CONTRATO: O tema não</w:t>
            </w:r>
          </w:p>
          <w:p>
            <w:pPr>
              <w:pStyle w:val="TableParagraph"/>
              <w:spacing w:line="208" w:lineRule="auto" w:before="0"/>
              <w:ind w:right="21"/>
              <w:rPr>
                <w:sz w:val="20"/>
              </w:rPr>
            </w:pPr>
            <w:r>
              <w:rPr>
                <w:sz w:val="20"/>
              </w:rPr>
              <w:t>comporta digressões. Os contratos firmados pelos Contendedores dispõem literalmente acerca das comissões. Desta feita, as disposições contratuais limitam as comissões do autor somente aos negócios "propiciados diretamente" por ele. 5. DISTRATO É DIREITO POTESTATIVO: Ademais disso, o Distrato é um Direito, eminentemente, Potestativo que pode ser exercido por qualquer das partes. 6. REIVINDICAÇÃO DOS VALORES DESPENDIDOS EM RAZÃO DA REPRESENTAÇÃO: Finalmente, o Recorrente alega </w:t>
            </w:r>
            <w:r>
              <w:rPr>
                <w:spacing w:val="-6"/>
                <w:sz w:val="20"/>
              </w:rPr>
              <w:t>uma </w:t>
            </w:r>
            <w:r>
              <w:rPr>
                <w:sz w:val="20"/>
              </w:rPr>
              <w:t>série de despesas realizadas em função do exercício da Representação pelo que objetiva a restituição. Todavia, vã a iniciativa. É que o Autor não se desincumbiu do ônus de provar os fatos constitutivos desse suposto direito, na forma do art. 373, I, CPC. 7.</w:t>
            </w:r>
          </w:p>
          <w:p>
            <w:pPr>
              <w:pStyle w:val="TableParagraph"/>
              <w:spacing w:line="208" w:lineRule="auto" w:before="0"/>
              <w:ind w:right="20"/>
              <w:rPr>
                <w:sz w:val="20"/>
              </w:rPr>
            </w:pPr>
            <w:r>
              <w:rPr>
                <w:sz w:val="20"/>
              </w:rPr>
              <w:t>DESPROVIMENTO do Apelo, para consagrar a Decisão Primeva, por irrepreensível, assegurada a majoração os honorários advocatícios em 10% (dez por cento) sobre o valor fixado na origem, observados, o limite do percentual previsto no art. 85, §2º, CPC/15.&lt;/span&gt;&lt;/p&gt;&lt;p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vertical-align: baseline; white- space: pre-wrap;"&gt;(Apelação Cível - 0047384-68.2018.8.06.0071, Rel. Desembargador(a) EVERARDO LUCENA SEGUNDO, 2ª Câmara Direito Privado, data do julgamento:&amp;#160; 24/08/2022, data da publicação:&amp;#160; 24/08/2022)&lt;/span&gt;&lt;/p&gt;&lt;p style="line-height: 1.38; margin-top: 0pt; margin-bottom: 6pt;" dir="ltr"&gt;&amp;#160;&lt;/p&gt;&lt;p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pre-wrap;"&gt;Portanto, deve-se observar apenas se a ação foi ajuizada dentro do limite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9"/>
              <w:rPr>
                <w:sz w:val="20"/>
              </w:rPr>
            </w:pPr>
            <w:r>
              <w:rPr>
                <w:sz w:val="20"/>
              </w:rPr>
              <w:t>cinco anos após a rescisão contratual. O distrato ocorreu em março de 2023, com o ajuizamento da ação logo em seguida, em maio de 2023 (id. 26794682), menos de 3 meses após o fim da relação comercial, não havendo que se falar em prescrição.&lt;/span&gt;&lt;/p&gt;&lt;p style="line-height: 1.7999999999999998; text-indent: 56.692913385826756pt; text-align: justify; margin-top: 0pt; margin-bottom: 6pt;"</w:t>
            </w:r>
            <w:r>
              <w:rPr>
                <w:spacing w:val="-18"/>
                <w:sz w:val="20"/>
              </w:rPr>
              <w:t> </w:t>
            </w:r>
            <w:r>
              <w:rPr>
                <w:sz w:val="20"/>
              </w:rPr>
              <w:t>dir="ltr"&gt;</w:t>
            </w:r>
          </w:p>
          <w:p>
            <w:pPr>
              <w:pStyle w:val="TableParagraph"/>
              <w:spacing w:line="208" w:lineRule="auto" w:before="0"/>
              <w:ind w:right="262"/>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1.7999999999999998; text-indent: 28.346456692913378pt; text-align: justify; margin-top: 0pt; margin-bottom: 6pt;"</w:t>
            </w:r>
            <w:r>
              <w:rPr>
                <w:spacing w:val="-18"/>
                <w:sz w:val="20"/>
              </w:rPr>
              <w:t> </w:t>
            </w:r>
            <w:r>
              <w:rPr>
                <w:sz w:val="20"/>
              </w:rPr>
              <w:t>dir="ltr"&gt;</w:t>
            </w:r>
          </w:p>
          <w:p>
            <w:pPr>
              <w:pStyle w:val="TableParagraph"/>
              <w:spacing w:line="208" w:lineRule="auto" w:before="0"/>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4"/>
                <w:sz w:val="20"/>
              </w:rPr>
              <w:t>text- </w:t>
            </w:r>
            <w:r>
              <w:rPr>
                <w:sz w:val="20"/>
              </w:rPr>
              <w:t>decoration: underline;"&gt;4 – Mérito recursal: Indenização por rescisão sem justa causa&lt;/span&gt;&lt;/p&gt;&lt;p style="line-height: 1.7999999999999998; text-indent: 56.692913385826756pt; text-align: justify; margin-top: 0pt; margin-bottom: 6pt;" dir="ltr"&gt;</w:t>
            </w:r>
          </w:p>
          <w:p>
            <w:pPr>
              <w:pStyle w:val="TableParagraph"/>
              <w:spacing w:line="208" w:lineRule="auto" w:before="0"/>
              <w:ind w:right="53"/>
              <w:rPr>
                <w:sz w:val="20"/>
              </w:rPr>
            </w:pPr>
            <w:r>
              <w:rPr>
                <w:sz w:val="20"/>
              </w:rPr>
              <w:t>&lt;span style="font-size: 12pt; font-family: 'Times New Roman',serif; color: #000000; background-color: transparent; font-weight: 400; font-style: normal; font-variant: normal; text-decoration: none; vertical-align: baseline; white-space: pre-wrap;"&gt;Como cediço, a representação comercial disciplinada pela Lei nº 4.886/1965, trata-se de uma modalidade de contrato cível, pela qual os produtores ou fabricantes contratam terceiros para mediar a realização dos negócios, agenciando propostas ou pedidos e transmitindo-os ao empresário, como meio de atingimento de novos mercados ou de agilidade na concretização da cadeia comercial.&lt;/span&gt;&lt;/p&gt;&lt;p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pre-wrap;"&gt;Nessa relação, a vulnerabilidade do representante é reconhecida pelo legislador, que estabeleceu regras de proteção para salvaguardar o contratado dos arbítrios do seu contratante, especialmente em decorrência da extinção contratual abrupta e respectiva perda do mercado. Dentre esses mecanismos de proteção, destaca-se a indenização devida ao representante, pela rescisão sem justa causa do contrato, em montante não inferior a 1/12 (um doze avos) do total das comissões auferidas durante o tempo em que exerceu a representação, conforme o art. 27, j, da Lei nº 4.886/1965. A indenização será devida desde que o representante não dê causa à extinção em uma das hipóteses previstas pelo art. 36, da Lei nº 4.886/1965, veja-se:&lt;/span&gt;&lt;/p&gt;&lt;p style="line- height: 1.38; text-indent: 2pt; margin-top: 0pt; margin-bottom: 6pt;" dir="ltr"&gt; &lt;span style="font-size: 12pt; font-family: 'Times New Roman',serif; color: #000000; background- color: transparent; font-weight: 400; font-style: normal; font-variant: normal; text-decoration: none; vertical-align: baseline; white-space: pre-wrap;"&gt;&amp;#160;&lt;/span&gt;&lt;/p&gt;&lt;p style="line- height: 1.38; margin-left: 113pt; margin-top: 0pt; margin-bottom: 6pt;" dir="ltr"&gt; &lt;span style="font-size: 12pt; font-family: 'Times New Roman',serif; color: #000000; background- color: transparent; font-weight: 400; font-style: italic; font-variant: normal; text-decoration: none; vertical-align: baseline; white-space: pre-wrap;"&gt;Art. 27. Do contrato de representação comercial, quando celebrado por escrito, além dos elementos comuns e outros, a juízo dos interessados, constarão, obrigatoriamente:&lt;/span&gt;&lt;/p&gt;&lt;p style="line- height: 1.38; margin-left: 113pt; margin-top: 0pt; margin-bottom: 6pt;" dir="ltr"&gt; &lt;span style="font-size: 12pt; font-family: 'Times New Roman',serif; color: #000000; background- color: transparent; font-weight: 400; font-style: italic; font-variant: normal; text-decoration: none; vertical-align: baseline; white-space: pre-wrap;"&gt;[...]&lt;/span&gt;&lt;/p&gt;&lt;p style="line- height: 1.38; margin-left: 113pt; margin-top: 0pt; margin-bottom: 6pt;" dir="ltr"&gt;&lt;span style="font-size: 12pt; font-family: 'Times New Roman',serif; color: #000000; background- color: transparent; font-weight: 400; font-style: italic; font-variant: normal; text-decoration: none; vertical-align: baseline; white-space: pre-wrap;"&gt;&amp;#160;j) indenização devida ao representante pela rescisão do contrato fora dos casos previstos no art. 35, cujo montante não poderá ser inferior a 1/12 (um doze avos)&lt;/span&gt; &lt;span style="font-size: 12pt; font- family: 'Times New Roman',serif; color: #000000; background-color: transparent; font- weight: 700; font-style: italic; font-variant: normal; text-decoration: none; vertical-align: baseline; white-space: pre-wrap;"&gt;do total da retribuição auferida durante o tempo em que exerceu a representação&lt;/span&gt;&lt;span style="font-size: 12pt; font-family: 'Times New Roman',serif; color: #000000; background-color: transparent; font-weight: 400; font-style: italic; font-variant: normal; text-decoration: none; vertical-align: baseline; white-space: pre- wrap;"&gt;.&amp;#160;&amp;#160;&amp;#160;&lt;/span&gt;&lt;/p&gt;&lt;p style="line-height: 1.38; margin-left: 113pt; margin-top: 0pt; margin-bottom: 6pt;" dir="ltr"&gt; &lt;span style="font-size: 12pt; font-family: 'Times New Roman',serif; color: #000000; background-color: transparent; font-weight: 400; font-style: italic; font-variant: normal; text-decoration: none; vertical-align: baseline; white- space: pre-wrap;"&gt;&amp;#160;&lt;/span&gt;&lt;/p&gt;&lt;p style="line-height: 1.38; margin-left: 113pt; margin-top: 0pt; margin-bottom: 6pt;" dir="ltr"&gt; &lt;span style="font-size: 12pt; font-family: 'Times New Roman',serif; color: #000000; background-color: transparent; font-weight: 400;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9"/>
              <w:rPr>
                <w:sz w:val="20"/>
              </w:rPr>
            </w:pPr>
            <w:r>
              <w:rPr>
                <w:sz w:val="20"/>
              </w:rPr>
              <w:t>font-style: italic; font-variant: normal; text-decoration: none; vertical-align: baseline; white- space: pre-wrap;"&gt;Art . 36. Constituem motivos justos para rescisão do contrato de representação comercial, pelo representante:&lt;/span&gt;&lt;/p&gt;&lt;p style="line-height: 1.38; margin-left: 113pt; margin-top: 0pt; margin-bottom: 6pt;" dir="ltr"&gt; &lt;span style="font-size: 12pt; font-family: 'Times New Roman',serif; color: #000000; background-color: transparent; font-weight: 400; font-style: italic; font-variant: normal; text-decoration: none; vertical-align: baseline; white-space: pre-wrap;"&gt;a) redução de esfera de atividade do representante em desacôrdo com as cláusulas do contrato;&lt;/span&gt;&lt;/p&gt;&lt;p style="line-height: 1.38; margin- left: 113pt; margin-top: 0pt; margin-bottom: 6pt;" dir="ltr"&gt; &lt;span style="font-size: 12pt; font-family: 'Times New Roman',serif; color: #000000; background-color: transparent; font- weight: 400; font-style: italic; font-variant: normal; text-decoration: none; vertical-align: baseline; white-space: pre-wrap;"&gt;b) a quebra, direta ou indireta, da exclusividade, se prevista no contrato;&lt;/span&gt;&lt;/p&gt;&lt;p style="line-height: 1.38; margin-left: 113pt; margin-top: 0pt; margin-bottom: 6pt;" dir="ltr"&gt; &lt;span style="font-size: 12pt; font-family: 'Times New Roman',serif; color: #000000; background-color: transparent; font-weight: 400; font-style: italic; font-variant: normal; text-decoration: none; vertical-align: baseline; white-space: pre- wrap;"&gt;c) a fixação abusiva de preços em relação à zona do representante, com o exclusivo escopo de impossibilitar-lhe ação regular;&lt;/span&gt;&lt;/p&gt;&lt;p style="line-height: </w:t>
            </w:r>
            <w:r>
              <w:rPr>
                <w:spacing w:val="-4"/>
                <w:sz w:val="20"/>
              </w:rPr>
              <w:t>1.38; </w:t>
            </w:r>
            <w:r>
              <w:rPr>
                <w:sz w:val="20"/>
              </w:rPr>
              <w:t>margin-left: 113pt; margin-top: 0pt; margin-bottom: 6pt;" dir="ltr"&gt; &lt;span style="font-size: 12pt; font-family: 'Times New Roman',serif; color: #000000; background-color: transparent; font-weight: 400; font-style: italic; font-variant: normal; text-decoration: none; vertical-align: baseline; white-space: pre-wrap;"&gt;d) o não-pagamento de sua retribuição na época devida;&lt;/span&gt;&lt;/p&gt;&lt;p style="line-height: 1.38; margin-left: 113pt; margin-top: 0pt; margin- bottom: 6pt;" dir="ltr"&gt; &lt;span style="font-size: 12pt; font-family: 'Times New Roman',serif; color: #000000; background-color: transparent; font-weight: 400; font-style: italic; font- variant: normal; text-decoration: none; vertical-align: baseline; white-space: pre-wrap;"&gt;e) fôrça maior.&lt;/span&gt;&lt;/p&gt;&lt;p style="line-height: 1.38; text-indent: 2pt; margin-top: 0pt; margin-bottom: 6pt;" dir="ltr"&gt; &lt;span style="font-size: 12pt; font-family: 'Times New Roman',serif; color: #000000; background-color: transparent; font-weight: 400; font-style: normal; font-variant: normal; text-decoration: none; vertical-align: baseline; white-space: pre-wrap;"&gt;&amp;#160;&lt;/span&gt;&lt;/p&gt;&lt;p style="line-height: 1.7999999999999998; text-indent: 56.692913385826756pt; text-align: justify; margin-top: 0pt; margin-bottom: 6pt;" dir="ltr"&gt;</w:t>
            </w:r>
          </w:p>
          <w:p>
            <w:pPr>
              <w:pStyle w:val="TableParagraph"/>
              <w:spacing w:line="208" w:lineRule="auto" w:before="0"/>
              <w:ind w:right="43"/>
              <w:rPr>
                <w:sz w:val="20"/>
              </w:rPr>
            </w:pPr>
            <w:r>
              <w:rPr>
                <w:sz w:val="20"/>
              </w:rPr>
              <w:t>&lt;span style="font-size: 12pt; font-family: 'Times New Roman',serif; color: #000000; background-color: transparent; font-weight: 400; font-style: normal; font-variant: normal; text-decoration: none; vertical-align: baseline; white-space: pre-wrap;"&gt;É fato </w:t>
            </w:r>
            <w:r>
              <w:rPr>
                <w:spacing w:val="-2"/>
                <w:sz w:val="20"/>
              </w:rPr>
              <w:t>incontroverso </w:t>
            </w:r>
            <w:r>
              <w:rPr>
                <w:sz w:val="20"/>
              </w:rPr>
              <w:t>nos autos que o rompimento contratual ocorreu por iniciativa da representada-apelante, em março de 2023 (id. 26794690). Contudo, resta verificar se ocorreu uma das hipóteses contidas no art. 36, citado acima. A apelante afirma que a rescisão contratual ocorreu em razão do baixo desempenho da autora e que não compareceu a eventos de vendas realizados entre outubro de 2022 e fevereiro de 2023, deixando de exibir os produtos da representada, prejudicando sobremaneira as vendas na região, descumprindo os compromissos inerentes à representação comercial.&lt;/span&gt;&lt;/p&gt;&lt;p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pre-wrap;"&gt;Já a autora afirmou que a representada reiteradas vezes deixava de enviar produtos ou demorava em sua remessa, ocasionando ausências de estoque e de mostruários. Assim, a queda de desempenho comercial no trimestre anterior à rescisão teria sido ocasionada por falhas operacionais da ré.&lt;/span&gt;&lt;/p&gt;&lt;p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pre-wrap;"&gt;Analisando os autos, compreendo que não assiste razão à apelante.&lt;/span&gt;&lt;/p&gt;&lt;p style="line-height: 1.7999999999999998; text-indent: 56.692913385826756pt; text-align: justify; margin-top: 0pt;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400; font-style: normal; font-variant: normal; text-decoration: none; vertical-align: baseline; white-space: pre-wrap;"&gt;Acerca da responsabilidade pela rescisão contratual e a ausência de justa causa para tanto, transcrevo e adoto o entendimento do juízo de origem (id. 26794997):&lt;/span&gt;&lt;/p&gt;&lt;p style="line-height: 1.38; text-indent: 2pt; margin-top: 0pt; margin-bottom: 6pt;" dir="ltr"&gt;</w:t>
            </w:r>
          </w:p>
          <w:p>
            <w:pPr>
              <w:pStyle w:val="TableParagraph"/>
              <w:spacing w:line="208" w:lineRule="auto" w:before="0"/>
              <w:ind w:right="99"/>
              <w:rPr>
                <w:sz w:val="20"/>
              </w:rPr>
            </w:pPr>
            <w:r>
              <w:rPr>
                <w:sz w:val="20"/>
              </w:rPr>
              <w:t>&lt;span style="font-size: 12pt; font-family: 'Times New Roman',serif; color: #000000; background-color: transparent; font-weight: 400; font-style: normal; font-variant: normal; text-decoration: none; vertical-align: baseline; white-space: pre- wrap;"&gt;&amp;#160;&lt;/span&gt;&lt;/p&gt;&lt;p style="line-height: 1.38; margin-left: 113pt; text-align: justify; margin-top: 0pt; margin-bottom: 6pt;" dir="ltr"&gt; &lt;span style="font-size: 12pt; font-family: 'Times New Roman',serif; color: #000000; background-color: transparent; font-weight: 400; font-style: italic; font-variant: normal; text-decoration: none; vertical-align: baseline; 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space: pre-wrap;"&gt;Não há nos autos, por exemplo, relatórios de desempenho ou qualquer outra medida que demonstre a tentativa da ré de solucionar os supostos problemas de maneira prévia à rescisão.&lt;/span&gt;&lt;/p&gt;&lt;p style="line-height: 1.38; margin-left: 113pt; text- align: justify; margin-top: 0pt; margin-bottom: 6pt;" dir="ltr"&gt; &lt;span style="font-size: 12pt; font-family: 'Times New Roman',serif; color: #000000; background-color: transparent; font- weight: 400; font-style: italic; font-variant: normal; text-decoration: none; vertical-align: baseline; white-space: pre-wrap;"&gt;Restou demonstrado, no entanto, que, nos meses anteriores à rescisão, houve falhas operacionais atribuíveis à própria ré, consistentes na ausência de estoque, demora na disponibilização de mostruário atualizado e baixa renovação do portfólio de produtos, circunstâncias que, por sua natureza, comprometem a efetividade da atividade representacional.&lt;/span&gt;&lt;/p&gt;&lt;p style="line-height: 1.38; margin- left: 113pt; text-align: justify; margin-top: 0pt; margin-bottom: 6pt;" dir="ltr"&gt; &lt;span style="font-size: 12pt; font-family: 'Times New Roman',serif; color: #000000; background- color: transparent; font-weight: 400; font-style: italic; font-variant: normal; text-decoration: none; vertical-align: baseline; white-space: pre-wrap;"&gt;Tais elementos, portanto, afastam a presunção de desídia da representante comercial, evidenciando, em verdade, que a queda no volume de vendas decorreu de fatores alheios à atuação.&lt;/span&gt;&lt;/p&gt;&lt;p style="line- height: 1.38; margin-left: 113pt; text-align: justify; margin-top: 0pt; margin-bottom: 6pt;" dir="ltr"&gt; &lt;span style="font-size: 12pt; font-family: 'Times New Roman',serif; color: #000000; background-color: transparent; font-weight: 400; font-style: italic; font-variant: normal; text-decoration: none; vertical-align: baseline; white-space: pre-wrap;"&gt;Outrossim, a alegação de vínculo paralelo com empresa concorrente não foi minimamente demonstrada, inexistindo nos autos qualquer prova documental ou testemunhal apta a corroborar tal afirmativa.&lt;/span&gt;&lt;/p&gt;&lt;p style="line-height: 1.38; margin-left: 113pt; text- align: justify; margin-top: 0pt; margin-bottom: 6pt;" dir="ltr"&gt; &lt;span style="font-size: 12pt; font-family: 'Times New Roman',serif; color: #000000; background-color: transparent; font- weight: 400; font-style: italic; font-variant: normal; text-decoration: none; vertical-align: baseline; white-space: pre-wrap;"&gt;Não havendo, portanto, comprovação de conduta culposa ou dolosa por parte da autora que justificasse a rescisão contratual nos moldes do art. 35 da Lei nº 4.886/65, caracteriza-se a rescisão imotivada.&lt;/span&gt;&lt;/p&gt;&lt;p style="line- height: 1.38; text-indent: 2pt; margin-top: 0pt; margin-bottom: 6pt;" dir="ltr"&gt; &lt;span style="font-size: 12pt; font-family: 'Times New Roman',serif; color: #000000; background- color: transparent; font-weight: 400; font-style: normal; font-variant: normal; text-decoration: none; vertical-align: baseline; white-space: pre-wrap;"&gt;&amp;#160;&lt;/span&gt;&lt;/p&gt;&lt;p style="line- 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pre-wrap;"&gt;Observo que a inicial é acompanhada pela cópia de troca de&lt;/span&gt;</w:t>
            </w:r>
          </w:p>
          <w:p>
            <w:pPr>
              <w:pStyle w:val="TableParagraph"/>
              <w:spacing w:line="208" w:lineRule="auto" w:before="0"/>
              <w:ind w:right="53"/>
              <w:rPr>
                <w:sz w:val="20"/>
              </w:rPr>
            </w:pPr>
            <w:r>
              <w:rPr>
                <w:sz w:val="20"/>
              </w:rPr>
              <w:t>&lt;span style="font-size: 12pt; font-family: 'Times New Roman',serif; color: #000000; background-color: transparent; font-weight: 400; font-style: italic; font-variant: normal; text- decoration: none; vertical-align: baseline; white-space: pre-wrap;"&gt;e-mails&lt;/span&gt; &lt;span style="font-size: 12pt; font-family: 'Times New Roman',serif; color: #000000; background- color: transparent; font-weight: 400; font-style: normal; font-variant: normal; text-decoration: none; vertical-align: baseline; white-space: pre-wrap;"&gt;entre representante e </w:t>
            </w:r>
            <w:r>
              <w:rPr>
                <w:spacing w:val="-2"/>
                <w:sz w:val="20"/>
              </w:rPr>
              <w:t>representada, </w:t>
            </w:r>
            <w:r>
              <w:rPr>
                <w:sz w:val="20"/>
              </w:rPr>
              <w:t>dentre os quais há registros de demora de reposição de estoque admitida pela própria empresa (id. 26794802). Além disso, em depoimento da testemunha da autora, o senhor Rodrigo Franco Sant’Anna, ficou demonstrado que a empresa representada deixou de ter em seu repertório licença de comercialização de várias marcas antes comercializadas.&lt;/span&gt;&lt;/p&gt;&lt;p style="line-height: 1.7999999999999998; text-indent: 56.692913385826756pt; text-align: justify; margin-top: 0pt; margin-bottom: 6pt;" dir="ltr"&gt;</w:t>
            </w:r>
          </w:p>
          <w:p>
            <w:pPr>
              <w:pStyle w:val="TableParagraph"/>
              <w:spacing w:line="208" w:lineRule="auto" w:before="0"/>
              <w:ind w:right="58"/>
              <w:rPr>
                <w:sz w:val="20"/>
              </w:rPr>
            </w:pPr>
            <w:r>
              <w:rPr>
                <w:sz w:val="20"/>
              </w:rPr>
              <w:t>&lt;span style="font-size: 12pt; font-family: 'Times New Roman',serif; color: #000000; background-color: transparent; font-weight: 400; font-style: normal; font-variant: normal; text-decoration: none; vertical-align: baseline; white-space: pre-wrap;"&gt;A testemunha afirmou que a perda dessas marcas prejudica a atividade do representante comercial. Além disso, as marcas da Safilo (representada) eram vendidas por preços quatro a cinco vezes menores do que as marcas cujas licenças foram perdidas. A testemunha também destacou a costumeira lentidão da Safilo na entrega de produtos, o que dificultava a reposição de estoque.&lt;/span&gt;&lt;/p&gt;&lt;p style="line-height: 1.7999999999999998; </w:t>
            </w:r>
            <w:r>
              <w:rPr>
                <w:spacing w:val="-2"/>
                <w:sz w:val="20"/>
              </w:rPr>
              <w:t>text-indent: </w:t>
            </w:r>
            <w:r>
              <w:rPr>
                <w:sz w:val="20"/>
              </w:rPr>
              <w:t>56.692913385826756pt; text-align: justify; margin-top: 0pt; margin-bottom: 6pt;" dir="ltr"&gt;</w:t>
            </w:r>
          </w:p>
          <w:p>
            <w:pPr>
              <w:pStyle w:val="TableParagraph"/>
              <w:spacing w:line="208" w:lineRule="auto" w:before="0"/>
              <w:ind w:right="30"/>
              <w:rPr>
                <w:sz w:val="20"/>
              </w:rPr>
            </w:pPr>
            <w:r>
              <w:rPr>
                <w:sz w:val="20"/>
              </w:rPr>
              <w:t>&lt;span style="font-size: 12pt; font-family: 'Times New Roman',serif; color: #000000; background-color: transparent; font-weight: 400; font-style: normal; font-variant: normal; text-decoration: none; vertical-align: baseline; white-space: pre-wrap;"&gt;Por outro lado, a empresa Safilo não conseguiu provar que a representante agiu com negligência ou teve um desempenho insatisfatório. As provas nos autos indicam que as dificuldades de </w:t>
            </w:r>
            <w:r>
              <w:rPr>
                <w:spacing w:val="-3"/>
                <w:sz w:val="20"/>
              </w:rPr>
              <w:t>vendas </w:t>
            </w:r>
            <w:r>
              <w:rPr>
                <w:sz w:val="20"/>
              </w:rPr>
              <w:t>da recorrida decorreram da redução do número de marcas comercializadas pela Safilo e da demora na entrega dos produtos. Nesse sentido, é relevante o depoimento da testemunha Jorge Luiz de Lima Cunto (id. 26794991), que destacou o desempenho positivo e a constante disponibilidade da autora.&lt;/span&gt;&lt;/p&gt;&lt;p style="line-height: 1.7999999999999998; text-indent: 56.692913385826756pt; text-align: justify; margin-top: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2"/>
              <w:rPr>
                <w:sz w:val="20"/>
              </w:rPr>
            </w:pPr>
            <w:r>
              <w:rPr>
                <w:sz w:val="20"/>
              </w:rPr>
              <w:t>0pt; margin-bottom: 6pt;" dir="ltr"&gt; &lt;span style="font-size: 12pt; font-family: 'Times New Roman',serif; color: #000000; background-color: transparent; font-weight: 400; font-style: normal; font-variant: normal; text-decoration: none; vertical-align: baseline; white-space: pre-wrap;"&gt;Compreendo que a autora se desincumbiu do seu ônus probatório de comprovar os fatos constitutivos de seu direito. Por sua vez, a demandada não apresentou provas de fatos impeditivos, modificativos ou extintivos do direito da autora, não se desincumbindo do ônus constante no art. 373, II, do CPC. Portanto, acertada a decisão de origem, ao julgar procedentes os pedidos da autora. Nesse sentido, precedentes deste Egrégio Tribunal de Justiça:&lt;/span&gt;&lt;/p&gt;&lt;p style="line-height: 1.38; text-indent: 2pt; margin-top: 0pt; margin-bottom: 6pt;" dir="ltr"&gt; &lt;span style="font-size: 12pt; font-family: 'Times New Roman',serif; color: #000000; background-color: transparent; font-weight: 400;</w:t>
            </w:r>
          </w:p>
          <w:p>
            <w:pPr>
              <w:pStyle w:val="TableParagraph"/>
              <w:spacing w:line="208" w:lineRule="auto" w:before="0"/>
              <w:ind w:right="20"/>
              <w:rPr>
                <w:sz w:val="20"/>
              </w:rPr>
            </w:pPr>
            <w:r>
              <w:rPr>
                <w:sz w:val="20"/>
              </w:rPr>
              <w:t>font-style: normal; font-variant: normal; text-decoration: none; vertical-align: baseline; </w:t>
            </w:r>
            <w:r>
              <w:rPr>
                <w:spacing w:val="-3"/>
                <w:sz w:val="20"/>
              </w:rPr>
              <w:t>white- </w:t>
            </w:r>
            <w:r>
              <w:rPr>
                <w:sz w:val="20"/>
              </w:rPr>
              <w:t>space: pre-wrap;"&gt;&amp;#160;&lt;/span&gt;&lt;/p&gt;&lt;p style="line-height: 1.38; margin-left: 113pt; text- align: justify; margin-top: 0pt; margin-bottom: 6pt;" dir="ltr"&gt;&lt;span style="font-size: 12pt; font-family: 'Times New Roman',serif; color: #000000; background-color: transparent; font- weight: 400; font-style: normal; font-variant: normal; text-decoration: none; vertical-align: baseline; white-space: pre-wrap;"&gt;DIREITO CIVIL. PRELIMINAR DE TEMPESTIVIDADE SUSCITADA EM CONTRARRAZÕES REJEITADA. APELAÇÃO CÍVEL. REPRESENTAÇÃO COMERCIAL. RESCISÃO CONTRATUAL POR JUSTA CAUSA PELA REPRESENTADA. ART. 35 DA LEI 4886/65. AUTORA/APELANTE QUE NÃO SE DESINCUMBIU DO ÔNUS QUE LHE COMPETIA. INTELIGÊNCIA DO ART. 373, I, DO CPC. INDENIZAÇÃO INDEVIDA. RECURSO CONHECIDO E DESPROVIDO. SENTENÇA</w:t>
            </w:r>
          </w:p>
          <w:p>
            <w:pPr>
              <w:pStyle w:val="TableParagraph"/>
              <w:spacing w:line="208" w:lineRule="auto" w:before="0"/>
              <w:ind w:right="23"/>
              <w:rPr>
                <w:sz w:val="20"/>
              </w:rPr>
            </w:pPr>
            <w:r>
              <w:rPr>
                <w:sz w:val="20"/>
              </w:rPr>
              <w:t>MANTIDA. I. CASO EM EXAME 1. Apelação interposta por Montenegro &amp;amp; Cia Ltda, representante comercial, contra sentença que julgou improcedente ação de cobrança cumulada com pedido de indenização por danos morais, materiais e lucros cessantes. 2. Alegação da autora/apelante de quebra contratual por parte da requerida Roan Alimentos Ltda, em razão de suposta invasão de área de exclusividade. 3. Sentença de primeiro grau reconheceu que a rescisão contratual ocorreu por justa causa imputável à autora, que descumpriu cláusulas contratuais ao negociar produtos similares e não atender clientes da sua área de representação. II. QUESTÃO EM DISCUSSÃO 4. A controvérsia recursal reside em verificar se a rescisão do contrato de representação comercial ocorreu por culpa da apelada e se há direito à indenização prevista no art. 27, alínea 'j', da Lei nº 4.886/65.</w:t>
            </w:r>
          </w:p>
          <w:p>
            <w:pPr>
              <w:pStyle w:val="TableParagraph"/>
              <w:spacing w:line="208" w:lineRule="auto" w:before="0"/>
              <w:ind w:right="20"/>
              <w:rPr>
                <w:sz w:val="20"/>
              </w:rPr>
            </w:pPr>
            <w:r>
              <w:rPr>
                <w:sz w:val="20"/>
              </w:rPr>
              <w:t>III. RAZÕES DE DECIDIR 5. A prova constante nos autos demonstrou que a autora/apelante descumpriu obrigações contratuais, vendendo produtos similares aos da representada e deixando de atender clientes da sua zona de exclusividade. 6. A empresa apelada comprovou que a intervenção em área exclusiva da apelante ocorreu após a quebra contratual e por motivo justificado no art. 35 da Lei nº 4.886/65. 7. Ausência de prova de que a apelada tenha realizado vendas diretas sem repasse de comissões. 8. Jurisprudência consolidada do STJ e Tribunais pátrios reconhece que a indenização prevista na Lei nº 4.886/65 é indevida quando a rescisão ocorre por justa causa imputável ao representante comercial. IV. DISPOSITIVO E TESE 9. Apelação conhecida e desprovida. 10. Tese de julgamento: "A indenização prevista no art. 27, alínea 'j', da Lei nº 4.886/65 não é devida quando a rescisão do contrato de representação comercial ocorre por justa causa imputável ao representante."&lt;/span&gt; &lt;span style="background-color: transparent; font-family: &amp;quot;Times New Roman&amp;quot;, serif; font-size: 12pt; white- space-collapse: preserve;"&gt;(Apelação Cível - 0097833-72.2015.8.06.0091, Rel. Desembargador(a) EMANUEL LEITE ALBUQUERQUE, 1ª Câmara Direito Privado, data do julgamento:&amp;#160; 19/02/2025, data da publicação:&amp;#160; 19/02/2025)&lt;/span&gt;&lt;/p&gt;&lt;p style="line-height: 1.38; margin-left: 113pt; text-align: justify; margin-top: 0pt; margin- bottom: 6pt;" dir="ltr"&gt; &lt;span style="font-size: 12pt; font-family: 'Times New Roman',serif; color: #000000; background-color: transparent; font-weight: 400; font-style: normal; font- variant: normal; text-decoration: none; vertical-align: baseline; white-space: pre- wrap;"&gt;&amp;#160;&lt;/span&gt;&lt;/p&gt;&lt;p style="line-height: 1.38; margin-left: 113pt; text-align: justify; margin-top: 0pt; margin-bottom: 6pt;"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pre-wrap;"&gt;DIREITO PROCESSUAL CIVIL E CIVIL. APELAÇÃO CÍVEL. AÇÃO DE INDENIZAÇÃO. COBRANÇA DE VALORES NÃO PAGOS EM CONTRATO DE REPRESENTAÇÃO COMERCIAL. CONJUNTO PROBATÓRIO QUE DEMONSTRA A EFETIVA INTERMEDIAÇÃO DA PARTE APELADA. MONTANTE DOS CONTRATOS DEMONSTRADOS PELAS PROVAS COLIGIDAS À EXORDIAL. AUSÊNCIA DE IMPUGNAÇÃO ESPECÍFICA NA CONTESTAÇÃO. INCIDÊNCIA DO DISPOSTO NO ARTIGO 374, INCISOS II E III DO CPC. VALORES REFERENTES À COMISSÕES, INDENIZAÇÃO RESCISÓRIA E DENÚNCIA DO CONTRATO DEVIDOS. CÁLCULO APRESENTADO SEM IMPUGNAÇÃO. TESE RECURSAL GENÉRICA REJEITADA. RECURSO CONHECIDO MAS NÃO PROVIDO. 1. PRELIMINAR: 1.1. Preliminarmente, rejeito a tese ilegitimidade passiva da parte apelante, eis que da empresa LBR Lácteos Brasil S.A que faz parte do grupo econômico LBR (fls.120/122), havendo, ainda, indícios de confusão societária, porquanto, apesar de os contratos terem sido firmados com Laticínios Bom Gosto (fls.29/55), a notificação extrajudicial de cobrança foi direcionada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para LBR Lácteos Brasil S.A (fls.56/64). 2. MÉRITO: 2.1. No mérito, tem-se que está comprovada a relação jurídica entre as partes pela falta de impugnação específica quanto a esse ponto. Ademais, a autora trouxe aos autos a cópia dos contratos de representação (fls.28/55) e a memória de cálculo dos valores que entende como devido, discriminado as comissões (individualizadas por data e valor) que estão pendentes de pagamento e ainda quais fizeram parte da base de cálculo para o valor da indenização a título de rescisão por justa causa e denúncia do contrato (fls.25/28). 2.2. Nesse contexto, caberia à apelante, em não concordando com os valores apresentados, impugnar especificamente os cálculos apresentados na exordial, por meio de comprovação hábil, o que não o fez, já que se restringiu a meras alegações na contestação (fls.108/157), que não são suficientes para obstar o direito perseguido pela autora/apelada. 2.3. Ressalte-se ainda que a apelante confirmou à fl.104 a inadimplência de duas comissões, o que coaduna com o pedido autoral. Incidência do disposto no artigo 374, incisos II e III do CPC. 2.4. Logo, evidente que a apelada não se desincumbiu do ônus que lhe competia, por força do artigo 373, II do Código de Processo Civil, razão pela qual passo a análise das verbas que a autora pleiteia. 2.5. Em relação às comissões ainda pendentes de repasse no valor de R$1.648,34 (mil seiscentos e quarenta e oito reais e trinta e quatro centavos), por tratar-se de ponto incontroverso, ante a confissão da requerida (fl.104), de fato, devido o seu pagamento. 2.6. Em relação à indenização rescisória de 1/12 (um doze avos) por justa causa, o artigo 27, ¿j¿ da Lei nº 4.886/1965 diz, in verbis:Art. 27. Do contrato de representação comercial, além dos elementos comuns e outros a juízo dos interessados, constarão obrigatoriamente:(¿) j) indenização devida ao representante pela rescisão do contrato fora dos casos previstos no art. 35, cujo montante não poderá ser inferior a 1/12 (um doze avos) do total da retribuição auferida durante o tempo em que exerceu a representação. 2.7. In casu, evidente que a apelante deixou de cumprir com a obrigação prevista no referido artigo, qual seja, a de pagamento de sua retribuição na época adequada, portanto, devido o pagamento. 2.8. Quanto ao valor, veja-se pela planilha de fls.26/27, que o total da retribuição auferida durante o tempo em que exerceu a representação foi de R$931.397,60 (novecentos e trinta e um mil trezentos e noventa e sete reais e sessenta centavos), de modo que o cálculo incide nos seguintes temos: fixando-o em 1/12 (um doze avos) desse total, o que corresponde a R$77.616,47 (setenta e sete mil seiscentos e dezesseis reais e quarenta e sete centavos) (fl.11). 2.9. Além </w:t>
            </w:r>
            <w:r>
              <w:rPr>
                <w:spacing w:val="-3"/>
                <w:sz w:val="20"/>
              </w:rPr>
              <w:t>disso, </w:t>
            </w:r>
            <w:r>
              <w:rPr>
                <w:sz w:val="20"/>
              </w:rPr>
              <w:t>a parte autora/apelada ainda incluiu em seus cálculos o valor de R$893,99 (oitocentos e noventa e três reais e noventa e nove centavos) a título de denúncia sem justa causa do contrato, verba com previsão no art. 34 da Lei nº 4.886/1965, devida. 2.10. Desse modo, pela argumentação genérica apresentada pela apelante na peça defensiva, bem como nas razões recursais, tem-se que a manutenção da sentença é medida que se impõe.</w:t>
            </w:r>
          </w:p>
          <w:p>
            <w:pPr>
              <w:pStyle w:val="TableParagraph"/>
              <w:spacing w:line="208" w:lineRule="auto" w:before="0"/>
              <w:ind w:right="112"/>
              <w:rPr>
                <w:sz w:val="20"/>
              </w:rPr>
            </w:pPr>
            <w:r>
              <w:rPr>
                <w:sz w:val="20"/>
              </w:rPr>
              <w:t>Precedentes. 2.11. No mais, caberia à parte contestante (ora apelante) o ônus de provar os fatos impeditivos, modificativos ou extintivos do direito do autor (apelado), conforme previsão do art. 373, inciso II, do CPC, o que, como registrado pelo Julgador monocrático, não ocorreu nos presentes autos. 2.12. Recurso conhecido mas não provido.&lt;/span&gt;</w:t>
            </w:r>
          </w:p>
          <w:p>
            <w:pPr>
              <w:pStyle w:val="TableParagraph"/>
              <w:spacing w:line="208" w:lineRule="auto" w:before="0"/>
              <w:ind w:right="164"/>
              <w:rPr>
                <w:sz w:val="20"/>
              </w:rPr>
            </w:pPr>
            <w:r>
              <w:rPr>
                <w:sz w:val="20"/>
              </w:rPr>
              <w:t>&lt;span style="background-color: transparent; font-family: &amp;quot;Times New Roman&amp;quot;, serif; font-size: 12pt; white-space-collapse: preserve;"&gt;(Apelação Cível - 0012841- 32.2015.8.06.0075, Rel. Desembargador(a) CARLOS ALBERTO MENDES FORTE, 2ª</w:t>
            </w:r>
          </w:p>
          <w:p>
            <w:pPr>
              <w:pStyle w:val="TableParagraph"/>
              <w:spacing w:line="208" w:lineRule="auto" w:before="0"/>
              <w:ind w:right="20"/>
              <w:rPr>
                <w:sz w:val="20"/>
              </w:rPr>
            </w:pPr>
            <w:r>
              <w:rPr>
                <w:sz w:val="20"/>
              </w:rPr>
              <w:t>Câmara Direito Privado, data do julgamento:&amp;#160; 22/03/2023, data da publicação:&amp;#160; 22/03/2023)&lt;/span&gt;&lt;/p&gt;&lt;p style="line-height: 1.38; text-indent: 2pt;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pre-wrap;"&gt;&amp;#160;&lt;/span&gt;&lt;/p&gt;&lt;p style="line-height: 1.7999999999999998; text- align: center; margin-top: 0pt; margin-bottom: 6pt;" dir="ltr"&gt; &lt;span style="font-size: 12pt; font-family: 'Times New Roman',serif; color: #000000; background-color: transparent; font- weight: 700; font-style: normal; font-variant: normal; text-decoration: none; vertical-align: baseline; white-space: pre-wrap;"&gt;DISPOSITIVO&lt;/span&gt;&lt;/p&gt;&lt;p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pre-wrap;"&gt;Diante de tudo que acima foi exposto e fundamentado,&lt;/span&gt; &lt;span style="font-size: 12pt; font-family: 'Times New Roman',serif; color: #000000; background- color: transparent; font-weight: 700; font-style: normal; font-variant: normal; text-decoration: none; vertical-align: baseline; white-space: pre-wrap;"&gt;CONHEÇO A APELAÇÃO CÍVEL, PARA, NO MÉRITO DAR-LHE PARCIAL PROVIMENTO&lt;/span&gt;&lt;span style="font-size: 12pt; font-family: 'Times New Roman',serif; color: #000000; background-color: transparent; font-weight: 400; font-style: normal; font-variant: normal; text-decoration: none; vertical- align: baseline; white-space: pre-wrap;"&gt;, tão somente para afastar a gratuidade judiciária concedida na origem à autora.&lt;/span&gt;&lt;/p&gt;&lt;p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0200570-34.2023.8.06.0137</w:t>
            </w:r>
          </w:p>
        </w:tc>
      </w:tr>
      <w:tr>
        <w:trPr>
          <w:trHeight w:val="5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50" w:val="left" w:leader="none"/>
                <w:tab w:pos="4562" w:val="left" w:leader="none"/>
                <w:tab w:pos="6178" w:val="left" w:leader="none"/>
                <w:tab w:pos="7744" w:val="left" w:leader="none"/>
              </w:tabs>
              <w:spacing w:line="208" w:lineRule="auto" w:before="26"/>
              <w:ind w:right="42"/>
              <w:rPr>
                <w:sz w:val="20"/>
              </w:rPr>
            </w:pPr>
            <w:r>
              <w:rPr>
                <w:sz w:val="20"/>
              </w:rPr>
              <w:t>normal; text-decoration: none; vertical-align: baseline; white-space: pre-wrap;"&gt;Ante o parcial provimento recursal, deixo de majorar os honorários sucumbenciais, consoante com a Tese Repetitiva nº. 1.059, do STJ.&lt;/span&gt;&lt;/p&gt;&lt;p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pre-wrap;"&gt;É como voto.&lt;/span&gt; &lt;span style="font-family: &amp;quot;times new roman&amp;quot;, times; font-size: medium; text-indent: 8%;"&gt;&amp;#160;&lt;/span&gt;&lt;/p&gt;&lt;p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pre-wrap;"&gt;Fortaleza, data registrada no sistema.&lt;/span&gt;&lt;/p&gt;&lt;div&gt; &lt;span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w:t>
              <w:tab/>
              <w:t>&lt;br /&gt; &lt;/span&gt;&lt;/div&gt;&lt;p style="text- indent: 8%; text-align: center;"&gt;  &lt;span style="font-size: medium;"&gt;</w:t>
              <w:tab/>
              <w:t>&lt;strong style="font- size: small;"&gt;</w:t>
              <w:tab/>
              <w:t>&lt;span style="font-family: &amp;quot;times new roman&amp;quot;, times;"&gt;</w:t>
              <w:tab/>
              <w:t>&lt;br</w:t>
            </w:r>
          </w:p>
          <w:p>
            <w:pPr>
              <w:pStyle w:val="TableParagraph"/>
              <w:tabs>
                <w:tab w:pos="656" w:val="left" w:leader="none"/>
                <w:tab w:pos="4239" w:val="left" w:leader="none"/>
                <w:tab w:pos="6428" w:val="left" w:leader="none"/>
              </w:tabs>
              <w:spacing w:line="208" w:lineRule="auto" w:before="0"/>
              <w:ind w:right="1001"/>
              <w:rPr>
                <w:sz w:val="20"/>
              </w:rPr>
            </w:pPr>
            <w:r>
              <w:rPr>
                <w:sz w:val="20"/>
              </w:rPr>
              <w:t>/&gt;</w:t>
              <w:tab/>
              <w:t>&lt;span style="font-size: medium;"&gt;</w:t>
              <w:tab/>
              <w:t>&lt;strong style="font-size: medium;"&gt;FRANCISCO LUCÍDIO DE QUEIROZ JÚNIOR&lt;/strong&gt;</w:t>
              <w:tab/>
            </w:r>
            <w:r>
              <w:rPr>
                <w:spacing w:val="-3"/>
                <w:sz w:val="20"/>
              </w:rPr>
              <w:t>&lt;/span&gt;</w:t>
            </w:r>
          </w:p>
          <w:p>
            <w:pPr>
              <w:pStyle w:val="TableParagraph"/>
              <w:tabs>
                <w:tab w:pos="972" w:val="left" w:leader="none"/>
                <w:tab w:pos="4209" w:val="left" w:leader="none"/>
              </w:tabs>
              <w:spacing w:line="208" w:lineRule="auto" w:before="0"/>
              <w:ind w:right="415"/>
              <w:rPr>
                <w:sz w:val="20"/>
              </w:rPr>
            </w:pPr>
            <w:r>
              <w:rPr>
                <w:sz w:val="20"/>
              </w:rPr>
              <w:t>&lt;/span&gt;</w:t>
              <w:tab/>
              <w:t>&lt;/strong&gt; &lt;/span&gt;&lt;/p&gt;&lt;p style="text-align: center;"&gt; &lt;span style="font-size: small;"&gt;</w:t>
              <w:tab/>
              <w:t>&lt;strong style="font-size: small;"&gt;</w:t>
              <w:tab/>
              <w:t>&lt;span style="font-size: medium;"&gt;</w:t>
            </w:r>
          </w:p>
          <w:p>
            <w:pPr>
              <w:pStyle w:val="TableParagraph"/>
              <w:tabs>
                <w:tab w:pos="1740" w:val="left" w:leader="none"/>
                <w:tab w:pos="2686" w:val="left" w:leader="none"/>
              </w:tabs>
              <w:spacing w:line="208" w:lineRule="auto" w:before="0"/>
              <w:ind w:right="928"/>
              <w:rPr>
                <w:sz w:val="20"/>
              </w:rPr>
            </w:pPr>
            <w:r>
              <w:rPr>
                <w:sz w:val="20"/>
              </w:rPr>
              <w:t>&lt;span style="font-family: &amp;quot;times new roman&amp;quot;, times;"&gt;Desembargador Relator&lt;/span&gt;</w:t>
              <w:tab/>
              <w:t>&lt;/span&gt;</w:t>
              <w:tab/>
              <w:t>&lt;/strong&gt; &lt;/span&gt;&lt;/p&gt;&lt;p&gt;&amp;#160;&lt;/p&gt;&lt;br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3000292-18.2025.8.06.0000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Liminar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ANTAMIRES PAULA DE FARIAS MARTINS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NILTON GOMES DA SILVA - (CE41565-A)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ASSOCIACAO EDUCACIONAL, CULTURAL E SOCIAL DA IBIAPABA (AECSI)</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ALVES ARAUJO NETO MAPURUNGA - (CE52586)</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Inventário e 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LUCINEUDA EVANGELISTA MELO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RAFAEL FERNANDES DE ALCANTARA - (CE20492-A)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MARCELINO ALBERTO EVANGELISTA MELO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593"/>
              <w:rPr>
                <w:sz w:val="20"/>
              </w:rPr>
            </w:pPr>
            <w:r>
              <w:rPr>
                <w:sz w:val="20"/>
              </w:rPr>
              <w:t>GABRIEL GONCALVES DE FARIAS RIBEIRO - (CE43217-A) JUDA BEN HUR BERNARDO RIBEIRO - (CE46437-A)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&lt;strong&gt;PROCESSO&lt;/strong&gt;:&amp;#160;3013055-51.2025.8.06.0000 -&amp;#160;AGRAVO DE</w:t>
            </w:r>
          </w:p>
          <w:p>
            <w:pPr>
              <w:pStyle w:val="TableParagraph"/>
              <w:tabs>
                <w:tab w:pos="972" w:val="left" w:leader="none"/>
                <w:tab w:pos="7446" w:val="left" w:leader="none"/>
              </w:tabs>
              <w:spacing w:line="208" w:lineRule="auto" w:before="8"/>
              <w:ind w:right="155"/>
              <w:rPr>
                <w:sz w:val="20"/>
              </w:rPr>
            </w:pPr>
            <w:r>
              <w:rPr>
                <w:sz w:val="20"/>
              </w:rPr>
              <w:t>INSTRUMENTO (202)&lt;/span&gt;  &lt;/span&gt;&lt;/p&gt;&lt;p&gt;  &lt;span style="font-size: small;"&gt;</w:t>
              <w:tab/>
            </w:r>
            <w:r>
              <w:rPr>
                <w:spacing w:val="-4"/>
                <w:sz w:val="20"/>
              </w:rPr>
              <w:t>&lt;span </w:t>
            </w:r>
            <w:r>
              <w:rPr>
                <w:sz w:val="20"/>
              </w:rPr>
              <w:t>style="font-family: &amp;quot;times new roman&amp;quot;, times;"&gt;AGRAVANTE: LUCINEUDA EVANGELISTA MELO DA SILVA&lt;/span&gt; &lt;/span&gt;&lt;/p&gt;&lt;p&gt; &lt;span style="font-size: small;"&gt;</w:t>
              <w:tab/>
              <w:t>&lt;span style="font-family: &amp;quot;times new roman&amp;quot;, times;"&gt;AGRAVADO: MARCELINO ALBERTO EVANGELISTA MELO&lt;/span&gt; &lt;/span&gt;&lt;/p&gt;&lt;p&gt; &lt;span</w:t>
            </w:r>
          </w:p>
          <w:p>
            <w:pPr>
              <w:pStyle w:val="TableParagraph"/>
              <w:tabs>
                <w:tab w:pos="1094" w:val="left" w:leader="none"/>
                <w:tab w:pos="1839" w:val="left" w:leader="none"/>
                <w:tab w:pos="2682" w:val="left" w:leader="none"/>
              </w:tabs>
              <w:spacing w:line="208" w:lineRule="auto" w:before="0"/>
              <w:ind w:right="20"/>
              <w:rPr>
                <w:sz w:val="20"/>
              </w:rPr>
            </w:pPr>
            <w:r>
              <w:rPr>
                <w:sz w:val="20"/>
              </w:rPr>
              <w:t>style="font-size: medium;"&gt;</w:t>
              <w:tab/>
              <w:t>&lt;span style="font-family: &amp;quot;times new roman&amp;quot;, times;"&gt;</w:t>
              <w:tab/>
              <w:t>&lt;br /&gt;</w:t>
              <w:tab/>
              <w:t>&lt;/span&gt; &lt;/span&gt;&lt;/p&gt;&lt;p style="line-height: 1.38; text-align: justify; margin-top: 0pt; margin-bottom: 6pt;" dir="ltr"&gt;&lt;span style="font-size: 12pt; font-family: 'Times New Roman',serif; color: #000000; background-color: transparent; font-weight: 700; font-style: italic; font-variant: normal; text-decoration: none; vertical-align: baseline; white- space: pre-wrap;"&gt;EMENTA:&lt;/span&gt; &lt;span style="font-size: 12pt; font-family: 'Times New Roman',serif; color: #000000; background-color: transparent; font-weight: 400; font-style: normal; font-variant: small-caps; text-decoration: none; vertical-align: baseline; white- space: pre-wrap;"&gt;Direito Sucessório e Processual Civil. Agravo de Instrumento. Tutela de Urgência. Inventário. Ação de Usucapião pendente de julgamento. Depósito Judicial de Aluguéis. Distinção indevida entre herdeiros. Dano evidenciado. Recurso conhecido e provido. Agravo Interno Prejudicado.&lt;/span&gt;&lt;/p&gt;&lt;p style="line-height: 1.38; text-align: justify; margin-top: 0pt; margin-bottom: 6pt;" dir="ltr"&gt; &lt;span style="font-size: 12pt; font- family: 'Times New Roman',serif; color: #000000; background-color: transparent; font- weight: 700; font-style: normal; font-variant: small-caps; text-decoration: none; vertical- align: baseline; white-space: pre-wrap;"&gt;I. Caso em Exame&lt;/span&gt;&lt;/p&gt;&lt;p style="line- height: 1.38; text-align: justify; margin-top: 0pt; margin-bottom: 6pt;" dir="ltr"&gt; &lt;span style="font-size: 12pt; font-family: 'Times New Roman',serif; color: #000000; background- color: transparent; font-weight: 400; font-style: normal; font-variant: normal; text-decoration: none; vertical-align: baseline; white-space: pre-wrap;"&gt;1. Agravo de Instrumento interposto contra decisão interlocutória que determinou o depósito judicial dos valores provenientes de aluguéis de imóvel inserido na relação de bens pertencentes ao espólio em processo de inventário. A agravante defende que há pendência de resolução de ação de usucapião, de modo que a determinação lhe prejudicará nas esferas jurídica e patrimonial.&lt;/span&gt;&lt;/p&gt;&lt;p style="line-height: 1.38; text-align: justify; margin-top: 0pt; margin-bottom: 6pt;" dir="ltr"&gt; &lt;span style="font-size: 12pt; font-family: 'Times New Roman',serif; color: #000000; background-color: transparent; font-weight: 700; font-style: normal; font-variant: small-caps; text-decoration: none; vertical-align: baseline; white- space: pre-wrap;"&gt;II. Questão em Discussão&lt;/span&gt;&lt;/p&gt;&lt;p style="line-height: 1.38; text- align: justify; margin-top: 0pt; margin-bottom: 6pt;" dir="ltr"&gt;&lt;span style="font-size: 12pt; font-family: 'Times New Roman',serif; color: #000000; background-color: transparent; font- weight: 400; font-style: normal; font-variant: normal; text-decoration: none; vertical-align: baseline; white-space: pre-wrap;"&gt;2.&lt;/span&gt; &lt;span style="font-size: 12pt; font-family: 'Times New Roman',serif; color: #1a202c; background-color: transparent; font-weight: 400; font-style: normal; font-variant: normal; text-decoration: none; vertical-align: baseline; </w:t>
            </w:r>
            <w:r>
              <w:rPr>
                <w:spacing w:val="-3"/>
                <w:sz w:val="20"/>
              </w:rPr>
              <w:t>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space: pre-wrap;"&gt;A questão em discussão consiste em verificar se estão presentes os requisitos legais para a concessão da tutela de urgência visando impedir o depósito </w:t>
            </w:r>
            <w:r>
              <w:rPr>
                <w:spacing w:val="-3"/>
                <w:sz w:val="20"/>
              </w:rPr>
              <w:t>judicial </w:t>
            </w:r>
            <w:r>
              <w:rPr>
                <w:sz w:val="20"/>
              </w:rPr>
              <w:t>dos aluguéis.&lt;/span&gt;&lt;/p&gt;&lt;p style="line-height: 1.38; text-align: justify; margin-top: 0pt; margin-bottom: 6pt;" dir="ltr"&gt; &lt;span style="font-size: 12pt; font-family: 'Times New Roman',serif; color: #000000; background-color: transparent; font-weight: 700; font-style: normal; font-variant: small-caps; text-decoration: none; vertical-align: baseline; white- space: pre-wrap;"&gt;III. Razões de Decidir&lt;/span&gt;&lt;/p&gt;&lt;p style="line-height: 1.38; text-align: justify; margin-top: 0pt; margin-bottom: 6pt;" dir="ltr"&gt; &lt;span style="font-size: 12pt; font- family: 'Times New Roman',serif; color: #000000; background-color: transparent; font- weight: 400; font-style: normal; font-variant: normal; text-decoration: none; vertical-align: baseline; white-space: pre-wrap;"&gt;3. A concessão de tutela de urgência recursal exige demonstração da probabilidade do direito e do risco de dano grave ou de difícil reparação (CPC, art. 300).&lt;/span&gt;&lt;/p&gt;&lt;p style="line-height: 1.38; text-align: justify; margin-top: 0pt; margin-bottom: 6pt;" dir="ltr"&gt;&lt;span style="font-size: 12pt; font-family: 'Times New Roman',serif; color: #000000; background-color: transparent; font-weight: 400; font-style: normal; font-variant: normal; text-decoration: none; vertical-align: baseline; white-space: pre-wrap;"&gt;4.&lt;/span&gt; &lt;span style="font-size: 12pt; font-family: 'Times New Roman',serif; color: #1a202c; background-color: transparent; font-weight: 400; font-style: normal; font- variant: normal; text-decoration: none; vertical-align: baseline; white-space: pre-wrap;"&gt;A medida que onera de forma singular a recorrente, em detrimento dos demais que desfrutam de outros bens sem restrição, compromete a paridade fática entre os herdeiros, o que configura a probabilidade do direito à suspensão da determinação, bem como evidencia o perigo de dano a se atingir o patrimônio da agravante.&lt;/span&gt;&lt;span style="font-size: 12pt; font-family: 'Times New Roman',serif; color: #000000; background- color: transparent; font-weight: 400; font-style: normal; font-variant: normal; text-decoration: none; vertical-align: baseline; white-space: pre-wrap;"&gt;.&lt;/span&gt;&lt;/p&gt;&lt;p style="line-height: 1.38; text-align: justify; margin-top: 0pt; margin-bottom: 6pt;" dir="ltr"&gt; &lt;span style="font- size: 12pt; font-family: 'Times New Roman',serif; color: #000000; background-color: transparent; font-weight: 400; font-style: normal; font-variant: normal; text-decoration: none; vertical-align: baseline; white-space: pre-wrap;"&gt;5 O Agravo Interno interposto pela recorrente resta prejudicado, ante o julgamento do mérito do Agravo de Instrumento.&lt;/span&gt;&lt;/p&gt;&lt;p style="line-height: 1.38; text-align: justify; margin-top: 0pt; margin-bottom: 6pt;" dir="ltr"&gt; &lt;span style="font-size: 12pt; font-family: 'Times New Roman',serif; color: #000000; background-color: transparent; font-weight: 700; font-style: normal; font-variant: small-caps; text-decoration: none; vertical-align: baseline; white- space: pre-wrap;"&gt;IV. Dispositivo e Tese&lt;/span&gt;&lt;/p&gt;&lt;p style="line-height: 1.38; text-align: justify; margin-top: 0pt; margin-bottom: 6pt;" dir="ltr"&gt; &lt;span style="font-size: 12pt; font- family: 'Times New Roman',serif; color: #000000; background-color: transparent; font- weight: 400; font-style: normal; font-variant: normal; text-decoration: none; vertical-align: baseline; white-space: pre-wrap;"&gt;6. Recurso conhecido e provido. Agravo Interno prejudicado.&lt;/span&gt;&lt;/p&gt;&lt;p style="line-height: 1.38; text-align: justify; margin-top: 0pt; margin-bottom: 6pt;" dir="ltr"&gt; &lt;span style="font-size: 12pt; font-family: 'Times New Roman',serif; color: #000000; background-color: transparent; font-weight: 700; font-style: normal; font-variant: normal; text-decoration: none; vertical-align: baseline; white-space: pre-wrap;"&gt;&amp;#160;&lt;/span&gt;&lt;/p&gt;&lt;p style="line-height: 1.38; text-align: justify; margin-top: 0pt; margin-bottom: 6pt;" dir="ltr"&gt;&lt;span style="font-size: 12pt; font-family: 'Times New Roman',serif; color: #000000; background-color: transparent; font-weight: 400; font-style: italic; font-variant: normal; text-decoration: none; vertical-align: baseline; white-space: pre- wrap;"&gt;Dispositivos relevantes citados:&lt;/span&gt;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pre-wrap;"&gt;CPC, art. 300;&lt;/span&gt;&lt;/p&gt;&lt;p style="line-height: 1.38;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pre-wrap;"&gt;&amp;#160;&lt;/span&gt; &lt;span style="font-size: 12pt; font-family: 'Times New Roman',serif; color: #000000; background-color: transparent; font-weight: 700; font-style: normal; font-variant: normal; text-decoration: none; vertical-align: baseline; white-space: pre-wrap;"&gt;&amp;#160;&lt;/span&gt;&lt;/p&gt;&lt;p style="line-height: 1.38; text-align: justify; margin-top: 0pt; margin-bottom: 6pt;" dir="ltr"&gt;&lt;span style="font-size: 12pt; font-family: 'Times New Roman',serif; color: #000000; background-color: transparent; font-weight: 700; font-style: normal; font-variant: normal; text-decoration: none; vertical-align: baseline; white-space: pre-wrap;"&gt;ACÓRDÃO&lt;/span&gt;&lt;span style="font-size: 12pt; font-family: 'Times New Roman',serif; color: #000000; background-color: transparent; font-weight: 400; font-style: normal; font-variant: normal; text-decoration: none; vertical-align: baseline; white-space: pre-wrap;"&gt;: Vistos, relatados e discutidos estes autos, acorda a&lt;/span&gt; &lt;span style="font- size: 12pt; font-family: 'Times New Roman',serif; color: #000000; background-color: transparent; font-weight: 700; font-style: normal; font-variant: normal; text-decoration: none; vertical-align: baseline; white-space: pre-wrap;"&gt;Quinta Câmara de Direito Privado&lt;/span&gt;</w:t>
            </w:r>
          </w:p>
          <w:p>
            <w:pPr>
              <w:pStyle w:val="TableParagraph"/>
              <w:spacing w:line="200" w:lineRule="exact" w:before="0"/>
              <w:rPr>
                <w:sz w:val="20"/>
              </w:rPr>
            </w:pPr>
            <w:r>
              <w:rPr>
                <w:sz w:val="20"/>
              </w:rPr>
              <w:t>&lt;span style="font-size: 12pt; font-family: 'Times New Roman',serif; color: #000000;</w:t>
            </w:r>
          </w:p>
        </w:tc>
      </w:tr>
    </w:tbl>
    <w:p>
      <w:pPr>
        <w:spacing w:after="0" w:line="200"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background-color: transparent; font-weight: 400; font-style: normal; font-variant: normal; text-decoration: none; vertical-align: baseline; white-space: pre-wrap;"&gt;do Tribunal de Justiça do Estado do Ceará, por unanimidade, em&lt;/span&gt; &lt;span style="font-size: 12pt; font-family: 'Times New Roman',serif; color: #000000; background-color: transparent; font- weight: 700; font-style: normal; font-variant: normal; text-decoration: none; vertical-align: baseline; white-space: pre-wrap;"&gt;CONHECER&lt;/span&gt; &lt;span style="font-size: 12pt; font- family: 'Times New Roman',serif; color: #000000; background-color: transparent; font- weight: 400; font-style: normal; font-variant: normal; text-decoration: none; vertical-align: baseline; white-space: pre-wrap;"&gt;do&lt;/span&gt; &lt;span style="font-size: 12pt; font-family: 'Times New Roman',serif; color: #000000; background-color: transparent; font-weight: 700; font-style: normal; font-variant: normal; text-decoration: none; vertical-align: baseline; white- space: pre-wrap;"&gt;AGRAVO DE INSTRUMENTO&lt;/span&gt; &lt;span style="font-size: 12pt;</w:t>
            </w:r>
          </w:p>
          <w:p>
            <w:pPr>
              <w:pStyle w:val="TableParagraph"/>
              <w:spacing w:line="208" w:lineRule="auto" w:before="0"/>
              <w:ind w:right="20"/>
              <w:rPr>
                <w:sz w:val="20"/>
              </w:rPr>
            </w:pPr>
            <w:r>
              <w:rPr>
                <w:sz w:val="20"/>
              </w:rPr>
              <w:t>font-family: 'Times New Roman',serif; color: #000000; background-color: transparent; font- weight: 400; font-style: normal; font-variant: normal; text-decoration: none; vertical-align: baseline; white-space: pre-wrap;"&gt;para&lt;/span&gt; &lt;span style="font-size: 12pt; font-family: 'Times New Roman',serif; color: #000000; background-color: transparent; font-weight: 700; font-style: normal; font-variant: normal; text-decoration: none; vertical-align: baseline; white- space: pre-wrap;"&gt;DAR-LHE PROVIMENTO&lt;/span&gt;&lt;span style="font-size: 12pt; font- family: 'Times New Roman',serif; color: #000000; background-color: transparent; font- weight: 400; font-style: normal; font-variant: normal; text-decoration: none; vertical-align: baseline; white-space: pre-wrap;"&gt;, e considerar o&lt;/span&gt; &lt;span style="font-size: 12pt; font-family: 'Times New Roman',serif; color: #000000; background-color: transparent; font- weight: 700; font-style: normal; font-variant: normal; text-decoration: none; vertical-align: baseline; white-space: pre-wrap;"&gt;AGRAVO INTERNO PREJUDICADO&lt;/span&gt;&lt;span style="font-size: 12pt; font-family: 'Times New Roman',serif; color: #000000; background- color: transparent; font-weight: 400; font-style: normal; font-variant: normal; text-decoration: none; vertical-align: baseline; white-space: pre-wrap;"&gt;, nos termos do voto do relator.&lt;/span&gt;&lt;/p&gt;&lt;p style="line-height: 1.38; text-align: justify; margin-top: 0pt; margin- bottom: 6pt;" dir="ltr"&gt; &lt;span style="font-size: 12pt; font-family: 'Times New Roman',serif; color: #000000; background-color: transparent; font-weight: 400; font-style: normal; font- variant: normal; text-decoration: none; vertical-align: baseline; white-space: pre- wrap;"&gt;&amp;#160;&lt;/span&gt;&lt;/p&gt;&lt;p style="line-height: 1.38; text-align: justify; margin-top: 0pt; margin-bottom: 6pt;" dir="ltr"&gt; &lt;span style="font-size: 12pt; font-family: 'Times New Roman',serif; color: #000000; background-color: transparent; font-weight: 400; font-style: normal; font-variant: normal; text-decoration: none; vertical-align: baseline; white-space: pre-wrap;"&gt;Fortaleza, data da assinatura digital.&lt;/span&gt;&lt;/p&gt;&lt;p style="line-height: 1.38; text-align: center; margin-top: 0pt; margin-bottom: 6pt;" dir="ltr"&gt; &lt;span style="font-size: 12pt; font-family: 'Times New Roman',serif; color: #000000; background-color: transparent; font-weight: 700; font-style: normal; font-variant: normal; text-decoration: none; vertical- align: baseline; white-space: pre-wrap;"&gt;&amp;#160;&lt;/span&gt;&lt;/p&gt;&lt;p style="line-height: 1.38; text-align: center; margin-top: 0pt; margin-bottom: 6pt;" dir="ltr"&gt; &lt;span style="font-size: 12pt; font-family: 'Times New Roman',serif; color: #000000; background-color: transparent; font-weight: 700; font-style: normal; font-variant: normal; text-decoration: none; vertical- align: baseline; white-space: pre-wrap;"&gt;MARIA REGINA OLIVEIRA CÂMARA&lt;/span&gt;&lt;/p&gt;&lt;p style="line-height: 1.38; text-align: center; margin-top: 0pt;</w:t>
            </w:r>
          </w:p>
          <w:p>
            <w:pPr>
              <w:pStyle w:val="TableParagraph"/>
              <w:spacing w:line="208" w:lineRule="auto" w:before="0"/>
              <w:ind w:right="42"/>
              <w:rPr>
                <w:sz w:val="20"/>
              </w:rPr>
            </w:pPr>
            <w:r>
              <w:rPr>
                <w:sz w:val="20"/>
              </w:rPr>
              <w:t>margin-bottom: 6pt;" dir="ltr"&gt; &lt;span style="font-size: 12pt; font-family: 'Times New Roman',serif; color: #000000; background-color: transparent; font-weight: 400; font-style: normal; font-variant: normal; text-decoration: none; vertical-align: baseline; white-space: pre-wrap;"&gt;Desembargadora Presidente do Órgão Julgador&lt;/span&gt;&lt;/p&gt;&lt;p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pre-wrap;"&gt;&amp;#160;&lt;/span&gt;&lt;/p&gt;&lt;p style="line- height: 1.38; text-align: center; margin-top: 0pt; margin-bottom: 6pt;" dir="ltr"&gt; &lt;span style="font-size: 12pt; font-family: 'Times New Roman',serif; color: #000000; background- color: transparent; font-weight: 700; font-style: normal; font-variant: normal; text-decoration: none; vertical-align: baseline; white-space: pre-wrap;"&gt;FRANCISCO LUCÍDIO DE QUEIROZ JÚNIOR&lt;/span&gt;&lt;/p&gt;&lt;p style="line-height: 1.38; text-align: center; margin-top: 0pt; margin-bottom: 6pt;" dir="ltr"&gt; &lt;span style="font-size: 12pt; font-family: 'Times New Roman',serif; color: #000000; background-color: transparent; font-weight: 400; font-style: normal; font-variant: normal; text-decoration: none; vertical-align: baseline; white-space: pre-wrap;"&gt;Desembargador Relator&lt;/span&gt;&lt;/p&gt;&lt;p style="line-height: 1.7999999999999998; margin-top: 0pt; margin-bottom: 6pt;" dir="ltr"&gt; &lt;span style="font- size: 12pt; font-family: 'Times New Roman',serif; color: #000000; background-color: transparent; font-weight: 700; font-style: normal; font-variant: normal; text-decoration: none; vertical-align: baseline; white-space: pre-wrap;"&gt;&amp;#160;&lt;/span&gt;&lt;/p&gt;&lt;p style="line-height: 1.7999999999999998; text-align: center; margin-top: 0pt; margin-bottom: 6pt;" dir="ltr"&gt;</w:t>
            </w:r>
          </w:p>
          <w:p>
            <w:pPr>
              <w:pStyle w:val="TableParagraph"/>
              <w:spacing w:line="208" w:lineRule="auto" w:before="0"/>
              <w:ind w:right="375"/>
              <w:rPr>
                <w:sz w:val="20"/>
              </w:rPr>
            </w:pPr>
            <w:r>
              <w:rPr>
                <w:sz w:val="20"/>
              </w:rPr>
              <w:t>&lt;span style="font-size: 12pt; font-family: 'Times New Roman',serif; color: #000000; background-color: transparent; font-weight: 700; font-style: normal; font-variant: normal; text-decoration: none; vertical-align: baseline; white-space: pre-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wrap;"&gt;RELATÓRIO&lt;/span&gt;&lt;/p&gt;&lt;p style="line-height: 1.7999999999999998; text-align: center; margin-top: 0pt; margin-bottom: 6pt;" dir="ltr"&gt; &lt;span style="font-size: 12pt; font- family: 'Times New Roman',serif; color: #000000; background-color: transparent; font- weight: 400; font-style: normal; font-variant: normal; text-decoration: none; vertical-align: baseline; white-space: pre-wrap;"&gt;&amp;#160;&lt;/span&gt;&lt;/p&gt;&lt;p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pre-wrap;"&gt;Cuida-se de&lt;/span&gt; &lt;span style="font-size: 12pt; font-family: 'Times New Roman',serif; color: #000000; background-color: transparent; font-weight: 700; font-style: normal; font-variant: normal; text-decoration: none; vertical-align: baseline; white-space: pre-wrap;"&gt;Agravo de Instrumento&lt;/span&gt;&lt;span style="font-size: 12pt; font-family: 'Times New Roman',serif; color: #000000; background-color: transparent; font-weight: 400; font- style: normal; font-variant: normal; text-decoration: none; vertical-align: baseline; white- space: pre-wrap;"&gt;, interposto por&lt;/span&gt; &lt;span style="font-size: 12pt; font-family: 'Times New Roman',serif; color: #000000; background-color: transparent; font-weight: 700; font- style: normal; font-variant: normal; text-decoration: none; vertical-align: baseline; white- space: pre-wrap;"&gt;Lucineuda Evangelista Melo da Silva&lt;/span&gt;&lt;span style="font-size: 12pt; font-family: 'Times New Roman',serif; color: #000000; background-color: transparent; font-weight: 400; font-style: normal; font-variant: normal; text-decoration: none; vertical- align: baseline; white-space: pre-wrap;"&gt;, visando reformar o despacho de id. 154987901 proferido pelo juízo da 1ª Vara de Sucessões da Comarca de Fortaleza, nos autos do&lt;/span&gt; &lt;span style="font-size: 12pt; font-family: 'Times New Roman',serif; color: #000000; background-color: transparent; font-weight: 700; font-style: normal; font-variant: normal; text-decoration: none; vertical-align: baseline; white-space: pre-wrap;"&gt;Inventário do Espólio de Manoel da Rocha Melo&lt;/span&gt;&lt;span style="font-size: 12pt; font-family: 'Times New Roman',serif; color: #000000; background-color: transparent; font-weight: 400; font-style: normal; font-variant: normal; text-decoration: none; vertical-align: baseline; white- space: pre-wrap;"&gt;, processo de nº 0274923-02.2022.8.06.0001.&lt;/span&gt;&lt;/p&gt;&lt;p</w:t>
            </w:r>
          </w:p>
          <w:p>
            <w:pPr>
              <w:pStyle w:val="TableParagraph"/>
              <w:spacing w:line="208" w:lineRule="auto" w:before="0"/>
              <w:ind w:right="18"/>
              <w:rPr>
                <w:sz w:val="20"/>
              </w:rPr>
            </w:pPr>
            <w:r>
              <w:rPr>
                <w:sz w:val="20"/>
              </w:rPr>
              <w:t>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pre-wrap;"&gt;Melhor explicando, na origem, trata-se de inventário em que figura como herança bens imóveis cuja divisão teria sido feita em vida. Entre os bens, consta o terreno denominado Haroldo Evangelista, situado no Bom Jardim, e diversos imóveis nos bairros Rodolfo Teófilo e Pan Americano, além de outras propriedades que já foram vendidas ou ocupadas pelos filhos do falecido. Dois processos de usucapião movidos pelas herdeiras, um deles referente ao imóvel localizado na Rua Dom Joaquim de Melo, nº 294, fazem parte do contexto controverso envolvido no inventário.&lt;/span&gt;&lt;/p&gt;&lt;p 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pre-wrap;"&gt;A agravante insurge-se contra o despacho de ID 154987901, que ordenou que o inquilino que atualmente reside no imóvel situado na Rua Dom Joaquim de Melo, nº 294, bairro Rodolfo Teófilo, passe a depositar o valor do aluguel em conta judicial informada.&lt;/span&gt;&lt;/p&gt;&lt;p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pre-wrap;"&gt;Em suas razões recursais (id. 26604577), a agravante sustenta que o Despacho questionado teria ignorado a sua condição de possuidora exclusiva do bem, objeto de ação judicial de usucapião nº 0270787-30.2020.8.06.0001, em trâmite perante o Juízo da 31ª Vara Cível de Fortaleza, sendo a recorrente detentora da posse do bem por mais de 15 anos, de forma mansa e pacífica, conforme vasta documentação comprobatória.&amp;#160;&lt;/span&gt;&lt;/p&gt;&lt;p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pre-wrap;"&gt;A recorrente afirma que a determinação de depósito afeta diretamente sua situação financeira e a </w:t>
            </w:r>
            <w:r>
              <w:rPr>
                <w:spacing w:val="-2"/>
                <w:sz w:val="20"/>
              </w:rPr>
              <w:t>continuidade </w:t>
            </w:r>
            <w:r>
              <w:rPr>
                <w:sz w:val="20"/>
              </w:rPr>
              <w:t>da ação de usucapião, que corre para reconhecimento da sua posse exclusiva e aquisição da propriedade sobre o imóvel usucapiendo.&lt;/span&gt; &lt;span style="font-size: 12pt; font- family: 'Times New Roman',serif; color: #000000; background-color: transparent; font- weight: 700; font-style: normal; font-variant: normal; text-decoration: none; vertical-align: baseline; white-space: pre-wrap;"&gt;Segundo a agravante afirma, a ordem judicial que direciona o pagamento de aluguel para uma conta judicial desconsidera sua condição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posse direta e ininterrupta sobre o imóvel, alimentando entendimento de copropriedade e comprometendo o seu sustento financeiro&lt;/span&gt;&lt;span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 pois ela vive dessa renda há mais de vinte anos.&lt;/span&gt;&lt;/p&gt;&lt;p style="line-height: 1.7999999999999998; text-indent: 56.692913385826756pt; text-align: justify; margin-top: 0pt; margin-bottom: 6pt;" dir="ltr"&gt; &lt;span style="font-size: 12pt; font- family: 'Times New Roman',serif; color: #000000; background-color: transparent; font- weight: 400; font-style: normal; font-variant: normal; text-decoration: none; vertical-align: baseline; white-space: pre-wrap;"&gt;A senhora Lucineuda requer a atribuição de efeito suspensivo à demanda, sustentando que há perigo de dano irreparável, visto que a manutenção do despacho causará “&lt;/span&gt; &lt;span style="font-size: 12pt; font-family: 'Times New Roman',serif; color: #000000; background-color: transparent; font-weight: 400; font-style: italic; font-variant: normal; text-decoration: none; vertical-align: baseline; white- space: pre-wrap;"&gt;pulverização irreversível dos aluguéis entre herdeiros; reconhecimento tácito de copropriedade, inviabilizando a usucapião em curso; lesão econômica imediata pela perda da gestão possessória, comprometendo o sustento da Agravante, que vive de sua renda há mais de 20 (vinte) anos&lt;/span&gt;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pre-wrap;"&gt;”.&lt;/span&gt;&lt;/p&gt;&lt;p style="line-height: 1.7999999999999998; text-indent: 56.692913385826756pt; text-align: justify; margin-top: 0pt; margin-bottom: 6pt;" dir="ltr"&gt;</w:t>
            </w:r>
          </w:p>
          <w:p>
            <w:pPr>
              <w:pStyle w:val="TableParagraph"/>
              <w:spacing w:line="208" w:lineRule="auto" w:before="0"/>
              <w:ind w:right="19"/>
              <w:rPr>
                <w:sz w:val="20"/>
              </w:rPr>
            </w:pPr>
            <w:r>
              <w:rPr>
                <w:sz w:val="20"/>
              </w:rPr>
              <w:t>&lt;span style="font-size: 12pt; font-family: 'Times New Roman',serif; color: #000000; background-color: transparent; font-weight: 400; font-style: normal; font-variant: normal; text-decoration: none; vertical-align: baseline; white-space: pre-wrap;"&gt;Em decisão interlocutória de id. 26708445 foi indeferido o pedido de efeito suspensivo, haja vista a ausência do requisito da probabilidade de provimento do recurso. O pleito foi indeferido </w:t>
            </w:r>
            <w:r>
              <w:rPr>
                <w:spacing w:val="-6"/>
                <w:sz w:val="20"/>
              </w:rPr>
              <w:t>por </w:t>
            </w:r>
            <w:r>
              <w:rPr>
                <w:sz w:val="20"/>
              </w:rPr>
              <w:t>se considerar que os efeitos da decisão de origem prestam-se tão somente a preservar o acervo hereditário em discussão.&lt;/span&gt;&lt;/p&gt;&lt;p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pre-wrap;"&gt;Em contrarrazões de id. 28066109, os agravados sustentam a necessidade de desprovimento do recurso, haja vista a ausência de intenção de dono no exercício da posse sobre o bem imóvel. Os recorridos defendem que o imóvel pertence ao acervo hereditário, cuja destinação e titularidade deve ser submetida ao crivo judicial. Portanto, não haveria que se falar em posse exclusiva e definitiva.&lt;/span&gt;&lt;/p&gt;&lt;p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pre-wrap;"&gt;Os agravados seguem defendendo que “&lt;/span&gt; &lt;span style="font-size: 12pt; font-family: 'Times New Roman',serif; color: #000000; background-color: transparent; font- weight: 400; font-style: italic; font-variant: normal; text-decoration: none; vertical-align: baseline; white-space: pre-wrap;"&gt;considerando que o bem pertence ao acervo hereditário e que sobre ele pairam dúvidas quanto ao efetivo exercício da posse pela agravante, mostra-se legítima e razoável a decisão proferida nos autos da ação de inventário, ora combatida&lt;/span&gt; &lt;span style="font-size: 12pt; font-family: 'Times New Roman',serif; color: #000000; background-color: transparent; font-weight: 400; font-style: normal; font- variant: normal; text-decoration: none; vertical-align: baseline; white-space: pre-wrap;"&gt;”.</w:t>
            </w:r>
          </w:p>
          <w:p>
            <w:pPr>
              <w:pStyle w:val="TableParagraph"/>
              <w:spacing w:line="208" w:lineRule="auto" w:before="0"/>
              <w:rPr>
                <w:sz w:val="20"/>
              </w:rPr>
            </w:pPr>
            <w:r>
              <w:rPr>
                <w:sz w:val="20"/>
              </w:rPr>
              <w:t>Ao final, pugnam pela manutenção da sentença agravada, por ser meio adequado de proteção do acervo hereditário até decisão final na ação de usucapião ou no próprio inventário.&lt;/span&gt;&lt;/p&gt;&lt;p style="line-height: 1.7999999999999998; text-indent: 56.692913385826756pt; text-align: justify; margin-top: 0pt; margin-bottom: 6pt;"</w:t>
            </w:r>
            <w:r>
              <w:rPr>
                <w:spacing w:val="-18"/>
                <w:sz w:val="20"/>
              </w:rPr>
              <w:t> </w:t>
            </w:r>
            <w:r>
              <w:rPr>
                <w:sz w:val="20"/>
              </w:rPr>
              <w:t>dir="ltr"&gt;</w:t>
            </w:r>
          </w:p>
          <w:p>
            <w:pPr>
              <w:pStyle w:val="TableParagraph"/>
              <w:spacing w:line="208" w:lineRule="auto" w:before="0"/>
              <w:ind w:right="262"/>
              <w:rPr>
                <w:sz w:val="20"/>
              </w:rPr>
            </w:pPr>
            <w:r>
              <w:rPr>
                <w:sz w:val="20"/>
              </w:rPr>
              <w:t>&lt;span style="font-size: 12pt; font-family: 'Times New Roman',serif; color: #000000; background-color: transparent; font-weight: 400; font-style: normal; font-variant: normal; text-decoration: none; vertical-align: baseline; white-space: pre-wrap;"&gt;A agravante interpôs agravo interno de id. 28065902, no qual pugna pela reforma da decisão interlocutória proferida nestes autos, argumentando que a decisão de origem será suficiente para desconstituir a sua posse, tornando a coisa litigiosa, fazendo com que o bem seja administrado coletivamente e impedindo o decurso do prazo para sua usucapião.&lt;/span&gt;&lt;/p&gt;&lt;p style="line-height: 1.7999999999999998; text-indent: 56.692913385826756pt; text-align: justify; margin-top: 0pt; margin-bottom: 6pt;"</w:t>
            </w:r>
            <w:r>
              <w:rPr>
                <w:spacing w:val="-18"/>
                <w:sz w:val="20"/>
              </w:rPr>
              <w:t> </w:t>
            </w:r>
            <w:r>
              <w:rPr>
                <w:sz w:val="20"/>
              </w:rPr>
              <w:t>dir="ltr"&gt;</w:t>
            </w:r>
          </w:p>
          <w:p>
            <w:pPr>
              <w:pStyle w:val="TableParagraph"/>
              <w:spacing w:line="208" w:lineRule="auto" w:before="0"/>
              <w:ind w:right="99"/>
              <w:rPr>
                <w:sz w:val="20"/>
              </w:rPr>
            </w:pPr>
            <w:r>
              <w:rPr>
                <w:sz w:val="20"/>
              </w:rPr>
              <w:t>&lt;span style="font-size: 12pt; font-family: 'Times New Roman',serif; color: #000000; background-color: transparent; font-weight: 400; font-style: normal; font-variant: normal; text-decoration: none; vertical-align: baseline; white-space: pre-wrap;"&gt;É o relatório.&lt;/span&gt;&lt;/p&gt;&lt;p style="line-height: 1.7999999999999998; text-align: justify; margin-top: 0pt; margin-bottom: 6pt;" dir="ltr"&gt; &lt;span style="font-size: 12pt; font-family: 'Times New Roman',serif; color: #000000; background-color: transparent; font-weight: 700;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font-style: normal; font-variant: normal; text-decoration: none; vertical-align: baseline; </w:t>
            </w:r>
            <w:r>
              <w:rPr>
                <w:spacing w:val="-3"/>
                <w:sz w:val="20"/>
              </w:rPr>
              <w:t>white- </w:t>
            </w:r>
            <w:r>
              <w:rPr>
                <w:sz w:val="20"/>
              </w:rPr>
              <w:t>space: pre-wrap;"&gt;&amp;#160;&lt;/span&gt;&lt;/p&gt;&lt;p style="line-height: 1.7999999999999998; text- align: center; margin-top: 0pt; margin-bottom: 6pt;" dir="ltr"&gt; &lt;span style="font-size: 12pt; font-family: 'Times New Roman',serif; color: #000000; background-color: transparent; font- weight: 700; font-style: normal; font-variant: normal; text-decoration: none; vertical-align: baseline; white-space: pre-wrap;"&gt;VOTO&lt;/span&gt;&lt;/p&gt;&lt;p style="line-height: 1.7999999999999998; text-indent: 2pt; text-align: justify; margin-top: 0pt; margin-bottom: 6pt;" dir="ltr"&gt; &lt;span style="font-size: 12pt; font-family: 'Times New Roman',serif; color: #000000; background-color: transparent; font-weight: 700; font-style: normal; font-variant: normal; text-decoration: none; vertical-align: baseline; white-space: pre- wrap;"&gt;&amp;#160;&lt;/span&gt;&lt;/p&gt;&lt;p style="line-height: 1.7999999999999998; text-indent: 28.346456692913378pt; text-align: justify; margin-top: 0pt; margin-bottom: 6pt;" dir="ltr"&gt;</w:t>
            </w:r>
          </w:p>
          <w:p>
            <w:pPr>
              <w:pStyle w:val="TableParagraph"/>
              <w:spacing w:line="208" w:lineRule="auto" w:before="0"/>
              <w:ind w:right="98"/>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w:t>
            </w:r>
            <w:r>
              <w:rPr>
                <w:spacing w:val="-4"/>
                <w:sz w:val="20"/>
              </w:rPr>
              <w:t>text- </w:t>
            </w:r>
            <w:r>
              <w:rPr>
                <w:sz w:val="20"/>
              </w:rPr>
              <w:t>decoration: underline;"&gt;1 – Admissibilidade recursal.&lt;/span&gt;&lt;/p&gt;&lt;p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pre-wrap;"&gt;Conheço do agravo de instrumento, por verificar presentes os requisitos de admissibilidade intrínsecos e extrínsecos, e defiro a gratuidade judiciária, dada a presunção de verdade declaração de hipossuficiência feita por pessoa física.&lt;/span&gt;&lt;/p&gt;&lt;p style="line-height: 1.7999999999999998; text-indent: 56.692913385826756pt; text-align: justify; margin-top: 0pt; margin-bottom: 6pt;" dir="ltr"&gt;</w:t>
            </w:r>
          </w:p>
          <w:p>
            <w:pPr>
              <w:pStyle w:val="TableParagraph"/>
              <w:spacing w:line="208" w:lineRule="auto" w:before="0"/>
              <w:ind w:right="198"/>
              <w:rPr>
                <w:sz w:val="20"/>
              </w:rPr>
            </w:pPr>
            <w:r>
              <w:rPr>
                <w:sz w:val="20"/>
              </w:rPr>
              <w:t>&lt;span style="font-size: 12pt; font-family: 'Times New Roman',serif; color: #000000; background-color: transparent; font-weight: 400; font-style: normal; font-variant: normal; text-decoration: none; vertical-align: baseline; white-space: pre-wrap;"&gt;Destaco que o </w:t>
            </w:r>
            <w:r>
              <w:rPr>
                <w:spacing w:val="-6"/>
                <w:sz w:val="20"/>
              </w:rPr>
              <w:t>ato </w:t>
            </w:r>
            <w:r>
              <w:rPr>
                <w:sz w:val="20"/>
              </w:rPr>
              <w:t>impugnado, apesar de contar com a nomenclatura despacho, é dotado de conteúdo decisório, o que autoriza a interposição de recurso de agravo de instrumento para sua impugnação.&lt;/span&gt;&lt;/p&gt;&lt;p style="line-height: 1.7999999999999998; text-indent: 56.692913385826756pt; text-align: justify; margin-top: 0pt; margin-bottom: 6pt;" dir="ltr"&gt;&amp;#160;&lt;/p&gt;&lt;p style="line-height: 1.7999999999999998; text-indent: 28.346456692913378pt; text-align: justify; margin-top: 0pt; margin-bottom: 6pt;" dir="ltr"&gt;</w:t>
            </w:r>
          </w:p>
          <w:p>
            <w:pPr>
              <w:pStyle w:val="TableParagraph"/>
              <w:spacing w:line="208" w:lineRule="auto" w:before="0"/>
              <w:ind w:right="41"/>
              <w:rPr>
                <w:sz w:val="20"/>
              </w:rPr>
            </w:pPr>
            <w:r>
              <w:rPr>
                <w:sz w:val="20"/>
              </w:rPr>
              <w:t>&lt;span style="font-size: 12pt; font-family: &amp;quot;Times New Roman&amp;quot;, serif; color: #000000; background-color: transparent; font-weight: 700; font-style: normal; font-variant: normal; text-decoration-skip-ink: none; vertical-align: baseline; white-space: pre-wrap; text- decoration: underline;"&gt;2 – Mérito recursal:&lt;/span&gt;&lt;/p&gt;&lt;p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pre-wrap;"&gt;O cerne da controvérsia consiste em saber se estão presentes os requisitos para determinação do depósito nos autos de ação de inventário, de aluguéis pendentes, fruto de imóvel litigioso.&lt;/span&gt;&lt;/p&gt;&lt;p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pre-wrap;"&gt;No presente caso, o recurso foi interposto sob a afirmação de que a decisão interlocutória gerou risco de prejuízo jurídico e prejuízo financeiro à agravante, na medida em que se determinou os depósitos em conta ligada ao inventário de bem objeto de ação de usucapião, ajuizada pela herdeira. Para a recorrente, coma decisão combatida, haveria reconhecimento tácito de copropriedade e instituição de administração comum sobre o imóvel, o que inviabiliza a declaração da usucapião, bem como prejudicaria o seu sustento pessoal, por os aluguéis serem sua única fonte de renda.&lt;/span&gt;&lt;/p&gt;&lt;p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pre-wrap;"&gt;Para análise da questão, valho-me da aplicação analógica das regras relativas à tutela de urgência, que possui sua previsão no art. 300 do Código de Processo Civil, o qual estabelece os requisitos, na forma a seguir:&lt;/span&gt;&lt;/p&gt;&lt;p style="line-height: 1.7999999999999998; margin-left: 113pt; text-align: justify; margin-top: 0pt; margin-bottom: 6pt;" dir="ltr"&gt; &lt;span style="font-size: 12pt; font-family: 'Times New Roman',serif; color: #000000; background-color: transparent; font-weight: 400; font-style: normal; font-variant: normal; text-decoration: none; vertical-align: baseline; white-space: pre- wrap;"&gt;&amp;#160;&lt;/span&gt;&lt;/p&gt;&lt;p style="line-height: 1.38; margin-left: 113pt; text-align: justify; margin-top: 0pt; margin-bottom: 6pt;" dir="ltr"&gt; &lt;span style="font-size: 12pt; font-family: 'Times New Roman',serif; color: #000000; background-color: transparent; font-weight: 400;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8"/>
              <w:rPr>
                <w:sz w:val="20"/>
              </w:rPr>
            </w:pPr>
            <w:r>
              <w:rPr>
                <w:sz w:val="20"/>
              </w:rPr>
              <w:t>font-style: normal; font-variant: normal; text-decoration: none; vertical-align: baseline; </w:t>
            </w:r>
            <w:r>
              <w:rPr>
                <w:spacing w:val="-3"/>
                <w:sz w:val="20"/>
              </w:rPr>
              <w:t>white- </w:t>
            </w:r>
            <w:r>
              <w:rPr>
                <w:sz w:val="20"/>
              </w:rPr>
              <w:t>space: pre-wrap;"&gt;Art. 300. A tutela de urgência será concedida quando houver elementos que evidenciem a probabilidade do direito e o perigo de dano ou o risco ao resultado útil </w:t>
            </w:r>
            <w:r>
              <w:rPr>
                <w:spacing w:val="-9"/>
                <w:sz w:val="20"/>
              </w:rPr>
              <w:t>do </w:t>
            </w:r>
            <w:r>
              <w:rPr>
                <w:sz w:val="20"/>
              </w:rPr>
              <w:t>processo.&lt;/span&gt;&lt;/p&gt;&lt;p style="line-height: 1.7999999999999998; text-indent: 2pt; text- align: justify; margin-top: 0pt; margin-bottom: 6pt;" dir="ltr"&gt; &lt;span style="font-size: 12pt; font-family: 'Times New Roman',serif; color: #000000; background-color: transparent; font- weight: 400; font-style: normal; font-variant: normal; text-decoration: none; vertical-align: baseline; white-space: pre-wrap;"&gt;&amp;#160;&lt;/span&gt;&lt;/p&gt;&lt;p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pre-wrap;"&gt;Nesse contexto, para que seja o deferimento da tutela de urgência, é imprescindível a presença&lt;/span&gt; &lt;span style="font-size: 12pt; font-family: &amp;quot;Times New Roman&amp;quot;, serif; color: #000000; background-color: transparent; font-weight: 700; font-style: normal; font-variant: normal; text-decoration-skip-ink: none; vertical-align: baseline; white-space: pre-wrap; text-decoration: underline;"&gt;concomitante&lt;/span&gt; &lt;span style="font-size: 12pt; font-family: 'Times New Roman',serif; color: #000000; background- color: transparent; font-weight: 400; font-style: normal; font-variant: normal; text-decoration: none; vertical-align: baseline; white-space: pre-wrap;"&gt;dos requisitos de perigo de dano ou o risco ao resultado útil do processo e da probabilidade do direito invocado pela parte a que lhe aproveita. De igual modo, para reforma da tutela, deve-se demonstrar a ausência de um desses requisitos, ou a irreversibilidade da medida.&lt;/span&gt;&lt;/p&gt;&lt;p style="line- 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pre-wrap;"&gt;Destaco que a probabilidade do direito da agravante deve ser analisada sob o prisma da equidade no contexto do inventário, haja vista a multiplicidade de herdeiros e de imóveis discutidos nos autos. A própria agravante, como informado nas razões recursais, trouxe a relação de imóveis omitidos nas primeiras declarações, colacionando os bens e apresentando um quadro que evidencia a ampla disposição e posse de outros bens do espólio pelos demais herdeiros. Dentre os bens imóveis que compõem a herança, cuja divisão teria sido feita em vida, destacam-se os indicados pela recorrente em suas razões (id. 26604577):&lt;/span&gt;&lt;/p&gt;&lt;p style="line-height: 1.7999999999999998; text-indent: 2pt; text-align: justify; margin-top: 0pt; margin-bottom: 6pt;" dir="ltr"&gt; &lt;span style="font-size: 12pt; font-family: 'Times New Roman',serif; color: #000000; background-color: transparent; font-weight: 400; font-style: normal; font-variant: normal; text-decoration: none; vertical-align: baseline; white-space: pre- wrap;"&gt;&amp;#160;&lt;/span&gt;&lt;/p&gt;&lt;p style="line-height: 1.38; margin-left: 113.38582677165354pt; text-align: justify; margin-top: 0pt; margin-bottom: 6pt;" dir="ltr"&gt;&lt;span style="font-size: 12pt; font-family: 'Times New Roman',serif; color: #000000; background-color: transparent; font-weight: 700; font-style: normal; font-variant: normal; text-decoration: none; vertical- align: baseline; white-space: pre-wrap;"&gt;Terreno Haroldo Evangelista - Bom Jardim:&lt;/span&gt; &lt;span style="font-size: 12pt; font-family: 'Times New Roman',serif; color: #000000; background-color: transparent; font-weight: 400; font-style: normal; font-variant: normal; text-decoration: none; vertical-align: baseline; white-space: pre-wrap;"&gt;Terreno unitário onde foram construídas casas e pontos comerciais.&lt;/span&gt;&lt;/p&gt;&lt;p style="line- height: 1.38; margin-left: 113.38582677165354pt; text-align: justify; margin-top: 0pt;</w:t>
            </w:r>
          </w:p>
          <w:p>
            <w:pPr>
              <w:pStyle w:val="TableParagraph"/>
              <w:spacing w:line="208" w:lineRule="auto" w:before="0"/>
              <w:ind w:right="42"/>
              <w:rPr>
                <w:sz w:val="20"/>
              </w:rPr>
            </w:pPr>
            <w:r>
              <w:rPr>
                <w:sz w:val="20"/>
              </w:rPr>
              <w:t>margin-bottom: 6pt;" dir="ltr"&gt;&lt;span style="font-size: 12pt; font-family: 'Times New Roman',serif; color: #000000; background-color: transparent; font-weight: 700; font-style: normal; font-variant: normal; text-decoration: none; vertical-align: baseline; white-space: pre-wrap;"&gt;Bairro Rodolfo Teófilo - Rua Papi Junior:&lt;/span&gt; &lt;span style="font-size: 12pt; font-family: 'Times New Roman',serif; color: #000000; background-color: transparent; font- weight: 400; font-style: normal; font-variant: normal; text-decoration: none; vertical-align: baseline; white-space: pre-wrap;"&gt;Imóveis nos nº 35, 37 e 39 foram&lt;/span&gt; &lt;span style="font-size: 12pt; font-family: 'Times New Roman',serif; color: #000000; background- color: transparent; font-weight: 700; font-style: normal; font-variant: normal; text-decoration: none; vertical-align: baseline; white-space: pre-wrap;"&gt;vendidos&lt;/span&gt; &lt;span style="font- size: 12pt; font-family: 'Times New Roman',serif; color: #000000; background-color: transparent; font-weight: 400; font-style: normal; font-variant: normal; text-decoration: none; vertical-align: baseline; white-space: pre-wrap;"&gt;por netos e filhos (Terezinha, Marcelino, Haroldo e Eliton Rocha).&lt;/span&gt;&lt;/p&gt;&lt;p style="line-height: 1.38; margin-left: 113.38582677165354pt; text-align: justify; margin-top: 0pt; margin-bottom: 6pt;" dir="ltr"&gt;&lt;span style="font-size: 12pt; font-family: 'Times New Roman',serif; color: #000000; background-color: transparent; font-weight: 700; font-style: normal; font-variant: normal; text-decoration: none; vertical-align: baseline; white-space: pre-wrap;"&gt;Bairro Rodolfo Teófilo - Rua Minervino de Castro:&lt;/span&gt; &lt;span style="font-size: 12pt; font-family: 'Times New Roman',serif; color: #000000; background-color: transparent; font-weight: 400; font- style: normal; font-variant: normal; text-decoration: none; vertical-align: baseline; white-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space: pre-wrap;"&gt;Imóveis nos nº 1139, 1143, 1147, 1151, 1155 e 1159, sendo a maioria&lt;/span&gt; &lt;span style="font-size: 12pt; font-family: 'Times New Roman',serif; color: #000000; background-color: transparent; font-weight: 700; font-style: normal; font-variant: normal; text-decoration: none; vertical-align: baseline; white-space: pre-wrap;"&gt;atribuída e ocupada&lt;/span&gt; &lt;span style="font-size: 12pt; font-family: 'Times New Roman',serif; color: #000000; background-color: transparent; font-weight: 400; font-style: normal; font-variant: normal; text-decoration: none; vertical-align: baseline; white-space: pre-wrap;"&gt;por herdeiros específicos (Lucileite, Lucyvanda, Terezinha, Lucineuda – a agravante – Lucineide e Luciene).&lt;/span&gt;&lt;/p&gt;&lt;p style="line-height: 1.38; margin-left: 113.38582677165354pt; text-align: justify; margin-top: 0pt; margin-bottom: 6pt;" dir="ltr"&gt;&lt;span style="font-size: 12pt; font-family: 'Times New Roman',serif; color: #000000; background-color: transparent; font-weight: 700; font-style: normal; font-variant: normal; text-decoration: none; vertical-align: baseline; white-space: pre-wrap;"&gt;Bairro Rodolfo Teófilo - Rua Dom Joaquim de Melo:&lt;/span&gt; &lt;span style="font-size: 12pt; font-family: 'Times New Roman',serif; color: #000000; background-color: transparent; font-weight: 400; font-style: normal; font-variant: normal; text-decoration: none; vertical-align: baseline; white- space: pre-wrap;"&gt;Os imóveis nos nº 277 e 281 foram&lt;/span&gt; &lt;span style="font-size: 12pt; font-family: 'Times New Roman',serif; color: #000000; background-color: transparent; font- weight: 700; font-style: normal; font-variant: normal; text-decoration: none; vertical-align: baseline; white-space: pre-wrap;"&gt;vendidos ou estão em posse&lt;/span&gt; &lt;span style="font- size: 12pt; font-family: 'Times New Roman',serif; color: #000000; background-color: transparent; font-weight: 400; font-style: normal; font-variant: normal; text-decoration: none; vertical-align: baseline; white-space: pre-wrap;"&gt;dos filhos de Eliton Rocha.&lt;/span&gt;&lt;/p&gt;&lt;p style="line-height: 1.38; margin-left: 113.38582677165354pt; text-align: justify; margin-top: 0pt; margin-bottom: 6pt;" dir="ltr"&gt;&lt;span style="font-size: 12pt; font-family: 'Times New Roman',serif; color: #000000; background-color: transparent; font-weight: 700; font-style: normal; font-variant: normal; text-decoration: none; vertical-align: baseline; white-space: pre-wrap;"&gt;Bairro Pan Americano:&lt;/span&gt; &lt;span style="font-size: 12pt; font-family: 'Times New Roman',serif; color: #000000; background-color: transparent; font-weight: 400; font- style: normal; font-variant: normal; text-decoration: none; vertical-align: baseline; white- space: pre-wrap;"&gt;Um imóvel foi&lt;/span&gt; &lt;span style="font-size: 12pt; font-family: 'Times New Roman',serif; color: #000000; background-color: transparent; font-weight: 700; font- style: normal; font-variant: normal; text-decoration: none; vertical-align: baseline; white- space: pre-wrap;"&gt;vendido&lt;/span&gt; &lt;span style="font-size: 12pt; font-family: 'Times New Roman',serif; color: #000000; background-color: transparent; font-weight: 400; font-style: normal; font-variant: normal; text-decoration: none; vertical-align: baseline; white-space: pre-wrap;"&gt;pelo filho Antônio Evangelista Mello.&lt;/span&gt;&lt;/p&gt;&lt;p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pre-wrap;"&gt;&amp;#160;&lt;/span&gt;&lt;/p&gt;&lt;p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pre-wrap;"&gt;Percebe-se que, embora o inventário contenha outros bens, muitos deles já foram ocupados ou usufruídos pelos demais herdeiros, sem que houvesse determinação de depósito dos respectivos frutos ou aluguéis. Dessa forma, a manutenção do depósito judicial imposto onera&lt;/span&gt;</w:t>
            </w:r>
          </w:p>
          <w:p>
            <w:pPr>
              <w:pStyle w:val="TableParagraph"/>
              <w:spacing w:line="208" w:lineRule="auto" w:before="0"/>
              <w:ind w:right="20"/>
              <w:rPr>
                <w:sz w:val="20"/>
              </w:rPr>
            </w:pPr>
            <w:r>
              <w:rPr>
                <w:sz w:val="20"/>
              </w:rPr>
              <w:t>&lt;span style="font-size: 12pt; font-family: 'Times New Roman',serif; color: #000000; background-color: transparent; font-weight: 700; font-style: normal; font-variant: normal; text-decoration: none; vertical-align: baseline; white-space: pre-wrap;"&gt;apenas o bem usufruído pela agravante&lt;/span&gt; &lt;span style="font-size: 12pt; font-family: 'Times New Roman',serif; color: #000000; background-color: transparent; font-weight: 400; font-style: normal; font-variant: normal; text-decoration: none; vertical-align: baseline; white-space: pre-wrap;"&gt;(que alega posse exclusiva há mais de 15 anos), o que implica um tratamento desequilibrado entre os co-herdeiros.&lt;/span&gt;&lt;/p&gt;&lt;p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pre-wrap;"&gt;O direito à posse exclusiva, que a agravante busca ver reconhecido na ação de usucapião, ganha plausibilidade frente à posse fática dos demais herdeiros sobre outros bens da herança. A medida que onera de forma singular a recorrente, em detrimento dos demais que desfrutam de outros bens sem restrição,&lt;/span&gt; &lt;span style="font-size: 12pt; font-family: 'Times New Roman',serif; color: #000000; background-color: transparent; font- weight: 700; font-style: normal; font-variant: normal; text-decoration: none; vertical-align: baseline; white-space: pre-wrap;"&gt;compromete a paridade fática&lt;/span&gt; &lt;span</w:t>
            </w:r>
          </w:p>
          <w:p>
            <w:pPr>
              <w:pStyle w:val="TableParagraph"/>
              <w:spacing w:line="208" w:lineRule="auto" w:before="0"/>
              <w:ind w:right="35"/>
              <w:rPr>
                <w:sz w:val="20"/>
              </w:rPr>
            </w:pPr>
            <w:r>
              <w:rPr>
                <w:sz w:val="20"/>
              </w:rPr>
              <w:t>style="font-size: 12pt; font-family: 'Times New Roman',serif; color: #000000; background- color: transparent; font-weight: 400; font-style: normal; font-variant: normal; text-decoration: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none; vertical-align: baseline; white-space: pre-wrap;"&gt;entre os herdeiros, o que configura a probabilidade do direito à suspensão da determinação, bem como evidencia o perigo de dano a se atingir o patrimônio da agravante.&lt;/span&gt;&lt;/p&gt;&lt;p style="line-height: 1.7999999999999998; text-indent: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pre-wrap;"&gt;Portanto, presente o requisito da probabilidade do direito e do perigo de dano, a decisão deve ser reformada para suspensão da ordem de depósito. Nesse sentido, precedentes deste Egrégio Tribunal de Justiça:&lt;/span&gt;&lt;/p&gt;&lt;p style="line-height: 1.7999999999999998; margin-left: 113pt; text-align: justify; margin-top: 0pt; margin-bottom: 6pt;" dir="ltr"&gt; &lt;span style="font-size: 12pt; font-family: 'Times New Roman',serif; color: #000000; background-color: transparent; font-weight: 400; font-style: normal; font-variant: normal; text-decoration: none; vertical-align: baseline; white-space: pre- wrap;"&gt;&amp;#160;&lt;/span&gt;&lt;/p&gt;&lt;p style="line-height: 1.38; margin-left: 113pt; text-align: justify; margin-top: 0pt; margin-bottom: 6pt;" dir="ltr"&gt;&lt;span style="font-size: 12pt; font-family: 'Times New Roman',serif; color: #000000; background-color: transparent; font-weight: 400; font-style: normal; font-variant: normal; text-decoration: none; vertical-align: baseline; </w:t>
            </w:r>
            <w:r>
              <w:rPr>
                <w:spacing w:val="-3"/>
                <w:sz w:val="20"/>
              </w:rPr>
              <w:t>white- </w:t>
            </w:r>
            <w:r>
              <w:rPr>
                <w:sz w:val="20"/>
              </w:rPr>
              <w:t>space: pre-wrap;"&gt;DIREITO CIVIL. AGRAVO DE INSTRUMENTO. AÇÃO DECLARATÓRIA DE INEXISTÊNCIA DE DÉBITO C/C PEDIDO DE TUTELA ANTECIPADA. EMPRÉSTIMO FRAUDULENTO. SUSPENSÃO DE DESCONTOS EM FOLHA. PERIGO DE DANO EVIDENCIADO. PROVIMENTO. I. CASO EM EXAME 1.</w:t>
            </w:r>
          </w:p>
          <w:p>
            <w:pPr>
              <w:pStyle w:val="TableParagraph"/>
              <w:spacing w:line="208" w:lineRule="auto" w:before="0"/>
              <w:ind w:right="41"/>
              <w:rPr>
                <w:sz w:val="20"/>
              </w:rPr>
            </w:pPr>
            <w:r>
              <w:rPr>
                <w:sz w:val="20"/>
              </w:rPr>
              <w:t>Trata-se de agravo de instrumento interposto contra decisão interlocutória que indeferiu o pedido de tutela antecipada, visando suspender cobranças de empréstimo consignado, alegadamente contratado mediante fraude, e impedir a inscrição do agravante em cadastros de proteção ao crédito. II. QUESTÃO EM DISCUSSÃO 2. A questão em discussão consiste em verificar se estão presentes os requisitos para a concessão da tutela de urgência, a fim de suspender as cobranças decorrentes de contrato de empréstimo supostamente fraudulento, enquanto a questão permanece sub judice. III. RAZÕES DE DECIDIR 3. Conforme o art. 300 do CPC, a tutela de urgência exige probabilidade do direito e perigo de dano irreparável. Restando evidenciado o fumus boni iuris pela suspeita de fraude na contratação e perigo de dano financeiro em razão dos descontos diretos na conta do autor, a concessão da tutela é necessária para resguardar </w:t>
            </w:r>
            <w:r>
              <w:rPr>
                <w:spacing w:val="-18"/>
                <w:sz w:val="20"/>
              </w:rPr>
              <w:t>o </w:t>
            </w:r>
            <w:r>
              <w:rPr>
                <w:sz w:val="20"/>
              </w:rPr>
              <w:t>direito do agravante. 4. A reversibilidade da medida, caso improcedente a demanda, garante a retomada dos descontos. IV. DISPOSITIVO E TESE Recurso conhecido e provido para suspender os descontos das parcelas do empréstimo impugnado até decisão final da demanda. TESE DE JULGAMENTO: ¿A probabilidade de fraude em contrato de empréstimo e o perigo de dano financeiro justificam a concessão de tutela provisória para suspensão dos descontos até o julgamento do mérito.¿ DISPOSITIVOS RELEVANTES CITADOS: CPC, art. 300. JURISPRUDÊNCIA RELEVANTE CITADA: TJ-CE, AI 0626122-</w:t>
            </w:r>
          </w:p>
          <w:p>
            <w:pPr>
              <w:pStyle w:val="TableParagraph"/>
              <w:spacing w:line="208" w:lineRule="auto" w:before="0"/>
              <w:rPr>
                <w:sz w:val="20"/>
              </w:rPr>
            </w:pPr>
            <w:r>
              <w:rPr>
                <w:sz w:val="20"/>
              </w:rPr>
              <w:t>03.2016.8.06.0000, Rel. Des. Maria do Livramento Alves Magalhães, 4ª Câmara Direito Privado, j. 09.06.2020; TJ-CE, AI 0631316-71.2022.8.06.0000, Rel. Des. Maria de </w:t>
            </w:r>
            <w:r>
              <w:rPr>
                <w:spacing w:val="-3"/>
                <w:sz w:val="20"/>
              </w:rPr>
              <w:t>Fátima</w:t>
            </w:r>
          </w:p>
          <w:p>
            <w:pPr>
              <w:pStyle w:val="TableParagraph"/>
              <w:spacing w:line="208" w:lineRule="auto" w:before="0"/>
              <w:ind w:right="35"/>
              <w:rPr>
                <w:sz w:val="20"/>
              </w:rPr>
            </w:pPr>
            <w:r>
              <w:rPr>
                <w:sz w:val="20"/>
              </w:rPr>
              <w:t>de Melo Loureiro, 2ª Câmara Direito Privado, j. 01.03.2023.&lt;/span&gt; &lt;span style="font-size: 12pt; font-family: 'Times New Roman',serif; color: #000000; background-color: transparent; font-weight: 400; font-style: normal; font-variant: normal; text-decoration: none; vertical- align: baseline; white-space: pre-wrap;"&gt;(Agravo de Instrumento - 0628936- 07.2024.8.06.0000, Rel. Desembargador(a) JOSE EVANDRO NOGUEIRA LIMA FILHO, 4ª</w:t>
            </w:r>
          </w:p>
          <w:p>
            <w:pPr>
              <w:pStyle w:val="TableParagraph"/>
              <w:spacing w:line="208" w:lineRule="auto" w:before="0"/>
              <w:ind w:right="53"/>
              <w:rPr>
                <w:sz w:val="20"/>
              </w:rPr>
            </w:pPr>
            <w:r>
              <w:rPr>
                <w:sz w:val="20"/>
              </w:rPr>
              <w:t>Câmara Direito Privado, data do julgamento:&amp;#160; 10/12/2024, data da publicação:&amp;#160; 10/12/2024)&lt;/span&gt;&lt;/p&gt;&lt;p style="line-height: 1.38; margin-left: 113pt; text-align: justify; margin-top: 0pt; margin-bottom: 6pt;" dir="ltr"&gt; &lt;span style="font-size: 12pt; font-family: 'Times New Roman',serif; color: #000000; background-color: transparent; font-weight: 400; font-style: normal; font-variant: normal; text-decoration: none; vertical- align: baseline; white-space: pre-wrap;"&gt;&amp;#160;&lt;/span&gt;&lt;/p&gt;&lt;p style="line-height: 1.38; margin-left: 113pt; text-align: justify; margin-top: 0pt; margin-bottom: 6pt;" dir="ltr"&gt;&lt;span style="font-size: 12pt; font-family: 'Times New Roman',serif; color: #000000; background- color: transparent; font-weight: 400; font-style: normal; font-variant: normal; text-decoration: none; vertical-align: baseline; white-space: pre-wrap;"&gt;em&amp;gt;DIREITO PROCESSUAL CIVIL. AGRAVO DE INSTRUMENTO. RESCISÃO CONTRATUAL. SUSPENSÃO DA COBRANÇA DE PARCELAS VINCENDAS DO CONTRATO E DAS TAXAS DE CONDOMÍNIO. NÃO INCLUSÃO DO NOME DO COMPRADOR NOS CADASTROS DE PROTEÇÃO AO CRÉDITO. PRESENÇA DOS REQUISITOS AUTORIZADORES.</w:t>
            </w:r>
          </w:p>
          <w:p>
            <w:pPr>
              <w:pStyle w:val="TableParagraph"/>
              <w:spacing w:line="208" w:lineRule="auto" w:before="0"/>
              <w:ind w:right="23"/>
              <w:rPr>
                <w:sz w:val="20"/>
              </w:rPr>
            </w:pPr>
            <w:r>
              <w:rPr>
                <w:sz w:val="20"/>
              </w:rPr>
              <w:t>RECURSO CONHECIDO E PROVIDO. I. Caso em exame: 1. Trata-se de Agravo de Instrumento interposto visando a reforma de decisão proferida nos autos da ação de rescisão contratual c/c anulação de cláusula abusiva e restituição de valores pagos, em trâmite perante a 1ª Vara Cível da Comarca de Juazeiro do Norte-CE. II. Questão em discussão: 2. Cinge-se a controvérsia recursal em verificar se acertada a decisão interlocutória proferida pelo juízo de primeira instância, que indeferiu o pleito de suspensão de exigibilidade das parcelas vincendas e das taxas de condomínio, bem como a abstenção de negativar o nome do agravante/autor junto aos órgãos de proteção ao crédito. III. Razões de decidir: 3. Uma vez que o promitente comprador manifestou</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3"/>
              <w:rPr>
                <w:sz w:val="20"/>
              </w:rPr>
            </w:pPr>
            <w:r>
              <w:rPr>
                <w:sz w:val="20"/>
              </w:rPr>
              <w:t>inequívoco desinteresse em continuar o vínculo contratual, não se admite que sejam adotadas medidas coercitivas, pela alienante, com o intuito de forçar o agravante ao cumprimento das obrigações hostilizadas, como é o caso do pagamento das parcelas vincendas e inclusão do seu nome nos cadastros de devedores inadimplentes, já que o vínculo obrigacional restará inevitavelmente dissolvido. 4. Como consequência da rescisão antecipada do contrato de promessa de compra e venda, não se pode impor ao comprador obrigações que sequer foram ajustadas em contrato. Ademais, diante da existência de crédito a ser recebido pelo demandante, é indevida eventual inclusão de seu nome em cadastro de inadimplente pela empresa requerida. 5. A possibilidade de rescisão do contrato e a autorização das medidas solicitadas em nada prejudicam o eventual direito de retenção pela empresa agravada, não havendo o perigo da irreversibilidade da medida, permitindo, inclusive, a nova venda a terceiros da unidade imobiliária adquirida pelo agravante. IV. Dispositivo e tese: Recurso conhecido e provido. Tese de julgamento:</w:t>
            </w:r>
          </w:p>
          <w:p>
            <w:pPr>
              <w:pStyle w:val="TableParagraph"/>
              <w:spacing w:line="208" w:lineRule="auto" w:before="0"/>
              <w:ind w:right="99"/>
              <w:rPr>
                <w:sz w:val="20"/>
              </w:rPr>
            </w:pPr>
            <w:r>
              <w:rPr>
                <w:sz w:val="20"/>
              </w:rPr>
              <w:t>¿Interesse em rescindir o contrato de compra e venda de imóvel que não pode ser condicionado ao cumprimento de medidas coercitivas, como o pagamento das parcelas vincendas e inclusão do nome do comprador nos cadastros de proteção ao crédito.¿ Dispositivos relevantes citados: CPC, art. 300.&lt;/span&gt; &lt;span style="font-size: 12pt; font- family: 'Times New Roman',serif; color: #000000; background-color: transparent; font- weight: 400; font-style: normal; font-variant: normal; text-decoration: none; vertical-align: baseline; white-space: pre-wrap;"&gt;(Agravo de Instrumento - 0626392-46.2024.8.06.0000, Rel. Desembargador FRANCISCO LUCÍDIO DE QUEIROZ JÚNIOR, 3ª Câmara Direito Privado, data do julgamento:&amp;#160; 06/11/2024, data da publicação:&amp;#160; 07/11/2024)&lt;/span&gt;&lt;/p&gt;&lt;p style="line-height: 1.7999999999999998; margin-left: 113pt; text-align: justify; margin-top: 0pt; margin-bottom: 6pt;" dir="ltr"&gt; &lt;span style="font-size: 12pt; font-family: 'Times New Roman',serif; color: #000000; background-color: transparent; font-weight: 400; font-style: normal; font-variant: normal; text-decoration: none; vertical- align: baseline; white-space: pre-wrap;"&gt;&amp;#160;&lt;/span&gt;&lt;/p&gt;&lt;p style="line-height: 1.7999999999999998; text-indent: 56.692913385826756pt; text-align: justify; margin-top: 0pt; margin-bottom: 6pt;" dir="ltr"&gt; &lt;span style="font-size: 12pt; font-family: 'Times New Roman',serif; color: #000000; background-color: transparent; font-weight: 700; font-style: normal; font-variant: normal; text-decoration: none; vertical-align: baseline; white-space: pre-wrap;"&gt;Em conclusão, dou provimento ao agravo de instrumento. O Agravo Interno interposto pela recorrente resta prejudicado, ante o julgamento do mérito do Agravo de Instrumento.&amp;#160;&lt;/span&gt;&lt;/p&gt;&lt;p style="line-height: 1.7999999999999998; text-indent: 56.692913385826756pt; text-align: justify; margin-top: 0pt; margin-bottom: 6pt;" dir="ltr"&gt;</w:t>
            </w:r>
          </w:p>
          <w:p>
            <w:pPr>
              <w:pStyle w:val="TableParagraph"/>
              <w:tabs>
                <w:tab w:pos="6553" w:val="left" w:leader="none"/>
              </w:tabs>
              <w:spacing w:line="208" w:lineRule="auto" w:before="0"/>
              <w:ind w:right="375"/>
              <w:rPr>
                <w:sz w:val="20"/>
              </w:rPr>
            </w:pPr>
            <w:r>
              <w:rPr>
                <w:sz w:val="20"/>
              </w:rPr>
              <w:t>&lt;span style="font-size: 12pt; font-family: 'Times New Roman',serif; color: #000000; background-color: transparent; font-weight: 700; font-style: normal; font-variant: </w:t>
            </w:r>
            <w:r>
              <w:rPr>
                <w:spacing w:val="-3"/>
                <w:sz w:val="20"/>
              </w:rPr>
              <w:t>normal; </w:t>
            </w:r>
            <w:r>
              <w:rPr>
                <w:sz w:val="20"/>
              </w:rPr>
              <w:t>text-decoration: none; vertical-align: baseline; white-space: pre-wrap;"&gt;</w:t>
              <w:tab/>
              <w:t>&lt;br /&gt;</w:t>
            </w:r>
          </w:p>
          <w:p>
            <w:pPr>
              <w:pStyle w:val="TableParagraph"/>
              <w:spacing w:line="208" w:lineRule="auto" w:before="0"/>
              <w:ind w:right="20"/>
              <w:rPr>
                <w:sz w:val="20"/>
              </w:rPr>
            </w:pPr>
            <w:r>
              <w:rPr>
                <w:sz w:val="20"/>
              </w:rPr>
              <w:t>&lt;/span&gt;&lt;/p&gt;&lt;p style="line-height: 1.7999999999999998; text-align: center; margin-top: 0pt; margin-bottom: 6pt;" dir="ltr"&gt; &lt;span style="font-size: 13.999999999999998pt; font-family: 'Times New Roman',serif; color: #000000; background-color: transparent; font-weight: 700; font-style: normal; font-variant: normal; text-decoration: none; vertical-align: baseline; white- space: pre-wrap;"&gt;DISPOSITIVO&lt;/span&gt;&lt;/p&gt;&lt;p style="line-height: 1.7999999999999998; text-indent: 56.692913385826756pt; text-align: justify; margin-top: 0pt; margin-bottom: 6pt;" dir="ltr"&gt;&lt;span style="font-size: 12pt; font-family: 'Times New Roman',serif; color: #000000; background-color: transparent; font-weight: 400; font-style: normal; font-variant: normal; text-decoration: none; vertical-align: baseline; white-space: pre-wrap;"&gt;Ante o exposto e fundamentado,&lt;/span&gt; &lt;span style="font-size: 12pt; font-family: 'Times New Roman',serif; color: #000000; background-color: transparent; font-weight: 700; font-style: normal; font- variant: normal; text-decoration: none; vertical-align: baseline; white-space: pre- wrap;"&gt;CONHEÇO DO RECURSO PARA DAR-LHE PROVIMENTO&lt;/span&gt;&lt;span</w:t>
            </w:r>
          </w:p>
          <w:p>
            <w:pPr>
              <w:pStyle w:val="TableParagraph"/>
              <w:spacing w:line="208" w:lineRule="auto" w:before="0"/>
              <w:ind w:right="35"/>
              <w:rPr>
                <w:sz w:val="20"/>
              </w:rPr>
            </w:pPr>
            <w:r>
              <w:rPr>
                <w:sz w:val="20"/>
              </w:rPr>
              <w:t>style="font-size: 12pt; font-family: 'Times New Roman',serif; color: #000000; background- color: transparent; font-weight: 400; font-style: normal; font-variant: normal; text-decoration: none; vertical-align: baseline; white-space: pre-wrap;"&gt;, reformando a decisão recorrida para afastar o dever da agravante de depositar judicialmente os aluguéis do imóvel.</w:t>
            </w:r>
          </w:p>
          <w:p>
            <w:pPr>
              <w:pStyle w:val="TableParagraph"/>
              <w:tabs>
                <w:tab w:pos="5121" w:val="left" w:leader="none"/>
              </w:tabs>
              <w:spacing w:line="208" w:lineRule="auto" w:before="0"/>
              <w:ind w:right="37"/>
              <w:rPr>
                <w:sz w:val="20"/>
              </w:rPr>
            </w:pPr>
            <w:r>
              <w:rPr>
                <w:sz w:val="20"/>
              </w:rPr>
              <w:t>Agravo interno prejudicado.&lt;/span&gt;&lt;/p&gt;&lt;p style="line-height: 1.7999999999999998; text- indent: 56.692913385826756pt; text-align: justify; margin-top: 0pt; margin-bottom: 6pt;" dir="ltr"&gt; &lt;span style="font-size: 12pt; font-family: 'Times New Roman',serif; color: #000000; background-color: transparent; font-weight: 400; font-style: normal; font-variant: normal; text-decoration: none; vertical-align: baseline; white-space: pre-wrap;"&gt;É como voto.&lt;/span&gt; &lt;span style="font-family: &amp;quot;times new roman&amp;quot;, times; font-size: medium; text-indent: 8%;"&gt;&amp;#160;&lt;/span&gt;&lt;/p&gt;&lt;p style="line-height: 1.7999999999999998; text-indent: 56.692913385826756pt; text-align: justify; margin-top: 0pt; margin-bottom: </w:t>
            </w:r>
            <w:r>
              <w:rPr>
                <w:spacing w:val="-4"/>
                <w:sz w:val="20"/>
              </w:rPr>
              <w:t>6pt;" </w:t>
            </w:r>
            <w:r>
              <w:rPr>
                <w:sz w:val="20"/>
              </w:rPr>
              <w:t>dir="ltr"&gt; &lt;span style="font-size: 12pt; font-family: 'Times New Roman',serif; color: #000000; background-color: transparent; font-weight: 400; font-style: normal; font-variant: normal; text-decoration: none; vertical-align: baseline; white-space: pre- wrap;"&gt;Fortaleza/CE, data registrada no sistema.&lt;/span&gt;&lt;/p&gt;&lt;p style="text-indent: 8%; text-align: center;"&gt;  &lt;span style="font-size: medium;"&gt;</w:t>
              <w:tab/>
              <w:t>&lt;strong style="font-size: small;"&gt;</w:t>
            </w:r>
          </w:p>
          <w:p>
            <w:pPr>
              <w:pStyle w:val="TableParagraph"/>
              <w:tabs>
                <w:tab w:pos="3016" w:val="left" w:leader="none"/>
                <w:tab w:pos="6234" w:val="left" w:leader="none"/>
                <w:tab w:pos="7201" w:val="left" w:leader="none"/>
              </w:tabs>
              <w:spacing w:line="208" w:lineRule="auto" w:before="0"/>
              <w:ind w:right="400"/>
              <w:rPr>
                <w:sz w:val="20"/>
              </w:rPr>
            </w:pPr>
            <w:r>
              <w:rPr>
                <w:sz w:val="20"/>
              </w:rPr>
              <w:t>&lt;span style="font-family: &amp;quot;times new roman&amp;quot;, times;"&gt;</w:t>
              <w:tab/>
              <w:t>&lt;br /&gt;</w:t>
              <w:tab/>
            </w:r>
            <w:r>
              <w:rPr>
                <w:spacing w:val="-4"/>
                <w:sz w:val="20"/>
              </w:rPr>
              <w:t>&lt;span </w:t>
            </w:r>
            <w:r>
              <w:rPr>
                <w:sz w:val="20"/>
              </w:rPr>
              <w:t>style="font-size: medium;"&gt;</w:t>
              <w:tab/>
              <w:t>&lt;strong style="font-size: medium;"&gt;FRANCISCO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3013055-51.2025.8.06.0000</w:t>
            </w:r>
          </w:p>
        </w:tc>
      </w:tr>
      <w:tr>
        <w:trPr>
          <w:trHeight w:val="1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240" w:val="left" w:leader="none"/>
                <w:tab w:pos="5297" w:val="left" w:leader="none"/>
                <w:tab w:pos="6242" w:val="left" w:leader="none"/>
              </w:tabs>
              <w:spacing w:line="215" w:lineRule="exact"/>
              <w:rPr>
                <w:sz w:val="20"/>
              </w:rPr>
            </w:pPr>
            <w:r>
              <w:rPr>
                <w:sz w:val="20"/>
              </w:rPr>
              <w:t>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9"/>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0099674-62.2007.8.06.0001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Capitalização e Previdência Privada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FUNDACAO SISTEL DE SEGURIDADE SOCIAL</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INES CALDEIRA PEREIRA DA SILVA MURGEL - (MG64029-S)</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JULIA GOMES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TIAGO VIDAL FREITAS - (CE25079-A)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3000795-52.2025.8.06.0028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VALDENICE OLIVEIRA RODRIGUES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CARLOS ROCHA - (CE49424-A)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0202442-61.2024.8.06.0101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MIRANDA DOS SANTOS RAMOS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ROGER MADSON SILVEIRA MONTEIRO - (CE16177-A)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AGIPLAN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EUGENIO COSTA FERREIRA DE MELO - (MG103082-A)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0000337-96.2019.8.06.0028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0000337-96.2019.8.06.0028</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TERESA IRACILDA DO NASCIMENTO PAULO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LUIZ VALDEMIRO SOARES COSTA - (CE14458-A)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3001724-82.2025.8.06.0029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Abatimento proporcional do preço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583"/>
              <w:rPr>
                <w:sz w:val="20"/>
              </w:rPr>
            </w:pPr>
            <w:r>
              <w:rPr>
                <w:sz w:val="20"/>
              </w:rPr>
              <w:t>MARIA MARISETE MARIM DE SOUZA BANCO DO BRASIL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49"/>
              <w:rPr>
                <w:sz w:val="20"/>
              </w:rPr>
            </w:pPr>
            <w:r>
              <w:rPr>
                <w:sz w:val="20"/>
              </w:rPr>
              <w:t>ANNA RONNERIA LACERDA SOUZA - (DF62386-B) ANNA RONNERIA LACERDA SOUZA - (DF62386-B)</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BANCO DO BRASIL SA</w:t>
            </w:r>
          </w:p>
          <w:p>
            <w:pPr>
              <w:pStyle w:val="TableParagraph"/>
              <w:spacing w:line="215" w:lineRule="exact" w:before="0"/>
              <w:rPr>
                <w:sz w:val="20"/>
              </w:rPr>
            </w:pPr>
            <w:r>
              <w:rPr>
                <w:sz w:val="20"/>
              </w:rPr>
              <w:t>MARIA MARISETE MARIM DE SOUZA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271"/>
              <w:rPr>
                <w:sz w:val="20"/>
              </w:rPr>
            </w:pPr>
            <w:r>
              <w:rPr>
                <w:sz w:val="20"/>
              </w:rPr>
              <w:t>DAVID SOMBRA PEIXOTO - (CE16477-A) 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0201430-97.2023.8.06.0084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139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972"/>
              <w:rPr>
                <w:sz w:val="20"/>
              </w:rPr>
            </w:pPr>
            <w:r>
              <w:rPr>
                <w:sz w:val="20"/>
              </w:rPr>
              <w:t>APARECIDA ROBERTO SARAIVA BANCO BRADESCO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49"/>
              <w:rPr>
                <w:sz w:val="20"/>
              </w:rPr>
            </w:pPr>
            <w:r>
              <w:rPr>
                <w:sz w:val="20"/>
              </w:rPr>
              <w:t>DIEGO DE CARVALHO RODRIGUES - (CE19646-A) DIEGO DE CARVALHO RODRIGUES - (CE19646-A)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705"/>
              <w:rPr>
                <w:sz w:val="20"/>
              </w:rPr>
            </w:pPr>
            <w:r>
              <w:rPr>
                <w:sz w:val="20"/>
              </w:rPr>
              <w:t>CLUBE DE BENEFICIOS DO BRASIL BANCO BRADESCO S/A APARECIDA ROBERTO SARAIVA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0278056-81.2024.8.06.0001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JULITA CASTRO VASCONCELOS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TULIO FRED CAVALCANTE DA SILVA - (CE53502-A)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0278056-81.2024.8.06.0001</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0213726-75.2024.8.06.0001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JORGE CIRILO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0200464-45.2023.8.06.0146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RAIMUNDO VICENTE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MARCO ANTONIO RIBEIRO LOUREIRO - (CE37700-A)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0200767-77.2023.8.06.0043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CREFISA SA CREDITO FINANCIAMENTO E INVESTIMENTOS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LAZARO JOSE GOMES JUNIOR - (MS8125-A)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TEREZINHA SOARES DE SOUSA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MATEUS ANTUNES DE JESUS PEREIRA - (CE49302-A)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3044026-50.2024.8.06.0001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3044026-50.2024.8.06.0001</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Cartão de Crédito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ESPEDITA ARAUJO VIEIRA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IZADORA CAROLINE CORREIA DA SILVA - (AM2032-A)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BMG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704"/>
              <w:rPr>
                <w:sz w:val="20"/>
              </w:rPr>
            </w:pPr>
            <w:r>
              <w:rPr>
                <w:sz w:val="20"/>
              </w:rPr>
              <w:t>ROBERTA DA CAMARA LIMA CAVALCANTI - (CE54140-A) GABRIELA VITIELLO WINK - (RS54018-A)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0200353-18.2023.8.06.0128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FERNANDES DE FREITAS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FELICIANO LYRA MOURA - (CE29481-A)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0203966-94.2023.8.06.0112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VIDAL DA LUZ</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JUNIOR SOUSA AGUIAR - (CE38185-A)</w:t>
            </w:r>
          </w:p>
          <w:p>
            <w:pPr>
              <w:pStyle w:val="TableParagraph"/>
              <w:spacing w:line="215" w:lineRule="exact" w:before="0"/>
              <w:rPr>
                <w:sz w:val="20"/>
              </w:rPr>
            </w:pPr>
            <w:r>
              <w:rPr>
                <w:sz w:val="20"/>
              </w:rPr>
              <w:t>CICERO AUGUSTO PEREIRA BEZERRA - (CE48681-A)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3001335-15.2025.8.06.0121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MANOEL BATISTA JULIO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CLINIO DE OLIVEIRA MEMORIA CORDEIRO - (CE20281-A)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BMG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PAULO ANTONIO MULLER - (CE50564-A)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3000873-43.2025.8.06.0029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LUIZ EVILAZIO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VICENTE PEREIRA DE ARAUJO JUNIOR - (CE32897-A)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FACTA FINANCEIRA S.A. CREDITO, FINANCIAMENTO E INVESTIMENTO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MARCO OTAVIO BOTTINO JUNIOR - (SP221079-A)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0200106-06.2024.8.06.0030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149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FRANCISCO NETO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ALINE ALVES CORDEIRO - (CE17863-A)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3005154-34.2025.8.06.0064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JESUS DA CRUZ PAULINO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749"/>
              <w:rPr>
                <w:sz w:val="20"/>
              </w:rPr>
            </w:pPr>
            <w:r>
              <w:rPr>
                <w:sz w:val="20"/>
              </w:rPr>
              <w:t>THAIS DE MENDONCA ANGELONI - (CE25695-A) THYAGO MOREIRA ALEXANDRE IBIAPINA - (CE46532-A)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0200334-86.2024.8.06.0092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ANELITA ALVES DE SOUSA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0200334-86.2024.8.06.0092</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ANNA RONNERIA LACERDA SOUZA - (DF62386-B)</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3000199-12.2025.8.06.0176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Resgate de Contribuição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LUCIA MARIA FROTA HOLANDA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JACIRA DE SOUSA SILVA - (CE52305-A)</w:t>
            </w:r>
          </w:p>
          <w:p>
            <w:pPr>
              <w:pStyle w:val="TableParagraph"/>
              <w:spacing w:line="215" w:lineRule="exact" w:before="0"/>
              <w:rPr>
                <w:sz w:val="20"/>
              </w:rPr>
            </w:pPr>
            <w:r>
              <w:rPr>
                <w:sz w:val="20"/>
              </w:rPr>
              <w:t>ANDRE HENRIQUE DO NASCIMENTO DOS SANTOS - (CE47020-A)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0208277-44.2021.8.06.0001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SEVERINO FRANCISCO FERREIRA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FRANCISCA SUELY DE SOUSA ARAGAO - (CE34535-A)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WILSON SALES BELCHIOR - (CE17314-A)</w:t>
            </w:r>
          </w:p>
          <w:p>
            <w:pPr>
              <w:pStyle w:val="TableParagraph"/>
              <w:spacing w:line="215" w:lineRule="exact" w:before="0"/>
              <w:rPr>
                <w:sz w:val="20"/>
              </w:rPr>
            </w:pPr>
            <w:r>
              <w:rPr>
                <w:sz w:val="20"/>
              </w:rPr>
              <w:t>NELSON WILIANS FRATONI RODRIGUES - (CE16599-A)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0250295-12.2023.8.06.0001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LOURDES FRANCILINO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JOAQUIM MARQUES CAVALCANTE FILHO - (CE48472-A)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ASHLEY REID PORTO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0226405-15.2021.8.06.0001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0226405-15.2021.8.06.0001</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MARIO CESAR DAS NEVES NERY</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367"/>
              <w:rPr>
                <w:sz w:val="20"/>
              </w:rPr>
            </w:pPr>
            <w:r>
              <w:rPr>
                <w:sz w:val="20"/>
              </w:rPr>
              <w:t>GUSTAVO BORGES GONCALVES - (CE28821-A) FRANCISCO ROBERTO BARRETO DE AGUIAR -</w:t>
            </w:r>
            <w:r>
              <w:rPr>
                <w:spacing w:val="-17"/>
                <w:sz w:val="20"/>
              </w:rPr>
              <w:t> </w:t>
            </w:r>
            <w:r>
              <w:rPr>
                <w:sz w:val="20"/>
              </w:rPr>
              <w:t>(CE40376-A)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0246011-24.2024.8.06.0001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JOAQUIM ALVES MARINHO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171"/>
              <w:rPr>
                <w:sz w:val="20"/>
              </w:rPr>
            </w:pPr>
            <w:r>
              <w:rPr>
                <w:sz w:val="20"/>
              </w:rPr>
              <w:t>GUILHERME DE ARARIPE NOGUEIRA - (CE20519-A) LUANA CASTELO BRANCO PRADO - (CE22016-A)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3001474-11.2024.8.06.0053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Tarifas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DAS CHAGAS FERREIRA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05"/>
              <w:rPr>
                <w:sz w:val="20"/>
              </w:rPr>
            </w:pPr>
            <w:r>
              <w:rPr>
                <w:sz w:val="20"/>
              </w:rPr>
              <w:t>ZENILSON BRITO VERAS COELHO - (CE21746-A) JOAO VICTOR DA SILVA MONTEIRO - (CE49137-B)</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160"/>
              <w:rPr>
                <w:sz w:val="20"/>
              </w:rPr>
            </w:pPr>
            <w:r>
              <w:rPr>
                <w:sz w:val="20"/>
              </w:rPr>
              <w:t>SINDICATO NACIONAL DOS APOSENTADOS, PENSIONISTAS E IDOSOS DA FORCA SINDICAL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3013141-22.2025.8.06.0000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Expurgos Inflacionários / Planos Econômicos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RICARDO MAURICIO CORREIA DE ALMEIDA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3013141-22.2025.8.06.0000</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138"/>
              <w:rPr>
                <w:sz w:val="20"/>
              </w:rPr>
            </w:pPr>
            <w:r>
              <w:rPr>
                <w:sz w:val="20"/>
              </w:rPr>
              <w:t>JOSE NEWTON FREITAS FILHO - (CE15833-A) ORISMAR RODRIGUES DE AGUIAR - (CE32761-A) ELLEN FERNANDA LIMA FIGUEIREDO - (CE25055-A)</w:t>
            </w:r>
          </w:p>
          <w:p>
            <w:pPr>
              <w:pStyle w:val="TableParagraph"/>
              <w:spacing w:line="205" w:lineRule="exact" w:before="0"/>
              <w:rPr>
                <w:sz w:val="20"/>
              </w:rPr>
            </w:pPr>
            <w:r>
              <w:rPr>
                <w:sz w:val="20"/>
              </w:rPr>
              <w:t>FRANCISCO AUGUSTO CABRAL MONTE COELHO JUNIOR - (CE29818-A)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0205157-27.2023.8.06.0064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159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CLAUDIO LOPES COSTA LIMA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749"/>
              <w:rPr>
                <w:sz w:val="20"/>
              </w:rPr>
            </w:pPr>
            <w:r>
              <w:rPr>
                <w:sz w:val="20"/>
              </w:rPr>
              <w:t>THAIS DE MENDONCA ANGELONI - (CE25695-A) THYAGO MOREIRA ALEXANDRE IBIAPINA - (CE46532-A)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RONALDO NOGUEIRA SIMOES - (CE17801-A)</w:t>
            </w:r>
          </w:p>
          <w:p>
            <w:pPr>
              <w:pStyle w:val="TableParagraph"/>
              <w:spacing w:line="215" w:lineRule="exact" w:before="0"/>
              <w:rPr>
                <w:sz w:val="20"/>
              </w:rPr>
            </w:pPr>
            <w:r>
              <w:rPr>
                <w:sz w:val="20"/>
              </w:rPr>
              <w:t>JOAO VITOR CHAVES MARQUES DIAS - (CE30348-A)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0040116-62.2007.8.06.0001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Expurgos Inflacionários / Planos Econômicos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PAULO EDUARDO PRADO - (CE24314-A)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RAIMUNDO IVONILDO PINHEIRO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GUSTAVO HENRIQUE SILVA BORGES - (CE18590-A)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3025692-31.2025.8.06.0001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DAS GRACAS MENEZES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RONI FURTADO BORGO - (CE46072-A)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0002359-38.2013.8.06.0061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0002359-38.2013.8.06.0061</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Pagamento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INACIO ROSA BARREIRA - (CE8151-A)</w:t>
            </w:r>
          </w:p>
        </w:tc>
      </w:tr>
      <w:tr>
        <w:trPr>
          <w:trHeight w:val="8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416"/>
              <w:rPr>
                <w:sz w:val="20"/>
              </w:rPr>
            </w:pPr>
            <w:r>
              <w:rPr>
                <w:sz w:val="20"/>
              </w:rPr>
              <w:t>FRANCISCO CHARLY BRITO SAMPAIO LIDUINA MARIA BRITO SAMPAIO LUCIANO ROSENDO BRITO</w:t>
            </w:r>
          </w:p>
          <w:p>
            <w:pPr>
              <w:pStyle w:val="TableParagraph"/>
              <w:spacing w:line="205" w:lineRule="exact" w:before="0"/>
              <w:rPr>
                <w:sz w:val="20"/>
              </w:rPr>
            </w:pPr>
            <w:r>
              <w:rPr>
                <w:sz w:val="20"/>
              </w:rPr>
              <w:t>FRANCISCO ADEMAR DE ASSIS SAMPAIO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149"/>
              <w:rPr>
                <w:sz w:val="20"/>
              </w:rPr>
            </w:pPr>
            <w:r>
              <w:rPr>
                <w:sz w:val="20"/>
              </w:rPr>
              <w:t>JULIA GUEDES JALES DE CARVALHO - (CE26988-A) MAX DELANO DAMASCENO SOUZA - (CE21772-A)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0636605-14.2024.8.06.0000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C6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RAFAEL BARROSO FONTELLES - (RJ119910-A)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CRISTINA PELOSI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FONTENELE RODRIGUES ARAUJO - (CE28220-A)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3013567-34.2025.8.06.0000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MANOEL SEVERO DIAS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RAPHAEL AYRES DE MOURA CHAVES - (CE16077-A)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FELICIANO LYRA MOURA - (CE29481-A)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0637328-67.2023.8.06.0000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Correção Monetária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VALDECI LUIS DE SOUSA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0637328-67.2023.8.06.0000</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ROKYLANE GONCALVES BRASIL - (CE31058-A)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3010058-95.2025.8.06.0000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PASEP</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MARIO DOMINGOS DO NASCIMENTO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TULIO FRED CAVALCANTE DA SILVA - (CE53502-A)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3024192-27.2025.8.06.0001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SAFRA CREDITO, FINANCIAMENTO E INVESTIMENTO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BRAZ DA SILVA - (CE23747-S)</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ANTONIO FERREIRA DA SILVA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804"/>
              <w:rPr>
                <w:sz w:val="20"/>
              </w:rPr>
            </w:pPr>
            <w:r>
              <w:rPr>
                <w:sz w:val="20"/>
              </w:rPr>
              <w:t>DOMINIK BARROS BRITO FERREIRA - (CE37479-A) ANTONIO HELDER GUERRA LOBO FILHO - (CE42605-A)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0626842-86.2024.8.06.0000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JOSELI BRAGA DE CARVALHO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GABRIEL DINIZ DA COSTA - (RS63407-A)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3013633-14.2025.8.06.0000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169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3013633-14.2025.8.06.0000</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JOSE TEIXEIRA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RAPHAEL AYRES DE MOURA CHAVES - (CE16077-A)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BMG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3012778-35.2025.8.06.0000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 E. F. 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RAPHAEL AYRES DE MOURA CHAVES - (CE16077-A)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FACTA FINANCEIRA S.A. CREDITO, FINANCIAMENTO E INVESTIMENTO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3012823-39.2025.8.06.0000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BRADESCO VIDA E PREVIDENCIA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VICENTE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TYAGO BEZERRA DE SOUSA - (CE29533-A)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0621738-79.2025.8.06.0000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Tutela de Urgência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CRANIO COLUNA SERVIÇOS MÉDICOS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EVELYNE FROTA SILVA GUIMARAES - (CE43543-A)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COOPNEURO-COOP MED NEUR E NEUROCIRUGIOES DO CEARA LTDA</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071"/>
              <w:rPr>
                <w:sz w:val="20"/>
              </w:rPr>
            </w:pPr>
            <w:r>
              <w:rPr>
                <w:sz w:val="20"/>
              </w:rPr>
              <w:t>LUIZ GUILHERME GONCALVES GIRAO - (CE50099-A) CAMILLA GOES BARBOSA - (CE30136-A)</w:t>
            </w:r>
          </w:p>
          <w:p>
            <w:pPr>
              <w:pStyle w:val="TableParagraph"/>
              <w:spacing w:line="205" w:lineRule="exact" w:before="0"/>
              <w:rPr>
                <w:sz w:val="20"/>
              </w:rPr>
            </w:pPr>
            <w:r>
              <w:rPr>
                <w:sz w:val="20"/>
              </w:rPr>
              <w:t>MARIA IMACULADA GORDIANO OLIVEIRA BARBOSA - (CE8667-A)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0240462-04.2022.8.06.0001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EULINO DE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FELIPE CINTRA DE PAULA - (SP310440-A)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FELICIANO LYRA MOURA - (CE29481-A)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3000115-42.2025.8.06.0101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DILCA DA SILVA TAPERA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ROGER MADSON SILVEIRA MONTEIRO - (CE16177-A)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3000906-19.2025.8.06.0066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MARCIA DIAS DE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LUCAS FREITAS VIANA DINIZ - (CE27345-A)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NEI CALDERON - (CE33485-A)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0112310-74.2018.8.06.0001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Serviços de Saúde</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DANILO ROCHA DIAS</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FLAVIO CAVALCANTE - (CE9402-A)</w:t>
            </w:r>
          </w:p>
          <w:p>
            <w:pPr>
              <w:pStyle w:val="TableParagraph"/>
              <w:spacing w:line="200" w:lineRule="exact" w:before="0"/>
              <w:rPr>
                <w:sz w:val="20"/>
              </w:rPr>
            </w:pPr>
            <w:r>
              <w:rPr>
                <w:sz w:val="20"/>
              </w:rPr>
              <w:t>RICARDO CESAR VIEIRA MADEIRO - (CE17932-A)</w:t>
            </w:r>
          </w:p>
          <w:p>
            <w:pPr>
              <w:pStyle w:val="TableParagraph"/>
              <w:spacing w:line="215" w:lineRule="exact" w:before="0"/>
              <w:rPr>
                <w:sz w:val="20"/>
              </w:rPr>
            </w:pPr>
            <w:r>
              <w:rPr>
                <w:sz w:val="20"/>
              </w:rPr>
              <w:t>FRANCISCO CLAYTON PESSOA DE QUEIROZ MARINHO - (CE1551-A)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CAMILLA BEZERRA DANTAS</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0112310-74.2018.8.06.0001</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589"/>
              <w:rPr>
                <w:sz w:val="20"/>
              </w:rPr>
            </w:pPr>
            <w:r>
              <w:rPr>
                <w:sz w:val="20"/>
              </w:rPr>
              <w:t>HENRIQUE ANDRADE GIRAO - (CE24625-A) DAMIAO SOARES TENORIO - (CE26614-A) LARA GABRIELA OLIVEIRA MELO -</w:t>
            </w:r>
            <w:r>
              <w:rPr>
                <w:spacing w:val="-17"/>
                <w:sz w:val="20"/>
              </w:rPr>
              <w:t> </w:t>
            </w:r>
            <w:r>
              <w:rPr>
                <w:sz w:val="20"/>
              </w:rPr>
              <w:t>(CE54373-A)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0240897-12.2021.8.06.0001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DAYSE CAROLINE MOURA TEIXEIRA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DAYALESSON BEZERRA TORRES - (CE29634-A)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LEONARDO JOSEMAR DE ALMEIDA SENA</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DANIEL MAIA - (CE19409-A)</w:t>
            </w:r>
          </w:p>
          <w:p>
            <w:pPr>
              <w:pStyle w:val="TableParagraph"/>
              <w:spacing w:line="208" w:lineRule="auto" w:before="9"/>
              <w:ind w:right="2815"/>
              <w:rPr>
                <w:sz w:val="20"/>
              </w:rPr>
            </w:pPr>
            <w:r>
              <w:rPr>
                <w:sz w:val="20"/>
              </w:rPr>
              <w:t>RAFAELA HACHEM ALBUQUERQUE - (CE31232-A) ANGELICA MOTA CABRAL LIMA GUERRA - (CE24222-A)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3661"/>
              <w:rPr>
                <w:sz w:val="20"/>
              </w:rPr>
            </w:pPr>
            <w:r>
              <w:rPr>
                <w:sz w:val="20"/>
              </w:rPr>
              <w:t>MINISTERIO PUBLICO DO ESTADO DO CEARA 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3012497-76.2025.8.06.0001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IGOR DA CRUZ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JULIO WANDERSON MATOS BARBOSA - (PE50401-A)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0202364-97.2023.8.06.0070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179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AGIPLAN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DENNER DE BARROS E MASCARENHAS BARBOSA - (CE41218-A)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VALDEMIR UCHOA DOS SANTOS</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882"/>
              <w:rPr>
                <w:sz w:val="20"/>
              </w:rPr>
            </w:pPr>
            <w:r>
              <w:rPr>
                <w:sz w:val="20"/>
              </w:rPr>
              <w:t>FLAVIO BARBOZA MATOS - (CE28410-A) JESSICA ESTEVAM BARBOSA - (CE47125-A)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3006187-93.2024.8.06.0064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3006187-93.2024.8.06.0064</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CLEALDO MAVIGNIER ANDRADE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ALAN PEREIRA MOURAO - (CE21899-A)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VOTORANTIM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MOISES BATISTA DE SOUZA - (CE15474-A)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3061165-78.2025.8.06.0001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VOLKSWAGEN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ROBERTA BEATRIZ DO NASCIMENTO - (CE35179-A)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MAIKO FELIX CHAVES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SEFISA MANOELA CUNHA PINTO - (CE44604-A)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3044760-98.2024.8.06.0001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MARCOS HENRIQUE GOMES BRUNO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CLARA ALVES LEITE - (PI17944-A)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AYMORE CREDITO, FINANCIAMENTO E INVESTIMENTO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JORGE DONIZETI SANCHEZ - (SP73055-A)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0203065-24.2024.8.06.0167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AYMORE CREDITO, FINANCIAMENTO E INVESTIMENTO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FLAVIO NEVES COSTA - (SP153447-A)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MARIA DE FATIMA BATISTA DO NASCIMENTO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3011538-11.2025.8.06.0000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Assistência Judiciária Gratuita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ECMAR DEMETRIO MONTE COELHO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RODRIGO PORTELA OLIVEIRA - (CE24133-A)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0201194-95.2024.8.06.0154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ANTONIA SUERLENE DE ANDRADE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ROBSON NOGUEIRA LIMA FILHO - (CE21231-A)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HOEPERS RECUPERADORA DE CREDITO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3002345-95.2024.8.06.0035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MAYRA SERLEY BARRETO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BRUNO LUCAS DE OLIVEIRA - (PE31585-A)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1505"/>
              <w:rPr>
                <w:sz w:val="20"/>
              </w:rPr>
            </w:pPr>
            <w:r>
              <w:rPr>
                <w:sz w:val="20"/>
              </w:rPr>
              <w:t>NU FINANCEIRA S.A. - SOCIEDADE DE CREDITO, FINANCIAMENTO E INVESTIMENTO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182"/>
              <w:rPr>
                <w:sz w:val="20"/>
              </w:rPr>
            </w:pPr>
            <w:r>
              <w:rPr>
                <w:sz w:val="20"/>
              </w:rPr>
              <w:t>MARIA DO PERPETUO SOCORRO MAIA GOMES - (PE21449-A) FLAVIA PRESGRAVE BRUZDZENSKY - (BA14983-A)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0200259-68.2022.8.06.0043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BOA VISTA SERVICOS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LEONARDO DRUMOND GRUPPI - (SP163781-A)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JOSICLAUDO PEDRO DA SILVA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0200259-68.2022.8.06.0043</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0204482-59.2023.8.06.0001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238"/>
              <w:rPr>
                <w:sz w:val="20"/>
              </w:rPr>
            </w:pPr>
            <w:r>
              <w:rPr>
                <w:sz w:val="20"/>
              </w:rPr>
              <w:t>JOAO CARLOS VASCONCELOS DIAS PAULO WAGNER LINHARES LIMA FILHO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SEIKATSU EMPRESA DE INVESTIMENTOS IMOBILIARIOS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JOSERISSE HORTENCIO DOS SANTOS MAIA ALENCAR - (CE23981-A)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3015937-80.2025.8.06.0001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189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Cédula de Crédito Bancário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DO SOCORRO DA SILVEIRA GOMES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FERNANDO AUGUSTO DO LAGO ROMANO - (AM18747-A)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0142084-28.2013.8.06.0001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Compra e Venda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VITALSERVICE - CONSTRUCOES E SERVICOS LTDA</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MARCUS VINICIUS MESQUITA LIMA - (CE31487-A)</w:t>
            </w:r>
          </w:p>
          <w:p>
            <w:pPr>
              <w:pStyle w:val="TableParagraph"/>
              <w:spacing w:line="208" w:lineRule="auto" w:before="9"/>
              <w:ind w:right="1271"/>
              <w:rPr>
                <w:sz w:val="20"/>
              </w:rPr>
            </w:pPr>
            <w:r>
              <w:rPr>
                <w:sz w:val="20"/>
              </w:rPr>
              <w:t>PEDRO IVO MOREIRA DOS SANTOS CASTELLO BRANCO - (CE28693-A) JOAO DE DEUS DUARTE ROCHA FILHO - (CE25486-A)</w:t>
            </w:r>
          </w:p>
          <w:p>
            <w:pPr>
              <w:pStyle w:val="TableParagraph"/>
              <w:spacing w:line="205" w:lineRule="exact" w:before="0"/>
              <w:rPr>
                <w:sz w:val="20"/>
              </w:rPr>
            </w:pPr>
            <w:r>
              <w:rPr>
                <w:sz w:val="20"/>
              </w:rPr>
              <w:t>REGINA DUARTE ROCHA - (CE26222-A)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 V COMERCIO DE MATERIAL ELETRICO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BARBOSA DE PAULA PESSOA CAVALCANTE FILHO - (CE12585-A)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3007471-37.2024.8.06.0000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3007471-37.2024.8.06.0000</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MENSALIDADES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CONSELHO PAROQUIAL NOSSA SENHORA DE FATIMA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RENATO MOREIRA DE ABRANTES - (CE27159-A)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ALESSANDRA SANTOS LOPES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0011274-12.2015.8.06.0092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ODILA MACEDO FALCAO</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ROSA BEATRIZ MELO FALCAO - (CE27269-A)</w:t>
            </w:r>
          </w:p>
          <w:p>
            <w:pPr>
              <w:pStyle w:val="TableParagraph"/>
              <w:spacing w:line="208" w:lineRule="auto" w:before="9"/>
              <w:ind w:right="2438"/>
              <w:rPr>
                <w:sz w:val="20"/>
              </w:rPr>
            </w:pPr>
            <w:r>
              <w:rPr>
                <w:sz w:val="20"/>
              </w:rPr>
              <w:t>RAQUEL BOAVENTURA FALCAO HONORATO - (DF65855-A) FLAVIANO ACACIO MELO FALCAO - (CE9071-A)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Oseas Carneiro Portela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GONCALVES DE OLIVEIRA - (CE17994-A)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0000123-85.2019.8.06.0067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Retificação de Área de Imóvel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RICCARDO PESSAROSSI</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494"/>
              <w:rPr>
                <w:sz w:val="20"/>
              </w:rPr>
            </w:pPr>
            <w:r>
              <w:rPr>
                <w:sz w:val="20"/>
              </w:rPr>
              <w:t>VAGILA FROTA GOMES - (CE32947-A) RODRIGO GEAN SADE - (DF20875)</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Valderene Araujo de Carvalho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CARNEIRO PACHECO NETO - (CE42072-A)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0490127-88.2011.8.06.0001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Cheque</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ANDRE SOARES CARDOSO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016"/>
              <w:rPr>
                <w:sz w:val="20"/>
              </w:rPr>
            </w:pPr>
            <w:r>
              <w:rPr>
                <w:sz w:val="20"/>
              </w:rPr>
              <w:t>JOSE ALCY PINHEIRO NETO - (CE28290-A) RAFAEL FEITOSA BARRETO - (CE32739-A)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ANDRE CARDOSO CONSTRUCOES E IMOVEIS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MARIA FARIAS GOMES - (CE6756-A)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0490127-88.2011.8.06.0001</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0150992-98.2018.8.06.0001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COMPANHIA DE AGUA E ESGOTO DO CEARA CAGECE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FREVO BRASIL INDUSTRIA DE BEBIDAS LTDA - EM RECUPERACAO JUDICIAL</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38"/>
              <w:rPr>
                <w:sz w:val="20"/>
              </w:rPr>
            </w:pPr>
            <w:r>
              <w:rPr>
                <w:sz w:val="20"/>
              </w:rPr>
              <w:t>JOSE ERINALDO DANTAS FILHO - (CE11200-A) ADHARA SILVEIRA CAMILO - (CE23410-A)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0628257-07.2024.8.06.0000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DELFA INDUSTRIA E COM.DE ACESSORIOS DO VESTUARIO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IMACULADA GORDIANO OLIVEIRA BARBOSA - (CE8667-A)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SINDICATO DOS TRABALHADORES DA UFC ( SINTURFCE)</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DAYSE SUYANE SAMPAIO DO VALE - (CE24898-A)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0256546-17.2021.8.06.0001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Serviços Profissionais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ELEVADORES ATLAS SCHINDLER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ANDRE GUSTAVO SALVADOR KAUFFMAN - (SP168804-A)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CONDOMINIO EDIFICIO PARRAMALLA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38"/>
              <w:rPr>
                <w:sz w:val="20"/>
              </w:rPr>
            </w:pPr>
            <w:r>
              <w:rPr>
                <w:sz w:val="20"/>
              </w:rPr>
              <w:t>SARA BEZERRA MARTINS - (CE41368-A) FELIPE ANDERSON CELEDONIO - (CE33533-A)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0153990-73.2017.8.06.0001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0153990-73.2017.8.06.0001</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Compensação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P F E PROMOCOES &amp; REPRESENTACOES LTDA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004"/>
              <w:rPr>
                <w:sz w:val="20"/>
              </w:rPr>
            </w:pPr>
            <w:r>
              <w:rPr>
                <w:sz w:val="20"/>
              </w:rPr>
              <w:t>OSVALDO DE SOUSA ARAUJO FILHO - (CE5542-A) FILIPE AUTRAN CAVALCANTE ARAUJO - (CE23912-A)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0001720-38.2017.8.06.0042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199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MARILUCIA BEZERRA DE ALENCAR</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72"/>
              <w:rPr>
                <w:sz w:val="20"/>
              </w:rPr>
            </w:pPr>
            <w:r>
              <w:rPr>
                <w:sz w:val="20"/>
              </w:rPr>
              <w:t>DETINO DE SOUSA LINS NETO - (CE21304-A) WILSON TRAJANO TORRES NETO - (CE34985-A)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CARLOS ANTONIO COSTA DE ALENCAR</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GEOVANE BERNARDO DE FRANCA - (CE21179-A)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0194690-28.2016.8.06.0001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Dissolução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661"/>
              <w:rPr>
                <w:sz w:val="20"/>
              </w:rPr>
            </w:pPr>
            <w:r>
              <w:rPr>
                <w:sz w:val="20"/>
              </w:rPr>
              <w:t>MINISTERIO PUBLICO DO ESTADO DO CEARA RODRIGO BIELMA SANTOS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ROSA DO SOCORRO DA CONCEICAO MOREIRA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ARNALDO ROCHA BARROS - (CE34640)</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3015720-40.2025.8.06.0000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a Recurso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405"/>
              <w:rPr>
                <w:sz w:val="20"/>
              </w:rPr>
            </w:pPr>
            <w:r>
              <w:rPr>
                <w:sz w:val="20"/>
              </w:rPr>
              <w:t>ISAIAS DE SOUSA MORENO LEILA MORAES MORENO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ANDRE LUIS NEGREIROS DE ALMEIDA - (CE11911-A)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628"/>
              <w:rPr>
                <w:sz w:val="20"/>
              </w:rPr>
            </w:pPr>
            <w:r>
              <w:rPr>
                <w:sz w:val="20"/>
              </w:rPr>
              <w:t>BRUNA HELLEN PORTO DUTRA FREDERICO PINHEIRO RODRIGUES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NEWTON WANDEBERGH LOPES DUTRA - (DF63410-A)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0030195-65.2019.8.06.0096</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CARLI HOLANDA CAMELO SILVA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PAULO GEOVANIO LIMA FREITAS - (CE43960-A)</w:t>
            </w:r>
          </w:p>
          <w:p>
            <w:pPr>
              <w:pStyle w:val="TableParagraph"/>
              <w:spacing w:line="215" w:lineRule="exact" w:before="0"/>
              <w:rPr>
                <w:sz w:val="20"/>
              </w:rPr>
            </w:pPr>
            <w:r>
              <w:rPr>
                <w:sz w:val="20"/>
              </w:rPr>
              <w:t>AILTON OLIVEIRA DA SILVA CONCEICAO - (RJ221757-A)</w:t>
            </w:r>
          </w:p>
        </w:tc>
      </w:tr>
      <w:tr>
        <w:trPr>
          <w:trHeight w:val="10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6178"/>
              <w:rPr>
                <w:sz w:val="20"/>
              </w:rPr>
            </w:pPr>
            <w:r>
              <w:rPr>
                <w:sz w:val="20"/>
              </w:rPr>
              <w:t>Irene Goncalves Maria</w:t>
            </w:r>
            <w:r>
              <w:rPr>
                <w:spacing w:val="-18"/>
                <w:sz w:val="20"/>
              </w:rPr>
              <w:t> </w:t>
            </w:r>
            <w:r>
              <w:rPr>
                <w:sz w:val="20"/>
              </w:rPr>
              <w:t>Goncalves</w:t>
            </w:r>
          </w:p>
          <w:p>
            <w:pPr>
              <w:pStyle w:val="TableParagraph"/>
              <w:spacing w:line="208" w:lineRule="auto" w:before="0"/>
              <w:ind w:right="5527"/>
              <w:rPr>
                <w:sz w:val="20"/>
              </w:rPr>
            </w:pPr>
            <w:r>
              <w:rPr>
                <w:sz w:val="20"/>
              </w:rPr>
              <w:t>Pedro Eufrazino </w:t>
            </w:r>
            <w:r>
              <w:rPr>
                <w:spacing w:val="-3"/>
                <w:sz w:val="20"/>
              </w:rPr>
              <w:t>Sobrinho </w:t>
            </w:r>
            <w:r>
              <w:rPr>
                <w:sz w:val="20"/>
              </w:rPr>
              <w:t>Graca Guilherme</w:t>
            </w:r>
          </w:p>
          <w:p>
            <w:pPr>
              <w:pStyle w:val="TableParagraph"/>
              <w:spacing w:line="205" w:lineRule="exact" w:before="0"/>
              <w:rPr>
                <w:sz w:val="20"/>
              </w:rPr>
            </w:pPr>
            <w:r>
              <w:rPr>
                <w:sz w:val="20"/>
              </w:rPr>
              <w:t>Jorge Luiz Goncalves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CARLOS CATUNDA ESMERALDO - (CE30851-A)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0636987-75.2022.8.06.0000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 Resolução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IPIRANGA PRODUTOS DE PETROLEO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CATARINA BEZERRA ALVES - (PE29373-A)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BEATRIZ ANDRADE FEITOSA</w:t>
            </w:r>
          </w:p>
          <w:p>
            <w:pPr>
              <w:pStyle w:val="TableParagraph"/>
              <w:spacing w:line="215" w:lineRule="exact" w:before="0"/>
              <w:rPr>
                <w:sz w:val="20"/>
              </w:rPr>
            </w:pPr>
            <w:r>
              <w:rPr>
                <w:sz w:val="20"/>
              </w:rPr>
              <w:t>MAE RAINHA SERVICOS ADMINISTRATIVOS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3014353-78.2025.8.06.0000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Liminar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NEW HOUSE COMERCIO DE VEICULOS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ALEXANDRE GOIANA DE ANDRADE - (CE11160-A)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JUVENAL LINHARES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INACIO LINHARES - (CE16526-A)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0251071-46.2022.8.06.0001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Embargos de Terceiro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0251071-46.2022.8.06.0001</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CLEUDISIA MARIA MONTEIRO RIBEIRO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MICHELE NAIANE FERNANDES MARINHO - (CE34158-A)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Massa Falida Porto Freire</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49"/>
              <w:rPr>
                <w:sz w:val="20"/>
              </w:rPr>
            </w:pPr>
            <w:r>
              <w:rPr>
                <w:sz w:val="20"/>
              </w:rPr>
              <w:t>VALERIA PREVITERA DA SILVA - (CE11379-A) TAMIRES DE SOUSA SALGADO - (CE29486-A)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2827"/>
              <w:rPr>
                <w:sz w:val="20"/>
              </w:rPr>
            </w:pPr>
            <w:r>
              <w:rPr>
                <w:sz w:val="20"/>
              </w:rPr>
              <w:t>VALERIA PREVITERA ADMINISTRACAO JUDICIAL LTDA 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0278962-08.2023.8.06.0001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Inclusão Indevida em Cadastro de Inadimplentes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BENAIDE DE SOUSA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FERNANDO LEONEL DA SILVEIRA PEREIRA - (CE46009-A)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ALDAIRTON CARVALHO SOCIEDADE DE ADVOGADOS.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ALDAIRTON RIBEIRO CARVALHO JUNIOR - (CE16045-A)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0251146-56.2020.8.06.0001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Acidente de Trânsito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660"/>
              <w:rPr>
                <w:sz w:val="20"/>
              </w:rPr>
            </w:pPr>
            <w:r>
              <w:rPr>
                <w:sz w:val="20"/>
              </w:rPr>
              <w:t>GABRIELLA SARAIVA SANTOS LIMA ANTONIA SARAIVA LIMA</w:t>
            </w:r>
          </w:p>
          <w:p>
            <w:pPr>
              <w:pStyle w:val="TableParagraph"/>
              <w:spacing w:line="205" w:lineRule="exact" w:before="0"/>
              <w:rPr>
                <w:sz w:val="20"/>
              </w:rPr>
            </w:pPr>
            <w:r>
              <w:rPr>
                <w:sz w:val="20"/>
              </w:rPr>
              <w:t>MIRELLA SARAIVA SANTOS LIMA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ORLANDO MARTINS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ALFREDO CARNEIRO DE MORAIS - (CE37009-A)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0005117-68.2016.8.06.0001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Correção Monetária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849"/>
              <w:rPr>
                <w:sz w:val="20"/>
              </w:rPr>
            </w:pPr>
            <w:r>
              <w:rPr>
                <w:sz w:val="20"/>
              </w:rPr>
              <w:t>NELSON WILIANS FRATONI RODRIGUES - (CE16599-A) RAFAEL SGANZERLA DURAND - (CE24217-A)</w:t>
            </w:r>
          </w:p>
          <w:p>
            <w:pPr>
              <w:pStyle w:val="TableParagraph"/>
              <w:spacing w:line="205" w:lineRule="exact" w:before="0"/>
              <w:rPr>
                <w:sz w:val="20"/>
              </w:rPr>
            </w:pPr>
            <w:r>
              <w:rPr>
                <w:sz w:val="20"/>
              </w:rPr>
              <w:t>NEI CALDERON - (CE33485-A)</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0005117-68.2016.8.06.0001</w:t>
            </w:r>
          </w:p>
        </w:tc>
      </w:tr>
      <w:tr>
        <w:trPr>
          <w:trHeight w:val="1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927"/>
              <w:rPr>
                <w:sz w:val="20"/>
              </w:rPr>
            </w:pPr>
            <w:r>
              <w:rPr>
                <w:sz w:val="20"/>
              </w:rPr>
              <w:t>JOSE CLAUDIO INACIO DA SILVA ROSALVA INACIO DA SILVA</w:t>
            </w:r>
          </w:p>
          <w:p>
            <w:pPr>
              <w:pStyle w:val="TableParagraph"/>
              <w:spacing w:line="208" w:lineRule="auto" w:before="0"/>
              <w:ind w:right="4594"/>
              <w:rPr>
                <w:sz w:val="20"/>
              </w:rPr>
            </w:pPr>
            <w:r>
              <w:rPr>
                <w:sz w:val="20"/>
              </w:rPr>
              <w:t>MARIA ERIVAN ALVES DOS SANTOS OZORIO ALVES DANTAS</w:t>
            </w:r>
          </w:p>
          <w:p>
            <w:pPr>
              <w:pStyle w:val="TableParagraph"/>
              <w:spacing w:line="208" w:lineRule="auto" w:before="0"/>
              <w:ind w:right="5327"/>
              <w:rPr>
                <w:sz w:val="20"/>
              </w:rPr>
            </w:pPr>
            <w:r>
              <w:rPr>
                <w:sz w:val="20"/>
              </w:rPr>
              <w:t>ENEDINA INACIO DA SILVA JOSE GILBERTO DE MORAIS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CANDIDO ALEXANDRINO BARRETO NETO - (CE15519-A)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0000096-33.2004.8.06.0163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209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TEREZINHA PENHA DA COSTA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PEDRO CESAR MOURAO BEZERRA - (CE12989-A)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ANTONIO DE PADUA FILIZOLA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38"/>
              <w:rPr>
                <w:sz w:val="20"/>
              </w:rPr>
            </w:pPr>
            <w:r>
              <w:rPr>
                <w:sz w:val="20"/>
              </w:rPr>
              <w:t>PASCHOAL DE CASTRO ALVES - (CE18692-A) AMAILZA SOARES PAIVA - (CE2394-A)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0200443-11.2022.8.06.0112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UNIMED DO CE FED DAS COOP DE TRAB MED DO EST DO CE LTDA</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016"/>
              <w:rPr>
                <w:sz w:val="20"/>
              </w:rPr>
            </w:pPr>
            <w:r>
              <w:rPr>
                <w:sz w:val="20"/>
              </w:rPr>
              <w:t>VICTOR DE CARVALHO RODRIGUES - (CE33232-A) JOSE MENESCAL DE ANDRADE JUNIOR - (CE6018-A) JOAQUIM ROCHA DE LUCENA NETO - (CE16042-A) YAGO PINHEIRO DE VASCONCELOS - (CE43102-A)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CRISTINA QUEZADO SANTOS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PAOLO GIORGIO QUEZADO GURGEL E SILVA - (CE16629-A)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0757618-17.2000.8.06.0001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Despejo para Uso Próprio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ERNESTO MATOS GURGEL DO AMARAL</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ERNESTO MATOS GURGEL DO AMARAL - (CE5952)</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JAMIL ARY</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27"/>
              <w:rPr>
                <w:sz w:val="20"/>
              </w:rPr>
            </w:pPr>
            <w:r>
              <w:rPr>
                <w:sz w:val="20"/>
              </w:rPr>
              <w:t>GERMANO BOTELHO BELCHIOR - (CE12449-A) MARCOS ROBERTO ALVES - (CE24001-A)</w:t>
            </w:r>
          </w:p>
          <w:p>
            <w:pPr>
              <w:pStyle w:val="TableParagraph"/>
              <w:spacing w:line="208" w:lineRule="auto" w:before="0"/>
              <w:ind w:right="2760"/>
              <w:rPr>
                <w:sz w:val="20"/>
              </w:rPr>
            </w:pPr>
            <w:r>
              <w:rPr>
                <w:sz w:val="20"/>
              </w:rPr>
              <w:t>DANIELA NOGUEIRA DA SILVA PIMENTEL - (CE10856-A) JOSE RICARDO DE ARAUJO ANTUNES - (CE30872-A)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0757618-17.2000.8.06.0001</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0009666-26.2012.8.06.0175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Servidão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EOLICA FLEIXEIRAS I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PRISCILA LEITE ALVES PINTO - (SC12203)</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172"/>
              <w:rPr>
                <w:sz w:val="20"/>
              </w:rPr>
            </w:pPr>
            <w:r>
              <w:rPr>
                <w:sz w:val="20"/>
              </w:rPr>
              <w:t>TEREZINHA DE JESUS MUNIZ FERREIRA JOAO BOSCO FERREIRA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ABEL CARLOS DE SOUSA - (CE26114-A)</w:t>
            </w:r>
          </w:p>
          <w:p>
            <w:pPr>
              <w:pStyle w:val="TableParagraph"/>
              <w:spacing w:line="215" w:lineRule="exact" w:before="0"/>
              <w:rPr>
                <w:sz w:val="20"/>
              </w:rPr>
            </w:pPr>
            <w:r>
              <w:rPr>
                <w:sz w:val="20"/>
              </w:rPr>
              <w:t>JEFERSON CAVALCANTE DE LUCENA - (CE18340-A)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0625860-09.2023.8.06.0000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Penhora / Depósito/ Avaliação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TV SOBRAL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BEATRIZ CHAVES BITTENCOURT DE ALBUQUERQUE - (CE44118-A)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716"/>
              <w:rPr>
                <w:sz w:val="20"/>
              </w:rPr>
            </w:pPr>
            <w:r>
              <w:rPr>
                <w:sz w:val="20"/>
              </w:rPr>
              <w:t>CLEANE FONTENELE GOMES AGENCIA LTDA ANTONIO EDINO GOMES COUTINHO</w:t>
            </w:r>
          </w:p>
          <w:p>
            <w:pPr>
              <w:pStyle w:val="TableParagraph"/>
              <w:spacing w:line="205" w:lineRule="exact" w:before="0"/>
              <w:rPr>
                <w:sz w:val="20"/>
              </w:rPr>
            </w:pPr>
            <w:r>
              <w:rPr>
                <w:sz w:val="20"/>
              </w:rPr>
              <w:t>CLEANE FONTINELE GOMES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JOSE FERREIRA LIMA - (CE8840-A)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0218779-76.2020.8.06.0001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Perdas e Danos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SJ ADMINISTRACAO DE IMOVEIS LTDA</w:t>
            </w:r>
          </w:p>
        </w:tc>
      </w:tr>
      <w:tr>
        <w:trPr>
          <w:trHeight w:val="1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22"/>
              <w:rPr>
                <w:sz w:val="20"/>
              </w:rPr>
            </w:pPr>
            <w:r>
              <w:rPr>
                <w:sz w:val="20"/>
              </w:rPr>
              <w:t>LUISA FONTENELE FERREIRA HILUY - (CE51137) CAIO ITALO DA SILVA ALVES - (CE44547-A) LARA COSTA DE ALMEIDA - (CE18775-A) EDUARDO GUEDES BRAGA - (CE31324-A) MARCELO VICTOR DE SOUSA - (CE23085-A)</w:t>
            </w:r>
          </w:p>
          <w:p>
            <w:pPr>
              <w:pStyle w:val="TableParagraph"/>
              <w:spacing w:line="208" w:lineRule="auto" w:before="0"/>
              <w:ind w:right="2438"/>
              <w:rPr>
                <w:sz w:val="20"/>
              </w:rPr>
            </w:pPr>
            <w:r>
              <w:rPr>
                <w:sz w:val="20"/>
              </w:rPr>
              <w:t>FRANCISCO WELVIO URBANO CAVALCANTE - (CE14814-A) LIA AVILA DIOGO MATOS - (CE45679)</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927"/>
              <w:rPr>
                <w:sz w:val="20"/>
              </w:rPr>
            </w:pPr>
            <w:r>
              <w:rPr>
                <w:sz w:val="20"/>
              </w:rPr>
              <w:t>JORGE ARY FILHO EVELINE DE LIMA ARY</w:t>
            </w:r>
          </w:p>
          <w:p>
            <w:pPr>
              <w:pStyle w:val="TableParagraph"/>
              <w:spacing w:line="205" w:lineRule="exact" w:before="0"/>
              <w:rPr>
                <w:sz w:val="20"/>
              </w:rPr>
            </w:pPr>
            <w:r>
              <w:rPr>
                <w:sz w:val="20"/>
              </w:rPr>
              <w:t>ANA MARIA JEREISSATI ARY MENDES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0274126-89.2023.8.06.0001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CLAUDIO JOSE LIMA DE CASTRO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FRANCISCO GLAUBE MOREIRA PRADO - (CE29785-A)</w:t>
            </w:r>
          </w:p>
          <w:p>
            <w:pPr>
              <w:pStyle w:val="TableParagraph"/>
              <w:spacing w:line="215" w:lineRule="exact" w:before="0"/>
              <w:rPr>
                <w:sz w:val="20"/>
              </w:rPr>
            </w:pPr>
            <w:r>
              <w:rPr>
                <w:sz w:val="20"/>
              </w:rPr>
              <w:t>SAMARA COSTA VIANA ALCOFORADO DE FIGUEIREDO - (CE40115-A)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361"/>
              <w:rPr>
                <w:sz w:val="20"/>
              </w:rPr>
            </w:pPr>
            <w:r>
              <w:rPr>
                <w:sz w:val="20"/>
              </w:rPr>
              <w:t>REGINALDO MARTINS DOS SANTOS MARIA JOSE FELIZARDA DOS SANTOS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TELES BEZERRA JUNIOR - (CE25238-A)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3013117-91.2025.8.06.0000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Depósito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RODRIGO COIFMAN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LUCAS NOBRE DE MELO - (CE51786-A)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HRH FORTALEZA EMPREENDIMENTO HOTELEIRO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MARIANA DIAS DA SILVA SANTOS - (CE25742-A)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0201415-39.2024.8.06.0167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Acidente de Trânsito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FTL - FERROVIA TRANSNORDESTINA LOGISTICA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JULIANA DE ABREU TEIXEIRA - (CE13463-A)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LEANDRO MOREIRA LIBERATO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FABIO VASCONCELOS MARQUES - (CE49904-A)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0101652-88.2018.8.06.0001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ECO + SERVICOS AMBIENTAIS E IMOBILIARIA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RAUL AMARAL JUNIOR - (CE13371-S)</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TARCILENE MARIA ALMEIDA DOS ANJOS</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0101652-88.2018.8.06.0001</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WESLEY VIEIRA DA SILVA - (CE31513-A)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0767620-46.2000.8.06.0001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219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Interpretação / Revisão de Contrato</w:t>
            </w:r>
          </w:p>
        </w:tc>
      </w:tr>
      <w:tr>
        <w:trPr>
          <w:trHeight w:val="8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616"/>
              <w:rPr>
                <w:sz w:val="20"/>
              </w:rPr>
            </w:pPr>
            <w:r>
              <w:rPr>
                <w:sz w:val="20"/>
              </w:rPr>
              <w:t>Maria Ignez Lima Gomes Nilo Sergio Holanda Gomes</w:t>
            </w:r>
          </w:p>
          <w:p>
            <w:pPr>
              <w:pStyle w:val="TableParagraph"/>
              <w:spacing w:line="190" w:lineRule="exact" w:before="0"/>
              <w:rPr>
                <w:sz w:val="20"/>
              </w:rPr>
            </w:pPr>
            <w:r>
              <w:rPr>
                <w:sz w:val="20"/>
              </w:rPr>
              <w:t>Nilo Sergio Holanda Gomes Filho</w:t>
            </w:r>
          </w:p>
          <w:p>
            <w:pPr>
              <w:pStyle w:val="TableParagraph"/>
              <w:spacing w:line="215" w:lineRule="exact" w:before="0"/>
              <w:rPr>
                <w:sz w:val="20"/>
              </w:rPr>
            </w:pPr>
            <w:r>
              <w:rPr>
                <w:sz w:val="20"/>
              </w:rPr>
              <w:t>Lima Gomes Industria, Comercio e Representacoes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RACHEL PHILOMENO GOMES CAVALCANTI - (CE12083-A)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NORDESTE DO BRASIL SA</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327"/>
              <w:rPr>
                <w:sz w:val="20"/>
              </w:rPr>
            </w:pPr>
            <w:r>
              <w:rPr>
                <w:sz w:val="20"/>
              </w:rPr>
              <w:t>LUIS FERREIRA DE MORAES FILHO - (CE16243-A) SOLANA MARIA MARTINS CARMO - (CE6972-A) CATERINE DE HOLANDA BARROSO - (CE13806-A) FLAVIA HOLANDA DUARTE - (CE17798-A)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0287070-94.2021.8.06.0001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Prestação de Serviços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Q1 COMERCIAL DE ROUPAS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PEDRO AMARAL SALLES - (SP211548-A)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105"/>
              <w:rPr>
                <w:sz w:val="20"/>
              </w:rPr>
            </w:pPr>
            <w:r>
              <w:rPr>
                <w:sz w:val="20"/>
              </w:rPr>
              <w:t>BG ANCAR EMPREENDIMENTOS IMOBILIARIOS S.A. INTER EMPREENDIMENTOS IMOBILIARIOS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CAIO ITALO DA SILVA ALVES - (CE44547-A)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0636252-08.2023.8.06.0000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MWN COMERCIAL DE ALIMENTOS LTDA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948"/>
              <w:rPr>
                <w:sz w:val="20"/>
              </w:rPr>
            </w:pPr>
            <w:r>
              <w:rPr>
                <w:sz w:val="20"/>
              </w:rPr>
              <w:t>Nelson Bruno do Rego Valença - (CE15783-A) MARCIO RAFAEL GAZZINEO - (CE23495-A) DANIEL CIDRAO FROTA - (CE19976-A)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LOTERIA PONTO DA SORTE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516"/>
              <w:rPr>
                <w:sz w:val="20"/>
              </w:rPr>
            </w:pPr>
            <w:r>
              <w:rPr>
                <w:sz w:val="20"/>
              </w:rPr>
              <w:t>DAVID FARIAS ARAGAO PEREIRA - (CE22118-A) KATARINA LANDIM DE SOUZA - (CE43374-A)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0200601-90.2023.8.06.0028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Reconhecimento / Dissolução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VILANI DOS SANTOS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271"/>
              <w:rPr>
                <w:sz w:val="20"/>
              </w:rPr>
            </w:pPr>
            <w:r>
              <w:rPr>
                <w:sz w:val="20"/>
              </w:rPr>
              <w:t>MANOEL JUNIOR RIBEIRO - (CE37185-A) EMANUELLY NASCIMENTO RIBEIRO - (CE29858-A)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Raimundo Joaquim do Nascimento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RAIMUNDO JOVINIANO LOURENCO JUNIOR - (CE46368-A)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0149484-88.2016.8.06.0001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DA LUZ DE PINA TAVARES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YDUQS EDUCACIONAL LTDA.</w:t>
            </w:r>
          </w:p>
        </w:tc>
      </w:tr>
      <w:tr>
        <w:trPr>
          <w:trHeight w:val="1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82"/>
              <w:rPr>
                <w:sz w:val="20"/>
              </w:rPr>
            </w:pPr>
            <w:r>
              <w:rPr>
                <w:sz w:val="20"/>
              </w:rPr>
              <w:t>Nelson Bruno do Rego Valença - (CE15783-A) MARCIO RAFAEL GAZZINEO - (CE23495-A) DANIEL CIDRAO FROTA - (CE19976-A) ANDRE RODRIGUES PARENTE - (CE15785-A)</w:t>
            </w:r>
          </w:p>
          <w:p>
            <w:pPr>
              <w:pStyle w:val="TableParagraph"/>
              <w:spacing w:line="208" w:lineRule="auto" w:before="0"/>
              <w:ind w:right="2905"/>
              <w:rPr>
                <w:sz w:val="20"/>
              </w:rPr>
            </w:pPr>
            <w:r>
              <w:rPr>
                <w:sz w:val="20"/>
              </w:rPr>
              <w:t>ANTONIO DE MORAES DOURADO NETO - (PE23255-A) GILVAN MELO SOUSA - (CE16383-A)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0129226-52.2019.8.06.0001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Partilha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VICTOR CAMARAO PORTO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627"/>
              <w:rPr>
                <w:sz w:val="20"/>
              </w:rPr>
            </w:pPr>
            <w:r>
              <w:rPr>
                <w:sz w:val="20"/>
              </w:rPr>
              <w:t>GUILHERME CAMARAO PORTO - (CE27489-A) DENISE LAGE BEZERRA WEYNE - (CE18934-A)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VIVIANNE TREVIA MIRANDA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445"/>
              <w:rPr>
                <w:sz w:val="20"/>
              </w:rPr>
            </w:pPr>
            <w:r>
              <w:rPr>
                <w:sz w:val="20"/>
              </w:rPr>
              <w:t>TALITHA COSTA SOUZA - (CE36565-A) NATHALIA ROBERTO GONCALVES -</w:t>
            </w:r>
            <w:r>
              <w:rPr>
                <w:spacing w:val="-17"/>
                <w:sz w:val="20"/>
              </w:rPr>
              <w:t> </w:t>
            </w:r>
            <w:r>
              <w:rPr>
                <w:sz w:val="20"/>
              </w:rPr>
              <w:t>(CE31432-A)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0013380-26.2017.8.06.0043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0013380-26.2017.8.06.0043</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Seguro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261"/>
              <w:rPr>
                <w:sz w:val="20"/>
              </w:rPr>
            </w:pPr>
            <w:r>
              <w:rPr>
                <w:sz w:val="20"/>
              </w:rPr>
              <w:t>ANTONINA DE LUNA RIBEIRO ANTONIO JOAQUIM RIBEIRO</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371"/>
              <w:rPr>
                <w:sz w:val="20"/>
              </w:rPr>
            </w:pPr>
            <w:r>
              <w:rPr>
                <w:sz w:val="20"/>
              </w:rPr>
              <w:t>PAOLO GIORGIO QUEZADO GURGEL E SILVA - (CE16629-A) SERGIO QUEZADO GURGEL E SILVA - (CE28561-A) MARILENE GONCALVES DE ALENCAR - (CE9466-A)</w:t>
            </w:r>
          </w:p>
          <w:p>
            <w:pPr>
              <w:pStyle w:val="TableParagraph"/>
              <w:spacing w:line="205" w:lineRule="exact" w:before="0"/>
              <w:rPr>
                <w:sz w:val="20"/>
              </w:rPr>
            </w:pPr>
            <w:r>
              <w:rPr>
                <w:sz w:val="20"/>
              </w:rPr>
              <w:t>MARIA DO SOCORRO DE LUNA - (CE9470-A)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COMPANHIA DE SEGUROS ALIANCA DO BRASIL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Thiago Caldas Leal, CRM/CE 10498, (caldasleal@gmail.com)</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0237324-29.2022.8.06.0001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Reconhecimento / Dissolução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Rosineide Arruda Cavalcante</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304"/>
              <w:rPr>
                <w:sz w:val="20"/>
              </w:rPr>
            </w:pPr>
            <w:r>
              <w:rPr>
                <w:sz w:val="20"/>
              </w:rPr>
              <w:t>MARIA DAS DORES GONCALVES CAVALCANTE - (CE6070-A) LUIS ATILA DE HOLANDA BEZERRA FILHO - (CE20694-A)</w:t>
            </w:r>
          </w:p>
        </w:tc>
      </w:tr>
      <w:tr>
        <w:trPr>
          <w:trHeight w:val="8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916"/>
              <w:rPr>
                <w:sz w:val="20"/>
              </w:rPr>
            </w:pPr>
            <w:r>
              <w:rPr>
                <w:sz w:val="20"/>
              </w:rPr>
              <w:t>ROSANE MARIA GUTERRES SANTANA ROSELENI MARIA GUTERRES </w:t>
            </w:r>
            <w:r>
              <w:rPr>
                <w:spacing w:val="-3"/>
                <w:sz w:val="20"/>
              </w:rPr>
              <w:t>SANTANA </w:t>
            </w:r>
            <w:r>
              <w:rPr>
                <w:sz w:val="20"/>
              </w:rPr>
              <w:t>RAFAEL DANTAS SANTANA</w:t>
            </w:r>
          </w:p>
          <w:p>
            <w:pPr>
              <w:pStyle w:val="TableParagraph"/>
              <w:spacing w:line="205" w:lineRule="exact" w:before="0"/>
              <w:rPr>
                <w:sz w:val="20"/>
              </w:rPr>
            </w:pPr>
            <w:r>
              <w:rPr>
                <w:sz w:val="20"/>
              </w:rPr>
              <w:t>DANIEL DANTAS SANTANA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582"/>
              <w:rPr>
                <w:sz w:val="20"/>
              </w:rPr>
            </w:pPr>
            <w:r>
              <w:rPr>
                <w:sz w:val="20"/>
              </w:rPr>
              <w:t>LUIS CLAUDIO ALVES DE SOUZA - (CE44793-A) ELIZABELLE DE ARAUJO DIAS - (CE45658-A)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3004591-38.2025.8.06.0000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MOZARLAILE ANTUNES CACIQUE LACERDA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RICARDO FERREIRA VALENTE - (CE6433-A)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CARFLEX COMERCIO DE VEICULOS LTDA</w:t>
            </w:r>
          </w:p>
          <w:p>
            <w:pPr>
              <w:pStyle w:val="TableParagraph"/>
              <w:spacing w:line="215" w:lineRule="exact" w:before="0"/>
              <w:rPr>
                <w:sz w:val="20"/>
              </w:rPr>
            </w:pPr>
            <w:r>
              <w:rPr>
                <w:sz w:val="20"/>
              </w:rPr>
              <w:t>MARIA ALDENIZIA NOGUEIRA FRANCA HOLANDA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PAULO GERMANO AUTRAN NUNES DE MESQUITA - (CE18964-A)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0638386-08.2023.8.06.0000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Responsabilidade dos sócios e administradores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ENOCH BRASIL DE MATOS NETO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0638386-08.2023.8.06.0000</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160"/>
              <w:rPr>
                <w:sz w:val="20"/>
              </w:rPr>
            </w:pPr>
            <w:r>
              <w:rPr>
                <w:sz w:val="20"/>
              </w:rPr>
              <w:t>ADEMAR MENDES BEZERRA JUNIOR - (CE15786-A) ALINE DE MATOS MENDES BEZERRA - (CE14852-A)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FAUSTO JOSE MADEIRA ALVES</w:t>
            </w:r>
          </w:p>
          <w:p>
            <w:pPr>
              <w:pStyle w:val="TableParagraph"/>
              <w:spacing w:line="215" w:lineRule="exact" w:before="0"/>
              <w:rPr>
                <w:sz w:val="20"/>
              </w:rPr>
            </w:pPr>
            <w:r>
              <w:rPr>
                <w:sz w:val="20"/>
              </w:rPr>
              <w:t>JUNTA COMERCIAL DO ESTADO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0384459-65.2010.8.06.0001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229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BerJ</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SANDRA MARIA PINTO MONTEIRO E SILVA</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216"/>
              <w:rPr>
                <w:sz w:val="20"/>
              </w:rPr>
            </w:pPr>
            <w:r>
              <w:rPr>
                <w:sz w:val="20"/>
              </w:rPr>
              <w:t>CARLOS ALBERTO TORRENS - (CE6214) RAFAEL LEITE TORRENS - (CE18956-A) JOYCE LEITE TORRENS - (CE9839)</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0282721-77.2023.8.06.0001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Pagamento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NAIR BATISTA LIMA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 JOSE RABELO AMARAL LIMA - (CE6606-A)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RUBERVAL ARRUDA FILHO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3017454-26.2025.8.06.0000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Inventário e Partilha</w:t>
            </w:r>
          </w:p>
        </w:tc>
      </w:tr>
      <w:tr>
        <w:trPr>
          <w:trHeight w:val="8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838"/>
              <w:rPr>
                <w:sz w:val="20"/>
              </w:rPr>
            </w:pPr>
            <w:r>
              <w:rPr>
                <w:sz w:val="20"/>
              </w:rPr>
              <w:t>MARIA DO SOCORRO RIBEIRO MEDEIROS PAULA CRISTINA RIBEIRO MEDEIROS CRUZ PAULA VALERIA RIBEIRO MEDEIROS CRUZ PAULA DAMISARY RIBEIRO MEDEIROS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BRENDA JORDANA LOBATO ARAUJO TEIXEIRA - (RN14389-A)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749"/>
              <w:rPr>
                <w:sz w:val="20"/>
              </w:rPr>
            </w:pPr>
            <w:r>
              <w:rPr>
                <w:sz w:val="20"/>
              </w:rPr>
              <w:t>PAULA TATIANA RIBEIRO MEDEIROS FREIRE VICENTE DE PAULO RIBEIRO MEDEIROS</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838"/>
              <w:rPr>
                <w:sz w:val="20"/>
              </w:rPr>
            </w:pPr>
            <w:r>
              <w:rPr>
                <w:sz w:val="20"/>
              </w:rPr>
              <w:t>ANDREA BEZERRA DE MEDEIROS MELO - (CE43781-A) KILVIA MICHELA DE CASTRO SILVA - (CE34481-A)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3017454-26.2025.8.06.0000</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4516"/>
              <w:rPr>
                <w:sz w:val="20"/>
              </w:rPr>
            </w:pPr>
            <w:r>
              <w:rPr>
                <w:sz w:val="20"/>
              </w:rPr>
              <w:t>ELZA BEZERRA DE MEDEIROS MELO KILVIA MICHELA DE CASTRO SILVA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0009003-22.2011.8.06.0043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Reivindicação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Orlando Sampaio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905"/>
              <w:rPr>
                <w:sz w:val="20"/>
              </w:rPr>
            </w:pPr>
            <w:r>
              <w:rPr>
                <w:sz w:val="20"/>
              </w:rPr>
              <w:t>JONAS VIANA DUARTE - (CE3025-A) RICARDO FERREIRA VALENTE - (CE6433-A)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VIANA NETO</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104"/>
              <w:rPr>
                <w:sz w:val="20"/>
              </w:rPr>
            </w:pPr>
            <w:r>
              <w:rPr>
                <w:sz w:val="20"/>
              </w:rPr>
              <w:t>DANILO BRINGEL SAMPAIO - (CE33248-A) JOAO HONORATO NETO - (CE3848-A)</w:t>
            </w:r>
          </w:p>
          <w:p>
            <w:pPr>
              <w:pStyle w:val="TableParagraph"/>
              <w:spacing w:line="205" w:lineRule="exact" w:before="0"/>
              <w:rPr>
                <w:sz w:val="20"/>
              </w:rPr>
            </w:pPr>
            <w:r>
              <w:rPr>
                <w:sz w:val="20"/>
              </w:rPr>
              <w:t>CINTIA VIEIRA PEREIRA BRINGEL - (CE20569-A)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JOSE DE ARIMATEA MARTINS JUNIOR</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3006305-67.2024.8.06.0000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Ausência de Bens Penhoráveis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PINHEIRO LANDIM</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JOAO REGIS PONTES REGO - (CE6105-A)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JOAQUIM DE SOUSA BASTOS</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271"/>
              <w:rPr>
                <w:sz w:val="20"/>
              </w:rPr>
            </w:pPr>
            <w:r>
              <w:rPr>
                <w:sz w:val="20"/>
              </w:rPr>
              <w:t>FULVIO EMERSON GONCALVES CAVALCANTE - (CE13094-A) DHIEGO GONCALVES CAVALCANTE - (CE23883-A)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0639244-39.2023.8.06.0000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Bloqueio / Desbloqueio de Valores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Alvoar Lacteos Nordeste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RAUL AMARAL JUNIOR - (CE13371-S)</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ERQUIVALDO JOSE SEVERO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LUIS GONZAGA FERNANDES NETO - (CE20629-A)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3006282-87.2025.8.06.0000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3006282-87.2025.8.06.0000</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Cumprimento Provisório de Sentença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ISLAH VIDAL DOS SANTOS</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160"/>
              <w:rPr>
                <w:sz w:val="20"/>
              </w:rPr>
            </w:pPr>
            <w:r>
              <w:rPr>
                <w:sz w:val="20"/>
              </w:rPr>
              <w:t>CICERO DAVI SILVA BRITO - (CE36613-A) MARINA MACHADO VIEIRA - (CE27026-A)</w:t>
            </w:r>
          </w:p>
          <w:p>
            <w:pPr>
              <w:pStyle w:val="TableParagraph"/>
              <w:spacing w:line="205" w:lineRule="exact" w:before="0"/>
              <w:rPr>
                <w:sz w:val="20"/>
              </w:rPr>
            </w:pPr>
            <w:r>
              <w:rPr>
                <w:sz w:val="20"/>
              </w:rPr>
              <w:t>RAIMUNDO IVAN ARAUJO DE SOUSA JUNIOR - (CE36612-A)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138"/>
              <w:rPr>
                <w:sz w:val="20"/>
              </w:rPr>
            </w:pPr>
            <w:r>
              <w:rPr>
                <w:sz w:val="20"/>
              </w:rPr>
              <w:t>DJALMA PEREIRA MENDES ANTONIA SILVESTRE MENDES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LEOPOLDO MARTINS FILHO - (CE10129-A)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3020252-54.2025.8.06.0001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HRH FORTALEZA EMPREENDIMENTO HOTELEIRO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MARIANA DIAS DA SILVA SANTOS - (CE25742-A)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138"/>
              <w:rPr>
                <w:sz w:val="20"/>
              </w:rPr>
            </w:pPr>
            <w:r>
              <w:rPr>
                <w:sz w:val="20"/>
              </w:rPr>
              <w:t>MIGUEL ARCHANJO DE JESUS EMANUELA DE LIMA MOITA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RACAN TAUAN BEZERRA AGUIAR - (CE43346-A)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0266785-46.2022.8.06.0001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NEIRES DA SILVA MARQUES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TEREZINHA BENTO DE OLIVEIRA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CHARLES LUCAS DIAS - (CE35143-A)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0000033-78.2010.8.06.0104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Reivindicação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MATIAS RIBEIRO DE ARAUJO FILHO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GERALDO MAGELA RIOS FILHO - (CE8400-A)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694"/>
              <w:rPr>
                <w:sz w:val="20"/>
              </w:rPr>
            </w:pPr>
            <w:r>
              <w:rPr>
                <w:sz w:val="20"/>
              </w:rPr>
              <w:t>ANA CELIA DA CUNHA VERAS RAIMUNDO VASCONCELOS VERAS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LEA MONT ALVERNE DE BARROS ALBUQUERQUE - (CE29876-A)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0000033-78.2010.8.06.0104</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0005936-82.2014.8.06.0095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239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Causas Supervenientes à Sentença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NILCILENE SABOYA FERNANDES MELO</w:t>
            </w:r>
          </w:p>
        </w:tc>
      </w:tr>
      <w:tr>
        <w:trPr>
          <w:trHeight w:val="10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1871"/>
              <w:rPr>
                <w:sz w:val="20"/>
              </w:rPr>
            </w:pPr>
            <w:r>
              <w:rPr>
                <w:sz w:val="20"/>
              </w:rPr>
              <w:t>JOSE RUBENS DE FIGUEIREDO CORREIA FONTES - (CE19088-A) EVELINE ALMEIDA SANTOS - (CE20326)</w:t>
            </w:r>
          </w:p>
          <w:p>
            <w:pPr>
              <w:pStyle w:val="TableParagraph"/>
              <w:spacing w:line="208" w:lineRule="auto" w:before="0"/>
              <w:ind w:right="3982"/>
              <w:rPr>
                <w:sz w:val="20"/>
              </w:rPr>
            </w:pPr>
            <w:r>
              <w:rPr>
                <w:sz w:val="20"/>
              </w:rPr>
              <w:t>REBECCA ARAUJO ROSA - (CE36137-A) VALDIMIRO VIEIRA DA SILVA - (CE24331-A)</w:t>
            </w:r>
          </w:p>
          <w:p>
            <w:pPr>
              <w:pStyle w:val="TableParagraph"/>
              <w:spacing w:line="205" w:lineRule="exact" w:before="0"/>
              <w:rPr>
                <w:sz w:val="20"/>
              </w:rPr>
            </w:pPr>
            <w:r>
              <w:rPr>
                <w:sz w:val="20"/>
              </w:rPr>
              <w:t>ROBSON HALLEY COSTA RODRIGUES - (CE27422-A)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0227943-26.2024.8.06.0001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071"/>
              <w:rPr>
                <w:sz w:val="20"/>
              </w:rPr>
            </w:pPr>
            <w:r>
              <w:rPr>
                <w:sz w:val="20"/>
              </w:rPr>
              <w:t>ACADEMIA GREEN LIFE LTDA - EPP MARIA MANUELA MACHADO VAN BELLEN</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204"/>
              <w:rPr>
                <w:sz w:val="20"/>
              </w:rPr>
            </w:pPr>
            <w:r>
              <w:rPr>
                <w:sz w:val="20"/>
              </w:rPr>
              <w:t>JOSE WALECE DA SILVA VERISSIMO - (CE53390-A) JOSE WALECE DA SILVA VERISSIMO - (CE53390-A)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071"/>
              <w:rPr>
                <w:sz w:val="20"/>
              </w:rPr>
            </w:pPr>
            <w:r>
              <w:rPr>
                <w:sz w:val="20"/>
              </w:rPr>
              <w:t>MARIA MANUELA MACHADO VAN BELLEN ACADEMIA GREEN LIFE LTDA - EPP</w:t>
            </w:r>
          </w:p>
        </w:tc>
      </w:tr>
      <w:tr>
        <w:trPr>
          <w:trHeight w:val="1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393"/>
              <w:rPr>
                <w:sz w:val="20"/>
              </w:rPr>
            </w:pPr>
            <w:r>
              <w:rPr>
                <w:sz w:val="20"/>
              </w:rPr>
              <w:t>HENRIQUE GONCALVES DE LAVOR NETO - (CE12512-A) MURILO FIGUEIREDO OLIVEIRA GONÇALVES - (CE27833-A) WILLIANE GOMES PONTES IBIAPINA - (CE12538-A)</w:t>
            </w:r>
          </w:p>
          <w:p>
            <w:pPr>
              <w:pStyle w:val="TableParagraph"/>
              <w:spacing w:line="190" w:lineRule="exact" w:before="0"/>
              <w:rPr>
                <w:sz w:val="20"/>
              </w:rPr>
            </w:pPr>
            <w:r>
              <w:rPr>
                <w:sz w:val="20"/>
              </w:rPr>
              <w:t>RAFAEL GONCALVES MOTA - (CE14068-A)</w:t>
            </w:r>
          </w:p>
          <w:p>
            <w:pPr>
              <w:pStyle w:val="TableParagraph"/>
              <w:spacing w:line="208" w:lineRule="auto" w:before="10"/>
              <w:ind w:right="2393"/>
              <w:rPr>
                <w:sz w:val="20"/>
              </w:rPr>
            </w:pPr>
            <w:r>
              <w:rPr>
                <w:sz w:val="20"/>
              </w:rPr>
              <w:t>HENRIQUE GONCALVES DE LAVOR NETO - (CE12512-A) MURILO FIGUEIREDO OLIVEIRA GONÇALVES - (CE27833-A) WILLIANE GOMES PONTES IBIAPINA - (CE12538-A)</w:t>
            </w:r>
          </w:p>
          <w:p>
            <w:pPr>
              <w:pStyle w:val="TableParagraph"/>
              <w:spacing w:line="205" w:lineRule="exact" w:before="0"/>
              <w:rPr>
                <w:sz w:val="20"/>
              </w:rPr>
            </w:pPr>
            <w:r>
              <w:rPr>
                <w:sz w:val="20"/>
              </w:rPr>
              <w:t>RAFAEL GONCALVES MOTA - (CE14068-A)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3000669-86.2025.8.06.0000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Tratamento médico-hospitalar</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L. C. L.</w:t>
            </w:r>
          </w:p>
          <w:p>
            <w:pPr>
              <w:pStyle w:val="TableParagraph"/>
              <w:spacing w:line="215" w:lineRule="exact" w:before="0"/>
              <w:rPr>
                <w:sz w:val="20"/>
              </w:rPr>
            </w:pPr>
            <w:r>
              <w:rPr>
                <w:sz w:val="20"/>
              </w:rPr>
              <w:t>KENIA COSTA LOPES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MARILAC ABREU DE FREITAS MONTEIRO - (CE22424-A)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UNIMED DE FORTALEZA COOPERATIVA DE TRABALHO MEDICO LTDA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3000669-86.2025.8.06.0000</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DAVID SOMBRA PEIXOTO - (CE16477-A)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0188616-55.2016.8.06.0001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MATHEUS DE PAULO PESSOA - (CE38819-A)</w:t>
            </w:r>
          </w:p>
          <w:p>
            <w:pPr>
              <w:pStyle w:val="TableParagraph"/>
              <w:spacing w:line="208" w:lineRule="auto" w:before="9"/>
              <w:ind w:right="2427"/>
              <w:rPr>
                <w:sz w:val="20"/>
              </w:rPr>
            </w:pPr>
            <w:r>
              <w:rPr>
                <w:sz w:val="20"/>
              </w:rPr>
              <w:t>FILIPE AUGUSTO DA COSTA ALBUQUERQUE - (CE20587-A) DAIANY MARA RIBEIRO PAIVA - (CE16942-A)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972"/>
              <w:rPr>
                <w:sz w:val="20"/>
              </w:rPr>
            </w:pPr>
            <w:r>
              <w:rPr>
                <w:sz w:val="20"/>
              </w:rPr>
              <w:t>ANA MARIA VIEIRA DA ROCHA DE ARAUJO ANA MARIA VIEIRA DA ROCHA DE ARAUJO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IGOR CABRAL DE OLIVEIRA - (CE23573-A)</w:t>
            </w:r>
          </w:p>
          <w:p>
            <w:pPr>
              <w:pStyle w:val="TableParagraph"/>
              <w:spacing w:line="215" w:lineRule="exact" w:before="0"/>
              <w:rPr>
                <w:sz w:val="20"/>
              </w:rPr>
            </w:pPr>
            <w:r>
              <w:rPr>
                <w:sz w:val="20"/>
              </w:rPr>
              <w:t>FRANCISCO EDIVAL LUCENA DE OLIVEIRA - (CE23468-A)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0127872-94.2016.8.06.0001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Usucapião Especial (Constitucional)</w:t>
            </w:r>
          </w:p>
        </w:tc>
      </w:tr>
      <w:tr>
        <w:trPr>
          <w:trHeight w:val="2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072"/>
              <w:rPr>
                <w:sz w:val="20"/>
              </w:rPr>
            </w:pPr>
            <w:r>
              <w:rPr>
                <w:sz w:val="20"/>
              </w:rPr>
              <w:t>ERISMAR ALVES DOS SANTOS EDIMAR ALVES DOS SANTOS ILCA ALVES DOS SANTOS ANAMAR DOS SANTOS GOMES</w:t>
            </w:r>
          </w:p>
          <w:p>
            <w:pPr>
              <w:pStyle w:val="TableParagraph"/>
              <w:spacing w:line="208" w:lineRule="auto" w:before="0"/>
              <w:ind w:right="4294"/>
              <w:rPr>
                <w:sz w:val="20"/>
              </w:rPr>
            </w:pPr>
            <w:r>
              <w:rPr>
                <w:sz w:val="20"/>
              </w:rPr>
              <w:t>DOMINGOS ALVES DOS SANTOS </w:t>
            </w:r>
            <w:r>
              <w:rPr>
                <w:spacing w:val="-5"/>
                <w:sz w:val="20"/>
              </w:rPr>
              <w:t>NETO </w:t>
            </w:r>
            <w:r>
              <w:rPr>
                <w:sz w:val="20"/>
              </w:rPr>
              <w:t>GLAYSILENE PEREIRA DOS SANTOS MARDIELY DOS SANTOS BARROSO GLAYSIANE PEREIRA DOS SANTOS ANA LUCIA IRINEU ALVES</w:t>
            </w:r>
          </w:p>
          <w:p>
            <w:pPr>
              <w:pStyle w:val="TableParagraph"/>
              <w:spacing w:line="208" w:lineRule="auto" w:before="0"/>
              <w:ind w:right="4294"/>
              <w:rPr>
                <w:sz w:val="20"/>
              </w:rPr>
            </w:pPr>
            <w:r>
              <w:rPr>
                <w:sz w:val="20"/>
              </w:rPr>
              <w:t>EDERLAM ALVES DOS </w:t>
            </w:r>
            <w:r>
              <w:rPr>
                <w:spacing w:val="-3"/>
                <w:sz w:val="20"/>
              </w:rPr>
              <w:t>SANTOS </w:t>
            </w:r>
            <w:r>
              <w:rPr>
                <w:sz w:val="20"/>
              </w:rPr>
              <w:t>MARLENE IRINEU ALVES</w:t>
            </w:r>
          </w:p>
          <w:p>
            <w:pPr>
              <w:pStyle w:val="TableParagraph"/>
              <w:spacing w:line="208" w:lineRule="auto" w:before="0"/>
              <w:ind w:right="4360"/>
              <w:rPr>
                <w:sz w:val="20"/>
              </w:rPr>
            </w:pPr>
            <w:r>
              <w:rPr>
                <w:sz w:val="20"/>
              </w:rPr>
              <w:t>MARLENE PEREIRA DA SILVA SANTOS ADECIO ALVES DOS SANTOS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ARAUJO TAVARES NETO - (CE15331-A)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461"/>
              <w:rPr>
                <w:sz w:val="20"/>
              </w:rPr>
            </w:pPr>
            <w:r>
              <w:rPr>
                <w:sz w:val="20"/>
              </w:rPr>
              <w:t>MARIA ARLENE ROCHA DOS SANTOS JOSE ALVES DOS SANTOS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8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MINISTERIO PUBLICO DO ESTADO DO CEARA</w:t>
            </w:r>
          </w:p>
          <w:p>
            <w:pPr>
              <w:pStyle w:val="TableParagraph"/>
              <w:spacing w:line="208" w:lineRule="auto" w:before="9"/>
              <w:ind w:right="5682"/>
              <w:rPr>
                <w:sz w:val="20"/>
              </w:rPr>
            </w:pPr>
            <w:r>
              <w:rPr>
                <w:sz w:val="20"/>
              </w:rPr>
              <w:t>Francisca Zica Viana Fiusa Maria Jose da Costa</w:t>
            </w:r>
          </w:p>
          <w:p>
            <w:pPr>
              <w:pStyle w:val="TableParagraph"/>
              <w:spacing w:line="205" w:lineRule="exact" w:before="0"/>
              <w:rPr>
                <w:sz w:val="20"/>
              </w:rPr>
            </w:pPr>
            <w:r>
              <w:rPr>
                <w:sz w:val="20"/>
              </w:rPr>
              <w:t>Maria Odete da Costa Lima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0052330-02.2021.8.06.0064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0052330-02.2021.8.06.0064</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ELDORADO EMPREENDIMENTOS IMOBILIARIOS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JOAO GUSTAVO MAGALHAES FONTENELE - (CE15502-A)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AIRTON SOUSA GOMES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ANDERSON CARDOSO DIAS DE SOUSA - (CE37396-A)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0620655-62.2024.8.06.0000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Nomeação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HILDA FERNANDA BENTO FERNANDES MACHADO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FRANCO FERNANDES MACHADO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371"/>
              <w:rPr>
                <w:sz w:val="20"/>
              </w:rPr>
            </w:pPr>
            <w:r>
              <w:rPr>
                <w:sz w:val="20"/>
              </w:rPr>
              <w:t>GLAIRTON JOSE LIMA JUNIOR - (CE36614-A) VICTOR DUARTE JORGE BEZERRA - (CE32358-A)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0008759-59.2010.8.06.0001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Prescrição e Decadência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DAVID SOMBRA PEIXOTO - (CE16477-A)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839"/>
              <w:rPr>
                <w:sz w:val="20"/>
              </w:rPr>
            </w:pPr>
            <w:r>
              <w:rPr>
                <w:sz w:val="20"/>
              </w:rPr>
              <w:t>RAIMUNDO DOS SANTOS GOMES ALBENERO VIRGILIO CARDOSO</w:t>
            </w:r>
          </w:p>
          <w:p>
            <w:pPr>
              <w:pStyle w:val="TableParagraph"/>
              <w:spacing w:line="205" w:lineRule="exact" w:before="0"/>
              <w:rPr>
                <w:sz w:val="20"/>
              </w:rPr>
            </w:pPr>
            <w:r>
              <w:rPr>
                <w:sz w:val="20"/>
              </w:rPr>
              <w:t>LUSITANA-IMPORTACAO E COMERCIO DE ALIMENTOS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0200351-22.2022.8.06.0051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JONATAS ALBUQUERQUE RODRIGUES FILHO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249"/>
              <w:rPr>
                <w:sz w:val="20"/>
              </w:rPr>
            </w:pPr>
            <w:r>
              <w:rPr>
                <w:sz w:val="20"/>
              </w:rPr>
              <w:t>MARIA DO SOCORRO FREIRE GONDIM ARAUJO - (CE4977-A) PAULO ROBERTO UCHOA DO AMARAL - (CE6778-A)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VIEIRA CARNEIRO JUNIOR</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PAULO CESAR JUCA MARTINS - (CE9377-A)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0207462-28.2013.8.06.0001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Despejo para Uso Próprio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294"/>
              <w:rPr>
                <w:sz w:val="20"/>
              </w:rPr>
            </w:pPr>
            <w:r>
              <w:rPr>
                <w:sz w:val="20"/>
              </w:rPr>
              <w:t>Raimundo Nonato Reboucas Carmem Celia Rolim Reboucas Joao Alberto Rolim Reboucas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NERILDO MACHADO - (CE20982-A)</w:t>
            </w:r>
          </w:p>
          <w:p>
            <w:pPr>
              <w:pStyle w:val="TableParagraph"/>
              <w:spacing w:line="215" w:lineRule="exact" w:before="0"/>
              <w:rPr>
                <w:sz w:val="20"/>
              </w:rPr>
            </w:pPr>
            <w:r>
              <w:rPr>
                <w:sz w:val="20"/>
              </w:rPr>
              <w:t>ANA PAULA DA SILVA LOPES - (CE33068-A)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LUCY MEYER ALVES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MARCELO SAMPAIO SIQUEIRA - (CE9107-A)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0008252-25.2017.8.06.0140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249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Central Norte Industria, Comercio e Exportacao de Madeira Ltda Me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SILVIO CESAR FARIAS - (CE6207-A)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WASHINGTON LUIZ ALENCAR HOLANDA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682"/>
              <w:rPr>
                <w:sz w:val="20"/>
              </w:rPr>
            </w:pPr>
            <w:r>
              <w:rPr>
                <w:sz w:val="20"/>
              </w:rPr>
              <w:t>WASHINGTON GOMES DA SILVA MACEDO - (CE34852-A) JANSEN MONTEIRO RIBEIRO - (CE8477-A)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0791761-32.2000.8.06.0001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Dissolução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CLAUDIA BEZERRA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ALEX ALEXANDRINO BEZERRA - (CE16053-A)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VLADIA MARIA CIRINO DIOGENES CARVALHO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DEODATO CIRINO DIOGENES CARVALHO - (CE26009-A)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0010855-78.2016.8.06.0052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Pagamento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0010855-78.2016.8.06.0052</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TARCISIO REBOUCAS PORTO JUNIOR - (CE7216-A)</w:t>
            </w:r>
          </w:p>
        </w:tc>
      </w:tr>
      <w:tr>
        <w:trPr>
          <w:trHeight w:val="8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950"/>
              <w:rPr>
                <w:sz w:val="20"/>
              </w:rPr>
            </w:pPr>
            <w:r>
              <w:rPr>
                <w:sz w:val="20"/>
              </w:rPr>
              <w:t>MARIA HELIDIANA BELEM VASQUES FRANCISCO NUTO GRANGEIRO FERREIRA</w:t>
            </w:r>
          </w:p>
          <w:p>
            <w:pPr>
              <w:pStyle w:val="TableParagraph"/>
              <w:spacing w:line="190" w:lineRule="exact" w:before="0"/>
              <w:rPr>
                <w:sz w:val="20"/>
              </w:rPr>
            </w:pPr>
            <w:r>
              <w:rPr>
                <w:sz w:val="20"/>
              </w:rPr>
              <w:t>Francisco Grangeiro Ferreira</w:t>
            </w:r>
          </w:p>
          <w:p>
            <w:pPr>
              <w:pStyle w:val="TableParagraph"/>
              <w:spacing w:line="215" w:lineRule="exact" w:before="0"/>
              <w:rPr>
                <w:sz w:val="20"/>
              </w:rPr>
            </w:pPr>
            <w:r>
              <w:rPr>
                <w:sz w:val="20"/>
              </w:rPr>
              <w:t>INES RAIMUNDA DE SOUSA GRANGEIRO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0130932-12.2015.8.06.0001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GAUDENCIO GONCALVES DE LUCENA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ANDERSON QUEIROZ COSTA - (CE32535-A)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CIRO FERREIRA GOMES</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316"/>
              <w:rPr>
                <w:sz w:val="20"/>
              </w:rPr>
            </w:pPr>
            <w:r>
              <w:rPr>
                <w:sz w:val="20"/>
              </w:rPr>
              <w:t>ANDRE GARCIA XEREZ SILVA - (CE25545-A) PEDRO ANGELO PEREIRA MESQUITA - (CE52912)</w:t>
            </w:r>
          </w:p>
        </w:tc>
      </w:tr>
      <w:tr>
        <w:trPr>
          <w:trHeight w:val="6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vicente luis pompeia giocelli</w:t>
            </w:r>
          </w:p>
          <w:p>
            <w:pPr>
              <w:pStyle w:val="TableParagraph"/>
              <w:spacing w:line="200" w:lineRule="exact" w:before="0"/>
              <w:rPr>
                <w:sz w:val="20"/>
              </w:rPr>
            </w:pPr>
            <w:r>
              <w:rPr>
                <w:sz w:val="20"/>
              </w:rPr>
              <w:t>JOSE LEONIDAS DE MENEZES CRISTINO</w:t>
            </w:r>
          </w:p>
          <w:p>
            <w:pPr>
              <w:pStyle w:val="TableParagraph"/>
              <w:spacing w:line="215" w:lineRule="exact" w:before="0"/>
              <w:rPr>
                <w:sz w:val="20"/>
              </w:rPr>
            </w:pPr>
            <w:r>
              <w:rPr>
                <w:sz w:val="20"/>
              </w:rPr>
              <w:t>Roberto Claudio Rodrigues Bezerra - Prefeito Municipal de Fortaleza - CE</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0006710-66.2009.8.06.0167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do Prejuízo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HELIO SERRA PRACIANO PEREIRA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ARNALDO DE PAULA PESSOA DE AZEVEDO - (CE3783-A)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VOTORANTIM CIMENTOS N/NE S/A</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CARLOS EDGAR ANDRADE LEITE - (SE4800-A)</w:t>
            </w:r>
          </w:p>
          <w:p>
            <w:pPr>
              <w:pStyle w:val="TableParagraph"/>
              <w:spacing w:line="208" w:lineRule="auto" w:before="9"/>
              <w:ind w:right="2483"/>
              <w:rPr>
                <w:sz w:val="20"/>
              </w:rPr>
            </w:pPr>
            <w:r>
              <w:rPr>
                <w:sz w:val="20"/>
              </w:rPr>
              <w:t>CARLOS AUGUSTO MONTEIRO NASCIMENTO - (SE1600-A) CELSO LUIZ DE OLIVEIRA - (CE17382-A)</w:t>
            </w:r>
          </w:p>
          <w:p>
            <w:pPr>
              <w:pStyle w:val="TableParagraph"/>
              <w:spacing w:line="205" w:lineRule="exact" w:before="0"/>
              <w:rPr>
                <w:sz w:val="20"/>
              </w:rPr>
            </w:pPr>
            <w:r>
              <w:rPr>
                <w:sz w:val="20"/>
              </w:rPr>
              <w:t>ANCHIETA GUERREIRO CHAVES JUNIOR - (CE20127-A)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0011606-69.2011.8.06.0075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Provas em geral</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439"/>
              <w:rPr>
                <w:sz w:val="20"/>
              </w:rPr>
            </w:pPr>
            <w:r>
              <w:rPr>
                <w:sz w:val="20"/>
              </w:rPr>
              <w:t>RENATO DA CRUZ RIBEIRO JAQUELINE LIMA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49"/>
              <w:rPr>
                <w:sz w:val="20"/>
              </w:rPr>
            </w:pPr>
            <w:r>
              <w:rPr>
                <w:sz w:val="20"/>
              </w:rPr>
              <w:t>CEARA INVEST - INVESTIMENTOS E EMPREENDIMENTOS IMOBILIARIOS LTDA BERNARDO RODRIGUES DA COSTA GADELHA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0011606-69.2011.8.06.0075</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0227287-74.2021.8.06.0001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YDUQS EDUCACIONAL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ROBERTO DOREA PESSOA - (BA12407-A)</w:t>
            </w:r>
          </w:p>
        </w:tc>
      </w:tr>
      <w:tr>
        <w:trPr>
          <w:trHeight w:val="2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327"/>
              <w:rPr>
                <w:sz w:val="20"/>
              </w:rPr>
            </w:pPr>
            <w:r>
              <w:rPr>
                <w:sz w:val="20"/>
              </w:rPr>
              <w:t>DUANNE SILVA GONCALVES TALITA DA SILVA MELO</w:t>
            </w:r>
          </w:p>
          <w:p>
            <w:pPr>
              <w:pStyle w:val="TableParagraph"/>
              <w:spacing w:line="208" w:lineRule="auto" w:before="0"/>
              <w:ind w:right="4483"/>
              <w:rPr>
                <w:sz w:val="20"/>
              </w:rPr>
            </w:pPr>
            <w:r>
              <w:rPr>
                <w:sz w:val="20"/>
              </w:rPr>
              <w:t>PEDRO PAULO OLIVEIRA DE SOUSA YURI FERREIRA FREITAS DE </w:t>
            </w:r>
            <w:r>
              <w:rPr>
                <w:spacing w:val="-4"/>
                <w:sz w:val="20"/>
              </w:rPr>
              <w:t>SOUSA </w:t>
            </w:r>
            <w:r>
              <w:rPr>
                <w:sz w:val="20"/>
              </w:rPr>
              <w:t>JULIANA ALVES DAMASCENO EULIANY MARIA FEITOSA ALMEIDA</w:t>
            </w:r>
          </w:p>
          <w:p>
            <w:pPr>
              <w:pStyle w:val="TableParagraph"/>
              <w:spacing w:line="208" w:lineRule="auto" w:before="0"/>
              <w:ind w:right="3400"/>
              <w:rPr>
                <w:sz w:val="20"/>
              </w:rPr>
            </w:pPr>
            <w:r>
              <w:rPr>
                <w:sz w:val="20"/>
              </w:rPr>
              <w:t>MONICA GABRIELA GOMES DA SILVA </w:t>
            </w:r>
            <w:r>
              <w:rPr>
                <w:spacing w:val="-3"/>
                <w:sz w:val="20"/>
              </w:rPr>
              <w:t>OLIVEIRA </w:t>
            </w:r>
            <w:r>
              <w:rPr>
                <w:sz w:val="20"/>
              </w:rPr>
              <w:t>RUBENS JOSE TERTO CANTALICE</w:t>
            </w:r>
          </w:p>
          <w:p>
            <w:pPr>
              <w:pStyle w:val="TableParagraph"/>
              <w:spacing w:line="208" w:lineRule="auto" w:before="0"/>
              <w:ind w:right="4861"/>
              <w:rPr>
                <w:sz w:val="20"/>
              </w:rPr>
            </w:pPr>
            <w:r>
              <w:rPr>
                <w:sz w:val="20"/>
              </w:rPr>
              <w:t>ESTEFANY DIAS DA SILVA NATHAIANA LUCAS DOS SANTOS ANA PAULA JUSTINIANO</w:t>
            </w:r>
          </w:p>
          <w:p>
            <w:pPr>
              <w:pStyle w:val="TableParagraph"/>
              <w:spacing w:line="208" w:lineRule="auto" w:before="0"/>
              <w:ind w:right="4005"/>
              <w:rPr>
                <w:sz w:val="20"/>
              </w:rPr>
            </w:pPr>
            <w:r>
              <w:rPr>
                <w:sz w:val="20"/>
              </w:rPr>
              <w:t>VITORIA FLAVIA DA SILVA MOURA FRANCISCA DAYANA DE OLIVEIRA SOUZA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JOANA D ARC HONORATO E SOUSA - (CE31110-A)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0200130-64.2024.8.06.0117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RABI SOARES PIMENTA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RODOLFO CHIQUINI DA SILVA - (SP300537-A)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TANIA MONTEIRO DA SILVA CONSTRUCOES - ME</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DIEGO ALBUQUERQUE LOPES - (CE26053-A)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0205181-55.2020.8.06.0001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KEAGE COMERCIO E REPRESENTACAO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JOAO AURELIO PONTE DE PAULA PESSOA - (CE15196-A)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LOCKTEC TECNOLOGIA EM SEGURANCA INTEGRADA LTDA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0205181-55.2020.8.06.0001</w:t>
            </w:r>
          </w:p>
        </w:tc>
      </w:tr>
      <w:tr>
        <w:trPr>
          <w:trHeight w:val="6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1893"/>
              <w:rPr>
                <w:sz w:val="20"/>
              </w:rPr>
            </w:pPr>
            <w:r>
              <w:rPr>
                <w:sz w:val="20"/>
              </w:rPr>
              <w:t>JOAO VICTOR FERNANDES DE ALMEIDA MESSIAS - (CE29776-A) JOAO PAULO DE AZEVEDO MARTINS - (CE32835-A)</w:t>
            </w:r>
          </w:p>
          <w:p>
            <w:pPr>
              <w:pStyle w:val="TableParagraph"/>
              <w:spacing w:line="205" w:lineRule="exact" w:before="0"/>
              <w:rPr>
                <w:sz w:val="20"/>
              </w:rPr>
            </w:pPr>
            <w:r>
              <w:rPr>
                <w:sz w:val="20"/>
              </w:rPr>
              <w:t>EDSON PEREIRA PORTELA NETO - (CE23452-A)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Compromisso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916"/>
              <w:rPr>
                <w:sz w:val="20"/>
              </w:rPr>
            </w:pPr>
            <w:r>
              <w:rPr>
                <w:sz w:val="20"/>
              </w:rPr>
              <w:t>ROBERTO SERGIO FARIAS DE </w:t>
            </w:r>
            <w:r>
              <w:rPr>
                <w:spacing w:val="-4"/>
                <w:sz w:val="20"/>
              </w:rPr>
              <w:t>SOUZA </w:t>
            </w:r>
            <w:r>
              <w:rPr>
                <w:sz w:val="20"/>
              </w:rPr>
              <w:t>SUETAM PARTICIPACOES S.A</w:t>
            </w:r>
          </w:p>
          <w:p>
            <w:pPr>
              <w:pStyle w:val="TableParagraph"/>
              <w:spacing w:line="205" w:lineRule="exact" w:before="0"/>
              <w:rPr>
                <w:sz w:val="20"/>
              </w:rPr>
            </w:pPr>
            <w:r>
              <w:rPr>
                <w:sz w:val="20"/>
              </w:rPr>
              <w:t>ANA MARIA SILVEIRA FARIAS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349"/>
              <w:rPr>
                <w:sz w:val="20"/>
              </w:rPr>
            </w:pPr>
            <w:r>
              <w:rPr>
                <w:sz w:val="20"/>
              </w:rPr>
              <w:t>VICTOR MAIA BRASIL - (CE17488-A) MARIO CRUZ DIAS NETO - (CE20907-A)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EM ESTALEIRO DO BRASIL LTDA EM RECUPERACAO JUDICIAL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RONALD ROZENDO LIMA - (MG129284-A)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13"/>
              <w:rPr>
                <w:sz w:val="20"/>
              </w:rPr>
            </w:pPr>
            <w:r>
              <w:rPr>
                <w:sz w:val="20"/>
              </w:rPr>
              <w:t>&lt;p style="text-align: center;"&gt; &lt;img src="data:image/jpeg;base64,/9j/4AAQSkZJRgABAQAAAQABAAD/2wCEAAkGBxETEhUT EREWFhUWExcVGBcXFRgYGxoXHRoXFhkVGRYbHigiGholGxgZLTMjJTUrLzouGB8zOD csNygtLisBCgoKDg0OGxAQGzAlICUrMiswNzE1LTUrNjItNS0yLS0vNzUtLS0tNy81Li0tMi0t Ky0tLy0vLTYtLi0tLS4vNf/AABEIAI0AjQMBIgACEQEDEQH/xAAbAAEAAgMBAQAAAAAAA AAAAAAABQYDBAcCAf/EAEEQAAIBAgQDBgIHBQUJAAAAAAECEQADBBIhMQVBUQY TImFxgTKhQlKCkbHB0SMzcpLwFFNik6I0Q0RUY4PC0uH/xAAaAQEAAwEBAQAAAAAA AAAAAAAAAgMFBAEG/8QALREAAgEDAwMBBgcAAAAAAAAAAAECAxExBCFBEhNRIg</w:t>
            </w:r>
          </w:p>
          <w:p>
            <w:pPr>
              <w:pStyle w:val="TableParagraph"/>
              <w:spacing w:line="208" w:lineRule="auto" w:before="0"/>
              <w:ind w:right="1"/>
              <w:rPr>
                <w:sz w:val="20"/>
              </w:rPr>
            </w:pPr>
            <w:r>
              <w:rPr>
                <w:sz w:val="20"/>
              </w:rPr>
              <w:t>UUMnGx8EJhgZGhwdH/2gAMAwEAAhEDEQA/AO40pSgFKUoBSlR3G+J9wisEzlnyAZson KzSTB5KeVeNpK7PUruyJGlVEdq74fxYYMsDRG13M+JoBjTTTetW5xzFZATfRX8JKwgXc ZhrJ2nnVXvEPJZ2pF4pVLbtC7tJxKWRlUZUey3i1zGXQmNvurw/aK+VVFvW9HbNdz2yzL mOUBIyg5YnTcU70TztSLvSqevaHEWzt36lTtkWGkQSRuIzbA7CvdjtXeCg3bCxzhypH2SD J9xRV6fkdqRbaUpVxWKUpQClKUApSlAKUpQCtPi3DlxFprTkgGCGUwVI1DA9a3Kg+0vG Ut2XVLq96wyKAwkE6FoGugk+oFeStbc9WTndzADOQWNwZmAOQeID6Uu5EH8xWLCW 0LEAmIGkosGA3iOQDYjadjW6mDZpVbJIywrf2e6+8iAx2iB99ZsNwa+GLLYua5j8K7tl+uwg DKOXM1mqEnfZnY5xXJquUyqQYnKf30aEzB0gEidN/ur7fFuD5KW0uAnTcQy7+RrFxnszj7 2WMO2hJOZ7I1KoNg+0qfvqQs8GxgTI9i5GTKYNhtcqgnV51Oc+4qboytg87kfJFWsOhzSC xUtJC2yBlMEaqpkabf8AwWLsfwVbl0tcuN+yZXFuGAbmrGXIIDA6AchrrFR1vg15WJaw2pdj No3JZ8kmFYx8Pzra4Limw95LjoUWSjg2rlsZCYnxaQCFb0FIQamrrY8lJOOzOlUrDh8VbcT bdXHVWDfhWatA5BSlKAUpSgFKUoBSlR3FMWf3VtociWb+7Tm/qYIE85OwNAaHHOIWyr 5zFi1+8P12G1odQDEjmYX6wqg3e3t8SLNq1bWdBlJMcuYHyrT7XccF9has6WLWi/4m27w 9ecT1J51X16GoSl4MvU6uV7U3jJPXe2OPb/fx5BEHzyzWs/aHGHfE3fZyPwqNit/h/CLt3UD Kv1m5jqF50ipzdkcfeqy36nY8njOK/wCav/5z/rQcZxQ/4q//AJr/AK1Kp2aWPFccnyyj8jWDEd nSPguT5MPzH6Vb7vUtdfdyPdkn8f14Ne32kxq7Ym57tm/Ga3LHbfHLvdVv4kX/AMQKg71lk bK6wfx8wedYyKpfVF2Z77xVj+Jl97P9qBibot31S3eOtq6gjx/VMk79Jg6jnXQOHYzvFOYZX U5XXoeo6qRqD085FcA21FdM7Jcfa+oO+JtLDLt31r/2HyPQMalGV9maWk1Xc9Msl+pWLD X1uKHQypEj9CORB5VlqR3ilKUApSlAKj8dgCSblohbkaz8LgfRcfg248xoZClAcf7ZcFRMuIsr lt3GKun93dEyschIPlI00IqLxnAL1uwl9suRyYIdD0iIOs67dDNX/tnbHcY0cs1l/Rz3YPyA++ub 38fdNsIzkosZV5AiQIHLc+tQktzH1dOMam2Xj5m52d4X3zFnEomkfWb9BI++rat1cxUT8O8a TE5Z+tGsdK9cJwgtWkX6qyfXd/zNaWHskP3vd3Moulycmnd5X8URA0ke086sU+naJZDTK a3wbuIQqNFzEDaY8t/Sa12OhJy6CSM0ED+Fwpb7INTVy15c5jz5L7CJrVtvctuXtkZvNQVE cp367Eb1ZTrX+ErlQgnapggOIYVbiQwMH4WgwDyIP9dKqly2VJVt1MH9fQ1f+1fFldrbmdbS kIToHMMfX4l/kqk8TYlg5iT4TAjzH517XlGcFfP3koq0OiTjG9lvv/X5W/k0wpJgCSdAPPpXVO zPAe4HdJpdKhr92ASoO1tJ56fKTuBVA7MIDi7AO3eqfcGR8wK7BwMeG43Nr9yfZsi/6FWu aC5Oz2dTXS584NzC4ZLa5UEDU7kkk6kknUknmazUpUzTFKUoBSlKAUJpUdxtiUFsb3W7 v0Uglz5eANB6kUBTe2GJZsOEQEvi7/eBRubahQmnWFtadSaqN/hN2zftW7yRNxDrzEgm OvStztfxTvMWxWMtoi2g5eE66fxT7AVG4niFy9dR7zZmkLJAk7gT9/yFRzIxq1SM6/ydkXxy SCBp4ZP5D+vzrVs21i4ndWpGBL5dNBDDvAe7nP5T0qBVRz/GtgWQpbPbKwo33KkZojkII 0PWlPSzhUnKUrp2svFjshq4dCUY4yWXE4wW0Zrh0VZnYkdPWem5Ik1Qsdxu5cbNmKjkq kgAdNNz51bcVwO2pti4AzFGdh9EHQBQOY1Op5gbbVBcb7m23d27FsuQTqAIA1++K4tOp Uoqm5dT84O6vpnV9fwrwRmN4n3otjbJbyk+eZjm9Yyj7IrUxLiNCTqN46+lbtrug+W5atlSYD L1iTpPnWbi+BtJbYqgBlQP5h+VXupaST5KZaGTi59S2yR+ExBt3EuDdHVx9kgx8q7Pwi8O 8cKZW6q30PUEKjAekIf+5XEjXQuxvE82GUk+LCPr52GmZ8gMxj/prVsHwZvs6pu4fqdCpSl TNcUpSgFKUoBVe4/je7N67/cYYlf43J0/0J/MasNU7tijGxjQN/2T/YGST6eB/uoRm7RbOf8A AOCvimZUZZVGY5jBMAxvyLQCeU1HX1iQCCVO41Eg8jX3D4h01Ryp01UkbGRt5gfdXzX eqU+T5vqSs1m5aOC5Xu2Z+FrlvfmCwgH1q3druEGTiE1GWLi+Q0zjqY0I6AR5804bdb92H ykHMpidN4HmDU44v3XFy9fLkHmoj2EwvtFd28mpI0aU4RpuL53RYkum7Yt3R4mtAo8akq QpzjqYCn3bnVS43h/2jvLd3cQeJZIkajQczy9as3B8R3d1fqv4G9foH+bT7dSXE+E2yGZSU MEmPhJ31U6fdBrPrR7dQ2tNU7tLc5jg8PmXKkyzCYkAAc55g6/Kt/j7wETzzeyiPxPyqS4PY cYfvIBQFpObUAakmY09D7VW8Xie8uM3LZf4R+u/vUN5VL8Ir1lWNHSu2ZKxiNWLsBisuLF s/DdRkI5bZh+BH2qrhqV7JIzYywF37yfYAk/IGro5PnNK2qsbeTsXBHJsoCZK5rZPUoxtz75Z 963qj+C/A55G9dj2Yg/6gakKtPohSlKAUpSgFRnFsOZ71VzQpS4kTmtnoOZUyQOYLDcipO lAcX7TdnTYPe2vHh31VxrlnZWP4H8683uL2ThFsCyouBsxuZRrOhA6HKE18j611fF8NPia1l 8U57bfA87nnlY9RIPMHcUfi/Y63cYnDfsru5sXNPdG109JHmKi4+DNr6Nq8qfPH+FHAmImZ 0jefKpfAcZA0uiP8QEg+o5V94XdbBYgHE2CSoJyMBqfolW2gHmJqO4hfV7jsihVLHKoAELy EDnFIVHAz03TVn+xaLWPskpF1P3lvXONPGpk66Rv7VYuI9p8HbBm8r6fCnjJ8vDoPeK5rh OH3Ls5LZbKCxIE6ASfesDLBgiCOW1RqtVGmzto+0HRj6Y58ktxnjTXh3du2LVgGcigDMeR eNPb8YqHcTU3w7jFq3hrlprKs7/C5UHLGqz9bUn089q88F7M4jEeILkt7m4+ix1A3b208xUU uEc9SVXUTUr3f0IW2GYhQCWJgACST5DrXRuynAGwwkgHFXVgDcWk5s39akADma3uz vAbdr/ZlzMRBxNwaeYtL9L206sYirVg8GtsGJJOrM2rMepP5DQcoq1RsaGn0ipvqeT3hcOLa Ki7KANdz5k8yay0pXp2ilKUApSlAKUpQCsOKwqXBDqCNx1B6gjVT5jWs1KAguIcILLkdRiL X1XgXF/hfQMfXKf8Rqj8W7FzmbBsWj4rL+G4vlrHzj1NdVrWxmBS5BMhh8Lroy+h6eRkHm DRpPJVVowqK0kcV4Xxe/hGcIMrHwuGBmAZKkcj579Irxwjg9/FNFpJ18TnRV9W6+Q1rovH eB2brAYvwsozLeTw50XVlbowE6e45gSvDuFhkVcndWAPDZHhLDrcO+v1f5pmBHoOKOg 9VpO8Vgr3BOyti2dE/tN0HVm0tIek6gkfaPkKtdvheaDfbvDyWItj0T6Xq0+UVIW0CgBQAAIA AgAdAK9VI74QjBWihSlKExSlKAUpSgFKUoBSlKAUpSgFKUoDDicMlwAOoYBgwnkymQa zUpQClKUApSlAKUpQClKUB//Z" alt="Bem vindo ao PJe · Processo Judicial Eletrônico"</w:t>
            </w:r>
          </w:p>
          <w:p>
            <w:pPr>
              <w:pStyle w:val="TableParagraph"/>
              <w:tabs>
                <w:tab w:pos="2307" w:val="left" w:leader="none"/>
                <w:tab w:pos="6332" w:val="left" w:leader="none"/>
                <w:tab w:pos="7455" w:val="left" w:leader="none"/>
              </w:tabs>
              <w:spacing w:line="208" w:lineRule="auto" w:before="0"/>
              <w:ind w:right="146"/>
              <w:rPr>
                <w:sz w:val="20"/>
              </w:rPr>
            </w:pPr>
            <w:r>
              <w:rPr>
                <w:sz w:val="20"/>
              </w:rPr>
              <w:t>/&gt;&lt;/p&gt;&lt;p style="text-align: center;"&gt;  &lt;span style="font-size: small;"&gt;</w:t>
              <w:tab/>
              <w:t>&lt;strong&gt;</w:t>
              <w:tab/>
            </w:r>
            <w:r>
              <w:rPr>
                <w:spacing w:val="-4"/>
                <w:sz w:val="20"/>
              </w:rPr>
              <w:t>&lt;span </w:t>
            </w:r>
            <w:r>
              <w:rPr>
                <w:sz w:val="20"/>
              </w:rPr>
              <w:t>style="font-family: &amp;quot;times new roman&amp;quot;, times;"&gt;ESTADO DO CEARÁ&amp;#160;&lt;/span&gt;</w:t>
              <w:tab/>
              <w:t>&lt;/strong&gt; &lt;/span&gt;&lt;/p&gt;&lt;p style="text-align: center;"&gt;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83" w:val="left" w:leader="none"/>
                <w:tab w:pos="3573" w:val="left" w:leader="none"/>
                <w:tab w:pos="4488" w:val="left" w:leader="none"/>
                <w:tab w:pos="4519" w:val="left" w:leader="none"/>
                <w:tab w:pos="5406" w:val="left" w:leader="none"/>
                <w:tab w:pos="5611" w:val="left" w:leader="none"/>
              </w:tabs>
              <w:spacing w:line="208" w:lineRule="auto" w:before="26"/>
              <w:ind w:right="95"/>
              <w:rPr>
                <w:sz w:val="20"/>
              </w:rPr>
            </w:pPr>
            <w:r>
              <w:rPr>
                <w:sz w:val="20"/>
              </w:rPr>
              <w:t>style="font-family: &amp;quot;times new roman&amp;quot;, times;"&gt;</w:t>
              <w:tab/>
              <w:t>&lt;span style="font-size: small;"&gt;</w:t>
              <w:tab/>
              <w:t>&lt;strong&gt;&amp;#160;&lt;/strong&gt;</w:t>
              <w:tab/>
              <w:t>&lt;/span&gt;</w:t>
              <w:tab/>
              <w:tab/>
              <w:t>&lt;strong style="font-size: small;"&gt;&amp;#160; &amp;#160;PODER JUDICIÁRIO&amp;#160; &amp;#160;&amp;#160;&lt;/strong&gt; &lt;/span&gt;&lt;/p&gt;&lt;p style="text- align: center;"&gt;  &lt;span style="font-size: small;"&gt;</w:t>
              <w:tab/>
              <w:t>&lt;strong&gt;</w:t>
              <w:tab/>
              <w:tab/>
              <w:t>&lt;span style="font-family: &amp;quot;times new roman&amp;quot;, times;"&gt;&amp;#160; &amp;#160; &amp;#160; &amp;#160; &amp;#160; TRIBUNAL DE JUSTIÇA ESTADO DO CEARA&amp;#160; &amp;#160; &amp;#160; &amp;#160; &amp;#160;&lt;/span&gt;</w:t>
            </w:r>
          </w:p>
          <w:p>
            <w:pPr>
              <w:pStyle w:val="TableParagraph"/>
              <w:spacing w:line="190" w:lineRule="exact" w:before="0"/>
              <w:rPr>
                <w:sz w:val="20"/>
              </w:rPr>
            </w:pPr>
            <w:r>
              <w:rPr>
                <w:sz w:val="20"/>
              </w:rPr>
              <w:t>&lt;/strong&gt; &lt;/span&gt;&lt;/p&gt;&lt;p style="text-align: center;"&gt; &lt;span style="font-size: small;"&gt;</w:t>
            </w:r>
          </w:p>
          <w:p>
            <w:pPr>
              <w:pStyle w:val="TableParagraph"/>
              <w:tabs>
                <w:tab w:pos="1162" w:val="left" w:leader="none"/>
                <w:tab w:pos="3274" w:val="left" w:leader="none"/>
                <w:tab w:pos="3719" w:val="left" w:leader="none"/>
                <w:tab w:pos="3954" w:val="left" w:leader="none"/>
                <w:tab w:pos="5077" w:val="left" w:leader="none"/>
              </w:tabs>
              <w:spacing w:line="208" w:lineRule="auto" w:before="10"/>
              <w:ind w:right="122"/>
              <w:rPr>
                <w:sz w:val="20"/>
              </w:rPr>
            </w:pPr>
            <w:r>
              <w:rPr>
                <w:sz w:val="20"/>
              </w:rPr>
              <w:t>&lt;strong&gt;</w:t>
              <w:tab/>
              <w:t>&lt;span style="font-family: &amp;quot;times new roman&amp;quot;, times;"&gt;5ª CÂMARA DE DIREITO PRIVADO&amp;#160;&lt;/span&gt;</w:t>
              <w:tab/>
              <w:t>&lt;/strong&gt; &lt;/span&gt;&lt;/p&gt;&lt;p style="text-align: center;"&gt;  &lt;span style="font-size: small;"&gt;</w:t>
              <w:tab/>
              <w:t>&lt;strong&gt;</w:t>
              <w:tab/>
              <w:t>&lt;span style="font-family: &amp;quot;times new roman&amp;quot;, times;"&gt;GABINETE DESEMBARGADOR JOSÉ </w:t>
            </w:r>
            <w:r>
              <w:rPr>
                <w:spacing w:val="-3"/>
                <w:sz w:val="20"/>
              </w:rPr>
              <w:t>KRENTEL </w:t>
            </w:r>
            <w:r>
              <w:rPr>
                <w:sz w:val="20"/>
              </w:rPr>
              <w:t>FERREIRA FILHO&amp;#160;&lt;/span&gt;</w:t>
              <w:tab/>
              <w:t>&lt;/strong&gt; &lt;/span&gt;&lt;/p&gt;&lt;p style="text-align: center;"&gt;</w:t>
            </w:r>
          </w:p>
          <w:p>
            <w:pPr>
              <w:pStyle w:val="TableParagraph"/>
              <w:tabs>
                <w:tab w:pos="2350" w:val="left" w:leader="none"/>
                <w:tab w:pos="3095" w:val="left" w:leader="none"/>
                <w:tab w:pos="3288" w:val="left" w:leader="none"/>
              </w:tabs>
              <w:spacing w:line="208" w:lineRule="auto" w:before="0"/>
              <w:ind w:right="508"/>
              <w:rPr>
                <w:sz w:val="20"/>
              </w:rPr>
            </w:pPr>
            <w:r>
              <w:rPr>
                <w:sz w:val="20"/>
              </w:rPr>
              <w:t>&lt;span style="font-size: medium;"&gt;</w:t>
              <w:tab/>
              <w:tab/>
              <w:t>&lt;span style="font-family: &amp;quot;times new roman&amp;quot;, times;"&gt;</w:t>
              <w:tab/>
              <w:t>&lt;br /&gt;</w:t>
              <w:tab/>
              <w:t>&lt;/span&gt; &lt;/span&gt;&lt;/p&gt;&lt;p style="text-align:</w:t>
            </w:r>
            <w:r>
              <w:rPr>
                <w:spacing w:val="-16"/>
                <w:sz w:val="20"/>
              </w:rPr>
              <w:t> </w:t>
            </w:r>
            <w:r>
              <w:rPr>
                <w:sz w:val="20"/>
              </w:rPr>
              <w:t>center;"&gt;</w:t>
            </w:r>
          </w:p>
          <w:p>
            <w:pPr>
              <w:pStyle w:val="TableParagraph"/>
              <w:tabs>
                <w:tab w:pos="983" w:val="left" w:leader="none"/>
                <w:tab w:pos="2350" w:val="left" w:leader="none"/>
                <w:tab w:pos="2682" w:val="left" w:leader="none"/>
                <w:tab w:pos="3095" w:val="left" w:leader="none"/>
                <w:tab w:pos="3288" w:val="left" w:leader="none"/>
              </w:tabs>
              <w:spacing w:line="208" w:lineRule="auto" w:before="0"/>
              <w:ind w:right="123"/>
              <w:rPr>
                <w:sz w:val="20"/>
              </w:rPr>
            </w:pPr>
            <w:r>
              <w:rPr>
                <w:sz w:val="20"/>
              </w:rPr>
              <w:t>&lt;span style="font-size: medium;"&gt;</w:t>
              <w:tab/>
              <w:tab/>
              <w:t>&lt;span style="font-family: &amp;quot;times new roman&amp;quot;, times;"&gt;</w:t>
              <w:tab/>
              <w:t>&lt;br /&gt;</w:t>
              <w:tab/>
              <w:t>&lt;/span&gt; &lt;/span&gt;&lt;/p&gt;&lt;p style="text-align: left;"&gt; </w:t>
            </w:r>
            <w:r>
              <w:rPr>
                <w:spacing w:val="-4"/>
                <w:sz w:val="20"/>
              </w:rPr>
              <w:t>&lt;span </w:t>
            </w:r>
            <w:r>
              <w:rPr>
                <w:sz w:val="20"/>
              </w:rPr>
              <w:t>style="font-size: medium;"&gt;</w:t>
              <w:tab/>
              <w:t>&lt;span style="font-family: &amp;quot;times new roman&amp;quot;, times;"&gt;</w:t>
              <w:tab/>
              <w:t>&lt;strong&gt;PROCESSO:&lt;/strong&gt;&amp;#160;0188940-45.2016.8.06.0001 -</w:t>
            </w:r>
          </w:p>
          <w:p>
            <w:pPr>
              <w:pStyle w:val="TableParagraph"/>
              <w:tabs>
                <w:tab w:pos="2682" w:val="left" w:leader="none"/>
                <w:tab w:pos="3929" w:val="left" w:leader="none"/>
              </w:tabs>
              <w:spacing w:line="208" w:lineRule="auto" w:before="0"/>
              <w:ind w:right="188"/>
              <w:rPr>
                <w:sz w:val="20"/>
              </w:rPr>
            </w:pPr>
            <w:r>
              <w:rPr>
                <w:sz w:val="20"/>
              </w:rPr>
              <w:t>&amp;#160;APELAÇÃO CÍVEL (198)&lt;/span&gt; &lt;/span&gt;&lt;/p&gt;&lt;p style="text-align: left;"&gt; &lt;span style="font-size: medium;"&gt;</w:t>
              <w:tab/>
              <w:t>&lt;span style="font-family: &amp;quot;times new roman&amp;quot;, times;"&gt;APELANTE:&amp;#160;&lt;/span&gt; &lt;/span&gt; &lt;span style="font-family: &amp;quot;times new roman&amp;quot;, times; font-size: medium;"&gt;</w:t>
              <w:tab/>
              <w:t>&lt;strong&gt;EM ESTALEIRO DO BRASIL LTDA EM RECUPERACAO JUDICIAL&lt;/strong&gt; &lt;/span&gt;&lt;/p&gt;&lt;p style="text-align: left;"&gt; &lt;span style="font-size: medium;"&gt;</w:t>
              <w:tab/>
              <w:t>&lt;span style="font-family: &amp;quot;times new roman&amp;quot;, times;"&gt;APELADOS:&lt;/span&gt; &lt;/span&gt; &lt;span style="font-family: &amp;quot;times new roman&amp;quot;, times; font-size: medium;"&gt;&amp;#160;&lt;/span&gt; &lt;span style="font-family: &amp;quot;times new roman&amp;quot;, times; font-size: medium;"&gt; &lt;strong&gt;ROBERTO </w:t>
            </w:r>
            <w:r>
              <w:rPr>
                <w:spacing w:val="-3"/>
                <w:sz w:val="20"/>
              </w:rPr>
              <w:t>SERGIO </w:t>
            </w:r>
            <w:r>
              <w:rPr>
                <w:sz w:val="20"/>
              </w:rPr>
              <w:t>FARIAS DE SOUZA, SUETAM PARTICIPACOES S.A, ANA MARIA SILVEIRA</w:t>
            </w:r>
          </w:p>
          <w:p>
            <w:pPr>
              <w:pStyle w:val="TableParagraph"/>
              <w:tabs>
                <w:tab w:pos="4484" w:val="left" w:leader="none"/>
              </w:tabs>
              <w:spacing w:line="208" w:lineRule="auto" w:before="0"/>
              <w:ind w:right="143"/>
              <w:rPr>
                <w:sz w:val="20"/>
              </w:rPr>
            </w:pPr>
            <w:r>
              <w:rPr>
                <w:sz w:val="20"/>
              </w:rPr>
              <w:t>FARIAS&lt;/strong&gt;.&lt;/span&gt;&lt;/p&gt;&lt;p style="text-align: left;"&gt;&amp;#160;&lt;/p&gt;&lt;p style="text-align: left;"&gt;&amp;#160;&lt;/p&gt;&lt;p style="line-height: 200%;" align="justify"&gt;&lt;strong&gt; &lt;span </w:t>
            </w:r>
            <w:r>
              <w:rPr>
                <w:spacing w:val="-2"/>
                <w:sz w:val="20"/>
              </w:rPr>
              <w:t>style="font- </w:t>
            </w:r>
            <w:r>
              <w:rPr>
                <w:sz w:val="20"/>
              </w:rPr>
              <w:t>family: &amp;quot;Times New Roman&amp;quot;, serif;"&gt;</w:t>
              <w:tab/>
              <w:t>&lt;span style="font-size: 14pt;"&gt;Ementa&lt;/span&gt; &lt;/span&gt;&lt;/strong&gt;&lt;span style="font-family: &amp;quot;Times New Roman&amp;quot;, serif;"&gt; &lt;span style="font-size: 14pt;"&gt;: DIREITO CIVIL E PROCESSUAL CIVIL. APELAÇÃO CÍVEL. RESCISÃO CONTRATUAL C/C INDENIZAÇÃO POR DANOS MATERIAIS E MULTA CONTRATUAL. CONTRATO DE CONSTRUÇÃO NAVAL. CLÁUSULA DE ELEIÇÃO DE FORO. RELAÇÃO DE CONSUMO CONFIGURADA. DOMICÍLIO DO CONSUMIDOR PREVALECE. INADIMPLEMENTO DA OBRIGAÇÃO DE ENTREGA DA EMBARCAÇÃO. CULPA EXCLUSIVA DA CONTRATADA. DEVOLUÇÃO DE VALORES PAGOS. MULTA CONTRATUAL DEVIDA.&lt;/span&gt;&lt;/span&gt; &lt;span</w:t>
            </w:r>
          </w:p>
          <w:p>
            <w:pPr>
              <w:pStyle w:val="TableParagraph"/>
              <w:spacing w:line="190" w:lineRule="exact" w:before="0"/>
              <w:rPr>
                <w:sz w:val="20"/>
              </w:rPr>
            </w:pPr>
            <w:r>
              <w:rPr>
                <w:sz w:val="20"/>
              </w:rPr>
              <w:t>style="font-family: &amp;quot;Times New Roman&amp;quot;, serif;"&gt; &lt;span style="font-size: 14pt;"&gt;</w:t>
            </w:r>
          </w:p>
          <w:p>
            <w:pPr>
              <w:pStyle w:val="TableParagraph"/>
              <w:spacing w:line="208" w:lineRule="auto" w:before="8"/>
              <w:ind w:right="425"/>
              <w:rPr>
                <w:sz w:val="20"/>
              </w:rPr>
            </w:pPr>
            <w:r>
              <w:rPr>
                <w:sz w:val="20"/>
              </w:rPr>
              <w:t>&lt;strong&gt;RECURSO CONHECIDO E DESPROVIDO&lt;/strong&gt; &lt;/span&gt;&lt;/span&gt;&lt;span style="font-family: &amp;quot;Times New Roman&amp;quot;, serif;"&gt; &lt;span style="font-size: 14pt;"&gt;.&lt;/span&gt;&lt;/span&gt;&lt;/p&gt;&lt;h3 class="western" style="line-height: 200%;"&gt; </w:t>
            </w:r>
            <w:r>
              <w:rPr>
                <w:spacing w:val="6"/>
                <w:sz w:val="20"/>
              </w:rPr>
              <w:t> </w:t>
            </w:r>
            <w:r>
              <w:rPr>
                <w:spacing w:val="-3"/>
                <w:sz w:val="20"/>
              </w:rPr>
              <w:t>&lt;strong&gt;</w:t>
            </w:r>
          </w:p>
          <w:p>
            <w:pPr>
              <w:pStyle w:val="TableParagraph"/>
              <w:tabs>
                <w:tab w:pos="1917" w:val="left" w:leader="none"/>
                <w:tab w:pos="2096" w:val="left" w:leader="none"/>
                <w:tab w:pos="2439" w:val="left" w:leader="none"/>
                <w:tab w:pos="3041" w:val="left" w:leader="none"/>
                <w:tab w:pos="3929" w:val="left" w:leader="none"/>
                <w:tab w:pos="4009" w:val="left" w:leader="none"/>
                <w:tab w:pos="6201" w:val="left" w:leader="none"/>
                <w:tab w:pos="7165" w:val="left" w:leader="none"/>
              </w:tabs>
              <w:spacing w:line="208" w:lineRule="auto" w:before="0"/>
              <w:ind w:right="162"/>
              <w:rPr>
                <w:sz w:val="20"/>
              </w:rPr>
            </w:pPr>
            <w:r>
              <w:rPr>
                <w:sz w:val="20"/>
              </w:rPr>
              <w:t>&lt;span style="font-family: &amp;quot;Times New Roman&amp;quot;, serif;"&gt;</w:t>
              <w:tab/>
              <w:t>&lt;span style="font- size: 14pt;"&gt;I. CASO EM EXAME&lt;/span&gt;</w:t>
              <w:tab/>
              <w:t>&lt;/span&gt;  &lt;/strong&gt;&lt;/h3&gt;&lt;ol&gt;  &lt;li&gt;</w:t>
              <w:tab/>
              <w:t>&lt;p style="line-height: 200%;" align="justify"&gt;</w:t>
              <w:tab/>
              <w:tab/>
              <w:t>&lt;span style="font-family: &amp;quot;Times New Roman&amp;quot;, serif;"&gt;</w:t>
              <w:tab/>
              <w:tab/>
              <w:t>&lt;span style="font-size: 14pt;"&gt;Apelação cível interposta </w:t>
            </w:r>
            <w:r>
              <w:rPr>
                <w:spacing w:val="-3"/>
                <w:sz w:val="20"/>
              </w:rPr>
              <w:t>contra </w:t>
            </w:r>
            <w:r>
              <w:rPr>
                <w:sz w:val="20"/>
              </w:rPr>
              <w:t>sentença que julgou parcialmente procedentes os pedidos formulados em ação de rescisão contratual c/c indenização por danos materiais, condenando a empresa ré à devolução de valores pagos pela parte autora, com aplicação de multa contratual e honorários.&lt;/span&gt;</w:t>
              <w:tab/>
              <w:tab/>
              <w:t>&lt;/span&gt;</w:t>
              <w:tab/>
              <w:t>&lt;/p&gt; &lt;/li&gt;&lt;/ol&gt;&lt;h3 class="western" style="line-height: 200%;"&gt;  &lt;strong&gt;</w:t>
              <w:tab/>
              <w:t>&lt;span style="font-family: &amp;quot;Times New Roman&amp;quot;, serif;"&gt;</w:t>
            </w:r>
          </w:p>
          <w:p>
            <w:pPr>
              <w:pStyle w:val="TableParagraph"/>
              <w:tabs>
                <w:tab w:pos="6479" w:val="left" w:leader="none"/>
              </w:tabs>
              <w:spacing w:line="190" w:lineRule="exact" w:before="0"/>
              <w:rPr>
                <w:sz w:val="20"/>
              </w:rPr>
            </w:pPr>
            <w:r>
              <w:rPr>
                <w:sz w:val="20"/>
              </w:rPr>
              <w:t>&lt;span style="font-size: 14pt;"&gt;II. QUESTÃO EM DISCUSSÃO&lt;/span&gt;</w:t>
              <w:tab/>
              <w:t>&lt;/span&gt;</w:t>
            </w:r>
          </w:p>
          <w:p>
            <w:pPr>
              <w:pStyle w:val="TableParagraph"/>
              <w:tabs>
                <w:tab w:pos="2441" w:val="left" w:leader="none"/>
                <w:tab w:pos="5706" w:val="left" w:leader="none"/>
                <w:tab w:pos="6343" w:val="left" w:leader="none"/>
                <w:tab w:pos="6694" w:val="left" w:leader="none"/>
                <w:tab w:pos="7288" w:val="left" w:leader="none"/>
              </w:tabs>
              <w:spacing w:line="208" w:lineRule="auto" w:before="9"/>
              <w:ind w:right="52"/>
              <w:rPr>
                <w:sz w:val="20"/>
              </w:rPr>
            </w:pPr>
            <w:r>
              <w:rPr>
                <w:sz w:val="20"/>
              </w:rPr>
              <w:t>&lt;/strong&gt;&lt;/h3&gt;&lt;ol&gt;  &lt;li&gt;</w:t>
              <w:tab/>
              <w:t>&lt;p style="line-height: 200%;" align="justify"&gt;</w:t>
              <w:tab/>
              <w:t>&lt;span style="font-family: &amp;quot;Times New Roman&amp;quot;, serif;"&gt;</w:t>
              <w:tab/>
              <w:t>&lt;span style="font-size: 14pt;"&gt;Há quatro questões em discussão: (i) definir a validade da cláusula de eleição de foro em face do domicílio do consumidor; (ii) examinar a responsabilidade contratual pelo inadimplemento da obrigação de entrega da embarcação; (iii) verificar a legalidade da condenação à devolução dos valores pagos e aplicação de multa; (iv) apreciar o pedido </w:t>
            </w:r>
            <w:r>
              <w:rPr>
                <w:spacing w:val="-9"/>
                <w:sz w:val="20"/>
              </w:rPr>
              <w:t>de </w:t>
            </w:r>
            <w:r>
              <w:rPr>
                <w:sz w:val="20"/>
              </w:rPr>
              <w:t>aplicação de multa por litigância de má-fé à parte apelante.&lt;/span&gt;</w:t>
              <w:tab/>
              <w:t>&lt;/span&gt;</w:t>
              <w:tab/>
              <w:t>&lt;/p&gt;</w:t>
            </w:r>
          </w:p>
          <w:p>
            <w:pPr>
              <w:pStyle w:val="TableParagraph"/>
              <w:tabs>
                <w:tab w:pos="1105" w:val="left" w:leader="none"/>
                <w:tab w:pos="2376" w:val="left" w:leader="none"/>
                <w:tab w:pos="3018" w:val="left" w:leader="none"/>
                <w:tab w:pos="4595" w:val="left" w:leader="none"/>
                <w:tab w:pos="6238" w:val="left" w:leader="none"/>
              </w:tabs>
              <w:spacing w:line="208" w:lineRule="auto" w:before="0"/>
              <w:ind w:right="37"/>
              <w:rPr>
                <w:sz w:val="20"/>
              </w:rPr>
            </w:pPr>
            <w:r>
              <w:rPr>
                <w:sz w:val="20"/>
              </w:rPr>
              <w:t>&lt;/li&gt;&lt;/ol&gt;&lt;h3 class="western" style="line-height: 200%;"&gt;  &lt;strong&gt;</w:t>
              <w:tab/>
              <w:t>&lt;span style="font- family: &amp;quot;Times New Roman&amp;quot;, serif;"&gt;</w:t>
              <w:tab/>
              <w:t>&lt;span style="font-size: 14pt;"&gt;III. RAZÕES DE DECIDIR&lt;/span&gt;</w:t>
              <w:tab/>
              <w:t>&lt;/span&gt;  &lt;/strong&gt;&lt;/h3&gt;&lt;ol&gt;  &lt;li&gt;</w:t>
              <w:tab/>
              <w:t>&lt;p style="line-height: 200%;" align="justify"&gt;</w:t>
              <w:tab/>
              <w:t>&lt;span style="font-family: &amp;quot;Times New Roman&amp;quot;, serif;"&gt;</w:t>
              <w:tab/>
              <w:t>&lt;span style="font-size: 14pt;"&gt;A cláusula de eleição de foro que afasta o domicílio do consumidor é abusiva e inaplicável, nos termos do art. 6º, VIII, do CDC, razão pela qual se reconhece a competência do foro da Comarca de Fortaleza/CE.&lt;/span&gt;</w:t>
            </w:r>
          </w:p>
          <w:p>
            <w:pPr>
              <w:pStyle w:val="TableParagraph"/>
              <w:tabs>
                <w:tab w:pos="985" w:val="left" w:leader="none"/>
                <w:tab w:pos="2530" w:val="left" w:leader="none"/>
                <w:tab w:pos="5706" w:val="left" w:leader="none"/>
                <w:tab w:pos="6783" w:val="left" w:leader="none"/>
              </w:tabs>
              <w:spacing w:line="208" w:lineRule="auto" w:before="0"/>
              <w:ind w:right="354"/>
              <w:rPr>
                <w:sz w:val="20"/>
              </w:rPr>
            </w:pPr>
            <w:r>
              <w:rPr>
                <w:sz w:val="20"/>
              </w:rPr>
              <w:t>&lt;/span&gt;</w:t>
              <w:tab/>
              <w:t>&lt;/p&gt;  &lt;/li&gt;  &lt;li&gt;</w:t>
              <w:tab/>
              <w:t>&lt;p style="line-height: 200%;" align="justify"&gt;</w:t>
              <w:tab/>
              <w:t>&lt;span style="font-family: &amp;quot;Times New Roman&amp;quot;, serif;"&gt;</w:t>
              <w:tab/>
              <w:t>&lt;span style="font-size: 14pt;"&gt;Fica configurada a culpa exclusiva da empresa contratada pelo</w:t>
            </w:r>
            <w:r>
              <w:rPr>
                <w:spacing w:val="11"/>
                <w:sz w:val="20"/>
              </w:rPr>
              <w:t> </w:t>
            </w:r>
            <w:r>
              <w:rPr>
                <w:spacing w:val="-2"/>
                <w:sz w:val="20"/>
              </w:rPr>
              <w:t>inadimplemento,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105" w:val="left" w:leader="none"/>
                <w:tab w:pos="2376" w:val="left" w:leader="none"/>
                <w:tab w:pos="3397" w:val="left" w:leader="none"/>
                <w:tab w:pos="4342" w:val="left" w:leader="none"/>
                <w:tab w:pos="5888" w:val="left" w:leader="none"/>
                <w:tab w:pos="6354" w:val="left" w:leader="none"/>
                <w:tab w:pos="7299" w:val="left" w:leader="none"/>
              </w:tabs>
              <w:spacing w:line="208" w:lineRule="auto" w:before="26"/>
              <w:ind w:right="18"/>
              <w:rPr>
                <w:sz w:val="20"/>
              </w:rPr>
            </w:pPr>
            <w:r>
              <w:rPr>
                <w:sz w:val="20"/>
              </w:rPr>
              <w:t>diante da não entrega da embarcação no prazo convencionado, sendo irrelevante a alegação de pendência quanto ao tipo de motor, pois a obrigação principal de construção </w:t>
            </w:r>
            <w:r>
              <w:rPr>
                <w:spacing w:val="-18"/>
                <w:sz w:val="20"/>
              </w:rPr>
              <w:t>e </w:t>
            </w:r>
            <w:r>
              <w:rPr>
                <w:sz w:val="20"/>
              </w:rPr>
              <w:t>entrega não foi adimplida.&lt;/span&gt;</w:t>
              <w:tab/>
              <w:t>&lt;/span&gt;</w:t>
              <w:tab/>
              <w:t>&lt;/p&gt;  &lt;/li&gt;  &lt;li&gt;</w:t>
              <w:tab/>
              <w:t>&lt;p style="line-height: 200%;" align="justify"&gt;</w:t>
              <w:tab/>
              <w:t>&lt;span style="font-family: &amp;quot;Times New Roman&amp;quot;, serif;"&gt;</w:t>
              <w:tab/>
              <w:t>&lt;span style="font-size: 14pt;"&gt;É devida a restituição integral dos valores pagos, corrigidos e acrescidos de juros, bem como a multa contratual estipulada em 10%, conforme previsão expressa no pacto firmado pelas partes.&lt;/span&gt;</w:t>
              <w:tab/>
              <w:t>&lt;/span&gt;</w:t>
              <w:tab/>
              <w:t>&lt;/p&gt;</w:t>
            </w:r>
          </w:p>
          <w:p>
            <w:pPr>
              <w:pStyle w:val="TableParagraph"/>
              <w:tabs>
                <w:tab w:pos="1073" w:val="left" w:leader="none"/>
                <w:tab w:pos="1917" w:val="left" w:leader="none"/>
                <w:tab w:pos="2374" w:val="left" w:leader="none"/>
                <w:tab w:pos="3319" w:val="left" w:leader="none"/>
                <w:tab w:pos="4073" w:val="left" w:leader="none"/>
                <w:tab w:pos="5326" w:val="left" w:leader="none"/>
              </w:tabs>
              <w:spacing w:line="208" w:lineRule="auto" w:before="0"/>
              <w:ind w:right="59"/>
              <w:rPr>
                <w:sz w:val="20"/>
              </w:rPr>
            </w:pPr>
            <w:r>
              <w:rPr>
                <w:sz w:val="20"/>
              </w:rPr>
              <w:t>&lt;/li&gt;  &lt;li&gt;</w:t>
              <w:tab/>
              <w:t>&lt;p style="line-height: 200%;" align="justify"&gt;</w:t>
              <w:tab/>
              <w:t>&lt;span style="font-family: &amp;quot;Times New Roman&amp;quot;, serif;"&gt;</w:t>
              <w:tab/>
              <w:t>&lt;span style="font-size: 14pt;"&gt;Não se constata, todavia, conduta temerária ou ardilosa a justificar a imposição de multa por litigância de má-fé à parte apelante, devendo ser afastado o pedido formulado nas contrarrazões.&lt;/span&gt;</w:t>
              <w:tab/>
              <w:t>&lt;/span&gt;</w:t>
              <w:tab/>
              <w:t>&lt;/p&gt; &lt;/li&gt;&lt;/ol&gt;&lt;h3 class="western" style="line-height: 200%;"&gt;  &lt;strong&gt;</w:t>
              <w:tab/>
              <w:t>&lt;span style="font-family: &amp;quot;Times New Roman&amp;quot;, serif;"&gt;</w:t>
            </w:r>
          </w:p>
          <w:p>
            <w:pPr>
              <w:pStyle w:val="TableParagraph"/>
              <w:tabs>
                <w:tab w:pos="6034" w:val="left" w:leader="none"/>
              </w:tabs>
              <w:spacing w:line="190" w:lineRule="exact" w:before="0"/>
              <w:rPr>
                <w:sz w:val="20"/>
              </w:rPr>
            </w:pPr>
            <w:r>
              <w:rPr>
                <w:sz w:val="20"/>
              </w:rPr>
              <w:t>&lt;span style="font-size: 14pt;"&gt;IV. DISPOSITIVO E TESE&lt;/span&gt;</w:t>
              <w:tab/>
              <w:t>&lt;/span&gt;</w:t>
            </w:r>
          </w:p>
          <w:p>
            <w:pPr>
              <w:pStyle w:val="TableParagraph"/>
              <w:tabs>
                <w:tab w:pos="2441" w:val="left" w:leader="none"/>
                <w:tab w:pos="2784" w:val="left" w:leader="none"/>
                <w:tab w:pos="4520" w:val="left" w:leader="none"/>
                <w:tab w:pos="4697" w:val="left" w:leader="none"/>
                <w:tab w:pos="5642" w:val="left" w:leader="none"/>
                <w:tab w:pos="5706" w:val="left" w:leader="none"/>
                <w:tab w:pos="6694" w:val="left" w:leader="none"/>
              </w:tabs>
              <w:spacing w:line="208" w:lineRule="auto" w:before="9"/>
              <w:ind w:right="184"/>
              <w:rPr>
                <w:sz w:val="20"/>
              </w:rPr>
            </w:pPr>
            <w:r>
              <w:rPr>
                <w:sz w:val="20"/>
              </w:rPr>
              <w:t>&lt;/strong&gt;&lt;/h3&gt;&lt;ol&gt;  &lt;li&gt;</w:t>
              <w:tab/>
              <w:t>&lt;p style="line-height: 200%;" align="justify"&gt;</w:t>
              <w:tab/>
              <w:t>&lt;span style="font-family: &amp;quot;Times New Roman&amp;quot;, serif;"&gt;</w:t>
              <w:tab/>
              <w:tab/>
              <w:t>&lt;span style="font-size: 14pt;"&gt;Recurso conhecido e desprovido.&lt;/span&gt;</w:t>
              <w:tab/>
              <w:tab/>
              <w:t>&lt;/span&gt;</w:t>
              <w:tab/>
              <w:t>&lt;/p&gt; &lt;/li&gt;&lt;/ol&gt;&lt;p style="line-height: 200%;" align="justify"&gt;  &lt;em&gt;</w:t>
              <w:tab/>
              <w:t>&lt;span style="font-family: &amp;quot;Times New Roman&amp;quot;, serif;"&gt;</w:t>
              <w:tab/>
              <w:t>&lt;span style="font-size: 14pt;"&gt;Tese de</w:t>
            </w:r>
            <w:r>
              <w:rPr>
                <w:spacing w:val="-16"/>
                <w:sz w:val="20"/>
              </w:rPr>
              <w:t> </w:t>
            </w:r>
            <w:r>
              <w:rPr>
                <w:sz w:val="20"/>
              </w:rPr>
              <w:t>julgamento&lt;/span&gt;</w:t>
            </w:r>
          </w:p>
          <w:p>
            <w:pPr>
              <w:pStyle w:val="TableParagraph"/>
              <w:spacing w:line="190" w:lineRule="exact" w:before="0"/>
              <w:rPr>
                <w:sz w:val="20"/>
              </w:rPr>
            </w:pPr>
            <w:r>
              <w:rPr>
                <w:sz w:val="20"/>
              </w:rPr>
              <w:t>&lt;/span&gt; &lt;/em&gt; &lt;span style="font-family: &amp;quot;Times New Roman&amp;quot;, serif;"&gt;</w:t>
            </w:r>
          </w:p>
          <w:p>
            <w:pPr>
              <w:pStyle w:val="TableParagraph"/>
              <w:tabs>
                <w:tab w:pos="1105" w:val="left" w:leader="none"/>
                <w:tab w:pos="1585" w:val="left" w:leader="none"/>
                <w:tab w:pos="2376" w:val="left" w:leader="none"/>
                <w:tab w:pos="2530" w:val="left" w:leader="none"/>
                <w:tab w:pos="4075" w:val="left" w:leader="none"/>
                <w:tab w:pos="5802" w:val="left" w:leader="none"/>
              </w:tabs>
              <w:spacing w:line="208" w:lineRule="auto" w:before="10"/>
              <w:ind w:right="157"/>
              <w:rPr>
                <w:sz w:val="20"/>
              </w:rPr>
            </w:pPr>
            <w:r>
              <w:rPr>
                <w:sz w:val="20"/>
              </w:rPr>
              <w:t>&lt;span style="font-size: 14pt;"&gt;:&lt;/span&gt;  &lt;/span&gt;&lt;/p&gt;&lt;ol&gt;  &lt;li&gt;</w:t>
              <w:tab/>
              <w:t>&lt;p style="line-height: 200%;" align="justify"&gt;</w:t>
              <w:tab/>
              <w:t>&lt;span style="font-family: &amp;quot;Times New Roman&amp;quot;, serif;"&gt;</w:t>
              <w:tab/>
              <w:t>&lt;span style="font-size: 14pt;"&gt;A cláusula de eleição de foro que afasta o domicílio do consumidor é nula de pleno direito, por ofensa ao art. 6º, VIII, do CDC.&lt;/span&gt;</w:t>
              <w:tab/>
              <w:t>&lt;/span&gt;</w:t>
              <w:tab/>
              <w:tab/>
              <w:t>&lt;/p&gt;  &lt;/li&gt;  &lt;li&gt;</w:t>
              <w:tab/>
              <w:t>&lt;p style="line-height: 200%;"</w:t>
            </w:r>
            <w:r>
              <w:rPr>
                <w:spacing w:val="-15"/>
                <w:sz w:val="20"/>
              </w:rPr>
              <w:t> </w:t>
            </w:r>
            <w:r>
              <w:rPr>
                <w:sz w:val="20"/>
              </w:rPr>
              <w:t>align="justify"&gt;</w:t>
            </w:r>
          </w:p>
          <w:p>
            <w:pPr>
              <w:pStyle w:val="TableParagraph"/>
              <w:tabs>
                <w:tab w:pos="1682" w:val="left" w:leader="none"/>
                <w:tab w:pos="1985" w:val="left" w:leader="none"/>
                <w:tab w:pos="2930" w:val="left" w:leader="none"/>
                <w:tab w:pos="4476" w:val="left" w:leader="none"/>
                <w:tab w:pos="6312" w:val="left" w:leader="none"/>
              </w:tabs>
              <w:spacing w:line="208" w:lineRule="auto" w:before="0"/>
              <w:ind w:right="131"/>
              <w:rPr>
                <w:sz w:val="20"/>
              </w:rPr>
            </w:pPr>
            <w:r>
              <w:rPr>
                <w:sz w:val="20"/>
              </w:rPr>
              <w:t>&lt;span style="font-family: &amp;quot;Times New Roman&amp;quot;, serif;"&gt;</w:t>
              <w:tab/>
              <w:t>&lt;span style="font- size: 14pt;"&gt;A empresa contratada responde por inadimplemento quando não comprova </w:t>
            </w:r>
            <w:r>
              <w:rPr>
                <w:spacing w:val="-18"/>
                <w:sz w:val="20"/>
              </w:rPr>
              <w:t>a </w:t>
            </w:r>
            <w:r>
              <w:rPr>
                <w:sz w:val="20"/>
              </w:rPr>
              <w:t>entrega da embarcação no prazo acordado, assumindo os riscos contratuais da produção.&lt;/span&gt;</w:t>
              <w:tab/>
              <w:tab/>
              <w:t>&lt;/span&gt;</w:t>
              <w:tab/>
              <w:t>&lt;/p&gt;  &lt;/li&gt;  &lt;li&gt;</w:t>
              <w:tab/>
              <w:t>&lt;p style="line-height: 200%;" align="justify"&gt;</w:t>
              <w:tab/>
              <w:t>&lt;span style="font-family: &amp;quot;Times New Roman&amp;quot;, serif;"&gt;</w:t>
            </w:r>
          </w:p>
          <w:p>
            <w:pPr>
              <w:pStyle w:val="TableParagraph"/>
              <w:tabs>
                <w:tab w:pos="7288" w:val="left" w:leader="none"/>
              </w:tabs>
              <w:spacing w:line="208" w:lineRule="auto" w:before="0"/>
              <w:ind w:right="141"/>
              <w:rPr>
                <w:sz w:val="20"/>
              </w:rPr>
            </w:pPr>
            <w:r>
              <w:rPr>
                <w:sz w:val="20"/>
              </w:rPr>
              <w:t>&lt;span style="font-size: 14pt;"&gt;É cabível a restituição dos valores pagos e a aplicação da multa contratual em razão do descumprimento da obrigação principal.&lt;/span&gt;</w:t>
              <w:tab/>
            </w:r>
            <w:r>
              <w:rPr>
                <w:spacing w:val="-3"/>
                <w:sz w:val="20"/>
              </w:rPr>
              <w:t>&lt;/span&gt;</w:t>
            </w:r>
          </w:p>
          <w:p>
            <w:pPr>
              <w:pStyle w:val="TableParagraph"/>
              <w:tabs>
                <w:tab w:pos="1585" w:val="left" w:leader="none"/>
                <w:tab w:pos="2194" w:val="left" w:leader="none"/>
                <w:tab w:pos="2474" w:val="left" w:leader="none"/>
                <w:tab w:pos="3419" w:val="left" w:leader="none"/>
                <w:tab w:pos="4073" w:val="left" w:leader="none"/>
                <w:tab w:pos="5838" w:val="left" w:leader="none"/>
              </w:tabs>
              <w:spacing w:line="208" w:lineRule="auto" w:before="0"/>
              <w:ind w:right="107"/>
              <w:rPr>
                <w:sz w:val="20"/>
              </w:rPr>
            </w:pPr>
            <w:r>
              <w:rPr>
                <w:sz w:val="20"/>
              </w:rPr>
              <w:t>&lt;/p&gt;  &lt;/li&gt;  &lt;li&gt;</w:t>
              <w:tab/>
              <w:t>&lt;p style="line-height: 200%;" align="justify"&gt;</w:t>
              <w:tab/>
              <w:t>&lt;span style="font-family: &amp;quot;Times New Roman&amp;quot;, serif;"&gt;</w:t>
              <w:tab/>
              <w:t>&lt;span style="font-size: 14pt;"&gt;A ausência </w:t>
            </w:r>
            <w:r>
              <w:rPr>
                <w:spacing w:val="-9"/>
                <w:sz w:val="20"/>
              </w:rPr>
              <w:t>de </w:t>
            </w:r>
            <w:r>
              <w:rPr>
                <w:sz w:val="20"/>
              </w:rPr>
              <w:t>elementos que indiquem má-fé processual afasta a imposição de penalidade prevista no art. 80 do CPC.&lt;/span&gt;</w:t>
              <w:tab/>
              <w:tab/>
              <w:t>&lt;/span&gt;</w:t>
              <w:tab/>
              <w:t>&lt;/p&gt; &lt;/li&gt;&lt;/ol&gt;&lt;hr /&gt;&lt;p style="line-height: 200%;" align="justify"&gt;  &lt;em&gt;</w:t>
              <w:tab/>
              <w:t>&lt;span style="font-family: &amp;quot;Times New Roman&amp;quot;, serif;"&gt;</w:t>
            </w:r>
          </w:p>
          <w:p>
            <w:pPr>
              <w:pStyle w:val="TableParagraph"/>
              <w:tabs>
                <w:tab w:pos="6424" w:val="left" w:leader="none"/>
              </w:tabs>
              <w:spacing w:line="190" w:lineRule="exact" w:before="0"/>
              <w:rPr>
                <w:sz w:val="20"/>
              </w:rPr>
            </w:pPr>
            <w:r>
              <w:rPr>
                <w:sz w:val="20"/>
              </w:rPr>
              <w:t>&lt;span style="font-size: 14pt;"&gt;Dispositivos relevantes citados&lt;/span&gt;</w:t>
              <w:tab/>
              <w:t>&lt;/span&gt;  &lt;/em&gt;</w:t>
            </w:r>
          </w:p>
          <w:p>
            <w:pPr>
              <w:pStyle w:val="TableParagraph"/>
              <w:tabs>
                <w:tab w:pos="6090" w:val="left" w:leader="none"/>
              </w:tabs>
              <w:spacing w:line="208" w:lineRule="auto" w:before="8"/>
              <w:ind w:right="46"/>
              <w:rPr>
                <w:sz w:val="20"/>
              </w:rPr>
            </w:pPr>
            <w:r>
              <w:rPr>
                <w:sz w:val="20"/>
              </w:rPr>
              <w:t>&lt;span style="font-family: &amp;quot;Times New Roman&amp;quot;, serif;"&gt;</w:t>
              <w:tab/>
              <w:t>&lt;span style="font-size: 14pt;"&gt;: CF/1988, art. 5º, XXXII; CDC, arts. 6º, III e VIII, 14 e 51, I; CPC/2015, arts. 80 e</w:t>
            </w:r>
          </w:p>
          <w:p>
            <w:pPr>
              <w:pStyle w:val="TableParagraph"/>
              <w:tabs>
                <w:tab w:pos="3851" w:val="left" w:leader="none"/>
                <w:tab w:pos="4385" w:val="left" w:leader="none"/>
                <w:tab w:pos="5595" w:val="left" w:leader="none"/>
                <w:tab w:pos="7039" w:val="left" w:leader="none"/>
              </w:tabs>
              <w:spacing w:line="208" w:lineRule="auto" w:before="0"/>
              <w:ind w:right="71"/>
              <w:rPr>
                <w:sz w:val="20"/>
              </w:rPr>
            </w:pPr>
            <w:r>
              <w:rPr>
                <w:sz w:val="20"/>
              </w:rPr>
              <w:t>81.&lt;/span&gt;  &lt;/span&gt;&lt;/p&gt;&lt;p style="line-height: 200%;" align="justify"&gt;  &lt;em&gt;</w:t>
              <w:tab/>
              <w:t>&lt;span style="font-family: &amp;quot;Times New Roman&amp;quot;, serif;"&gt;</w:t>
              <w:tab/>
              <w:t>&lt;span style="font-size: 14pt;"&gt;Jurisprudência relevante citada&lt;/span&gt;</w:t>
              <w:tab/>
              <w:t>&lt;/span&gt; &lt;/em&gt; &lt;span style="font-family: &amp;quot;Times New Roman&amp;quot;, serif;"&gt;</w:t>
              <w:tab/>
              <w:t>&lt;span style="font-size: 14pt;"&gt;: (STJ - REsp: 1723690 DF 2018/0030908-1, Relator.: Ministro RICARDO VILLAS BÔAS CUEVA, Data</w:t>
            </w:r>
          </w:p>
          <w:p>
            <w:pPr>
              <w:pStyle w:val="TableParagraph"/>
              <w:spacing w:line="208" w:lineRule="auto" w:before="0"/>
              <w:ind w:right="1"/>
              <w:rPr>
                <w:sz w:val="20"/>
              </w:rPr>
            </w:pPr>
            <w:r>
              <w:rPr>
                <w:sz w:val="20"/>
              </w:rPr>
              <w:t>de Julgamento: 06/08/2019, T3 - TERCEIRA TURMA, Data de Publicação: DJe 12/08/2019 RB vol. 660 p. 186); (TJ-CE - AC: 01243659120178060001 Fortaleza, Relator.: JOSE</w:t>
            </w:r>
          </w:p>
          <w:p>
            <w:pPr>
              <w:pStyle w:val="TableParagraph"/>
              <w:spacing w:line="208" w:lineRule="auto" w:before="0"/>
              <w:rPr>
                <w:sz w:val="20"/>
              </w:rPr>
            </w:pPr>
            <w:r>
              <w:rPr>
                <w:sz w:val="20"/>
              </w:rPr>
              <w:t>EVANDRO NOGUEIRA LIMA FILHO, Data de Julgamento: 18/10/2022, 4ª Câmara </w:t>
            </w:r>
            <w:r>
              <w:rPr>
                <w:spacing w:val="-3"/>
                <w:sz w:val="20"/>
              </w:rPr>
              <w:t>Direito </w:t>
            </w:r>
            <w:r>
              <w:rPr>
                <w:sz w:val="20"/>
              </w:rPr>
              <w:t>Privado, Data de Publicação: 18/10/2022).&lt;/span&gt; &lt;/span&gt;&lt;/p&gt;&lt;p style="line-height: 200%;" align="justify"&gt; &lt;br /&gt; &lt;br /&gt;&lt;/p&gt;&lt;p style="line-height: 200%;" align="center"&gt;</w:t>
            </w:r>
          </w:p>
          <w:p>
            <w:pPr>
              <w:pStyle w:val="TableParagraph"/>
              <w:tabs>
                <w:tab w:pos="1051" w:val="left" w:leader="none"/>
              </w:tabs>
              <w:spacing w:line="208" w:lineRule="auto" w:before="0"/>
              <w:ind w:right="60"/>
              <w:rPr>
                <w:sz w:val="20"/>
              </w:rPr>
            </w:pPr>
            <w:r>
              <w:rPr>
                <w:sz w:val="20"/>
              </w:rPr>
              <w:t>&lt;strong&gt;</w:t>
              <w:tab/>
              <w:t>&lt;span style="font-variant-numeric: normal; font-variant-east-asian: normal; </w:t>
            </w:r>
            <w:r>
              <w:rPr>
                <w:spacing w:val="-4"/>
                <w:sz w:val="20"/>
              </w:rPr>
              <w:t>font- </w:t>
            </w:r>
            <w:r>
              <w:rPr>
                <w:sz w:val="20"/>
              </w:rPr>
              <w:t>variant-alternates: normal; font-variant-position: normal; font-variant-emoji: normal;"&gt;</w:t>
            </w:r>
          </w:p>
          <w:p>
            <w:pPr>
              <w:pStyle w:val="TableParagraph"/>
              <w:tabs>
                <w:tab w:pos="2550" w:val="left" w:leader="none"/>
                <w:tab w:pos="3256" w:val="left" w:leader="none"/>
              </w:tabs>
              <w:spacing w:line="208" w:lineRule="auto" w:before="0"/>
              <w:ind w:right="1079"/>
              <w:rPr>
                <w:sz w:val="20"/>
              </w:rPr>
            </w:pPr>
            <w:r>
              <w:rPr>
                <w:sz w:val="20"/>
              </w:rPr>
              <w:t>&lt;span style="color: #000000;"&gt;</w:t>
              <w:tab/>
              <w:t>&lt;span style="font-family: &amp;quot;Times </w:t>
            </w:r>
            <w:r>
              <w:rPr>
                <w:spacing w:val="-6"/>
                <w:sz w:val="20"/>
              </w:rPr>
              <w:t>New </w:t>
            </w:r>
            <w:r>
              <w:rPr>
                <w:sz w:val="20"/>
              </w:rPr>
              <w:t>Roman&amp;quot;, serif;"&gt;</w:t>
              <w:tab/>
              <w:t>&lt;span style="font-size: 14pt;"&gt;</w:t>
            </w:r>
          </w:p>
          <w:p>
            <w:pPr>
              <w:pStyle w:val="TableParagraph"/>
              <w:tabs>
                <w:tab w:pos="3296" w:val="left" w:leader="none"/>
                <w:tab w:pos="4464" w:val="left" w:leader="none"/>
                <w:tab w:pos="5520" w:val="left" w:leader="none"/>
                <w:tab w:pos="6465" w:val="left" w:leader="none"/>
              </w:tabs>
              <w:spacing w:line="190" w:lineRule="exact" w:before="0"/>
              <w:rPr>
                <w:sz w:val="20"/>
              </w:rPr>
            </w:pPr>
            <w:r>
              <w:rPr>
                <w:sz w:val="20"/>
              </w:rPr>
              <w:t>&lt;strong&gt;ACÓRDÃO:&lt;/strong&gt;</w:t>
              <w:tab/>
              <w:t>&lt;/span&gt;</w:t>
              <w:tab/>
              <w:t>&lt;/span&gt;</w:t>
              <w:tab/>
              <w:t>&lt;/span&gt;</w:t>
              <w:tab/>
              <w:t>&lt;/span&gt;</w:t>
            </w:r>
          </w:p>
          <w:p>
            <w:pPr>
              <w:pStyle w:val="TableParagraph"/>
              <w:tabs>
                <w:tab w:pos="4962" w:val="left" w:leader="none"/>
              </w:tabs>
              <w:spacing w:line="208" w:lineRule="auto" w:before="8"/>
              <w:ind w:right="418"/>
              <w:rPr>
                <w:sz w:val="20"/>
              </w:rPr>
            </w:pPr>
            <w:r>
              <w:rPr>
                <w:sz w:val="20"/>
              </w:rPr>
              <w:t>&lt;/strong&gt;&lt;/p&gt;&lt;p style="line-height: 200%;" align="justify"&gt; &lt;span style="font-variant- numeric: normal; font-variant-east-asian: normal; font-variant-alternates: normal; font- variant-position: normal; font-variant-emoji: normal;"&gt;</w:t>
              <w:tab/>
              <w:t>&lt;span style="color:</w:t>
            </w:r>
            <w:r>
              <w:rPr>
                <w:spacing w:val="-17"/>
                <w:sz w:val="20"/>
              </w:rPr>
              <w:t> </w:t>
            </w:r>
            <w:r>
              <w:rPr>
                <w:sz w:val="20"/>
              </w:rPr>
              <w:t>#000000;"&gt;</w:t>
            </w:r>
          </w:p>
          <w:p>
            <w:pPr>
              <w:pStyle w:val="TableParagraph"/>
              <w:tabs>
                <w:tab w:pos="6312" w:val="left" w:leader="none"/>
              </w:tabs>
              <w:spacing w:line="208" w:lineRule="auto" w:before="0"/>
              <w:ind w:right="87"/>
              <w:rPr>
                <w:sz w:val="20"/>
              </w:rPr>
            </w:pPr>
            <w:r>
              <w:rPr>
                <w:sz w:val="20"/>
              </w:rPr>
              <w:t>&lt;span style="font-family: &amp;quot;Times New Roman&amp;quot;, serif;"&gt;</w:t>
              <w:tab/>
              <w:t>&lt;span style="font- size: 14pt;"&gt;Vistos, relatados e discutidos esses autos, acorda a Quinta Câmara de </w:t>
            </w:r>
            <w:r>
              <w:rPr>
                <w:spacing w:val="-3"/>
                <w:sz w:val="20"/>
              </w:rPr>
              <w:t>Direito </w:t>
            </w:r>
            <w:r>
              <w:rPr>
                <w:sz w:val="20"/>
              </w:rPr>
              <w:t>Privado do Egrégio Tribunal de Justiça do Ceará, por unanimidade, em&amp;#160;&lt;/span&gt;</w:t>
            </w:r>
          </w:p>
          <w:p>
            <w:pPr>
              <w:pStyle w:val="TableParagraph"/>
              <w:tabs>
                <w:tab w:pos="985" w:val="left" w:leader="none"/>
                <w:tab w:pos="2884" w:val="left" w:leader="none"/>
                <w:tab w:pos="3664" w:val="left" w:leader="none"/>
                <w:tab w:pos="4818" w:val="left" w:leader="none"/>
                <w:tab w:pos="6100" w:val="left" w:leader="none"/>
              </w:tabs>
              <w:spacing w:line="208" w:lineRule="auto" w:before="0"/>
              <w:ind w:right="270"/>
              <w:rPr>
                <w:sz w:val="20"/>
              </w:rPr>
            </w:pPr>
            <w:r>
              <w:rPr>
                <w:sz w:val="20"/>
              </w:rPr>
              <w:t>&lt;/span&gt;</w:t>
              <w:tab/>
              <w:t>&lt;/span&gt;  &lt;/span&gt;  &lt;strong&gt;</w:t>
              <w:tab/>
              <w:t>&lt;span style="font-variant-numeric: normal; </w:t>
            </w:r>
            <w:r>
              <w:rPr>
                <w:spacing w:val="-4"/>
                <w:sz w:val="20"/>
              </w:rPr>
              <w:t>font- </w:t>
            </w:r>
            <w:r>
              <w:rPr>
                <w:sz w:val="20"/>
              </w:rPr>
              <w:t>variant-east-asian: normal; font-variant-alternates: normal; font-variant-position: normal; font-variant-emoji: normal;"&gt;</w:t>
              <w:tab/>
              <w:t>&lt;span style="color: #000000;"&gt;</w:t>
              <w:tab/>
              <w:t>&lt;span style="font- family: &amp;quot;Times New Roman&amp;quot;, serif;"&gt;</w:t>
              <w:tab/>
              <w:t>&lt;span style="font-size: 14pt;"&gt;</w:t>
            </w:r>
          </w:p>
          <w:p>
            <w:pPr>
              <w:pStyle w:val="TableParagraph"/>
              <w:tabs>
                <w:tab w:pos="3374" w:val="left" w:leader="none"/>
                <w:tab w:pos="4541" w:val="left" w:leader="none"/>
                <w:tab w:pos="5598" w:val="left" w:leader="none"/>
                <w:tab w:pos="6543" w:val="left" w:leader="none"/>
              </w:tabs>
              <w:spacing w:line="190" w:lineRule="exact" w:before="0"/>
              <w:rPr>
                <w:sz w:val="20"/>
              </w:rPr>
            </w:pPr>
            <w:r>
              <w:rPr>
                <w:sz w:val="20"/>
              </w:rPr>
              <w:t>&lt;strong&gt;CONHECER&lt;/strong&gt;</w:t>
              <w:tab/>
              <w:t>&lt;/span&gt;</w:t>
              <w:tab/>
              <w:t>&lt;/span&gt;</w:t>
              <w:tab/>
              <w:t>&lt;/span&gt;</w:t>
              <w:tab/>
              <w:t>&lt;/span&gt;</w:t>
            </w:r>
          </w:p>
          <w:p>
            <w:pPr>
              <w:pStyle w:val="TableParagraph"/>
              <w:spacing w:line="208" w:lineRule="auto" w:before="9"/>
              <w:ind w:right="116"/>
              <w:rPr>
                <w:sz w:val="20"/>
              </w:rPr>
            </w:pPr>
            <w:r>
              <w:rPr>
                <w:sz w:val="20"/>
              </w:rPr>
              <w:t>&lt;/strong&gt; &lt;span style="font-variant-numeric: normal; font-variant-east-asian: normal; font- variant-alternates: normal; font-variant-position: normal; font-variant-emoji: normal;"&gt;</w:t>
            </w:r>
          </w:p>
          <w:p>
            <w:pPr>
              <w:pStyle w:val="TableParagraph"/>
              <w:tabs>
                <w:tab w:pos="2439" w:val="left" w:leader="none"/>
                <w:tab w:pos="3144" w:val="left" w:leader="none"/>
              </w:tabs>
              <w:spacing w:line="208" w:lineRule="auto" w:before="0"/>
              <w:ind w:right="262"/>
              <w:rPr>
                <w:sz w:val="20"/>
              </w:rPr>
            </w:pPr>
            <w:r>
              <w:rPr>
                <w:sz w:val="20"/>
              </w:rPr>
              <w:t>&lt;span style="color: #000000;"&gt;</w:t>
              <w:tab/>
              <w:t>&lt;span style="font-family: &amp;quot;Times New Roman&amp;quot;, serif;"&gt;</w:t>
              <w:tab/>
              <w:t>&lt;span style="font-size: 14pt;"&gt;&amp;#160;do recurso de</w:t>
            </w:r>
            <w:r>
              <w:rPr>
                <w:spacing w:val="6"/>
                <w:sz w:val="20"/>
              </w:rPr>
              <w:t> </w:t>
            </w:r>
            <w:r>
              <w:rPr>
                <w:spacing w:val="-3"/>
                <w:sz w:val="20"/>
              </w:rPr>
              <w:t>Apelação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841" w:val="left" w:leader="none"/>
                <w:tab w:pos="2786" w:val="left" w:leader="none"/>
                <w:tab w:pos="5073" w:val="left" w:leader="none"/>
                <w:tab w:pos="5466" w:val="left" w:leader="none"/>
              </w:tabs>
              <w:spacing w:line="208" w:lineRule="auto" w:before="26"/>
              <w:ind w:right="307"/>
              <w:rPr>
                <w:sz w:val="20"/>
              </w:rPr>
            </w:pPr>
            <w:r>
              <w:rPr>
                <w:sz w:val="20"/>
              </w:rPr>
              <w:t>e&amp;#160;&lt;/span&gt;</w:t>
              <w:tab/>
              <w:t>&lt;/span&gt;</w:t>
              <w:tab/>
              <w:t>&lt;/span&gt;  &lt;/span&gt;  &lt;strong&gt;</w:t>
              <w:tab/>
              <w:t>&lt;span style="font-variant- numeric: normal; font-variant-east-asian: normal; font-variant-alternates: normal; font- variant-position: normal; font-variant-emoji: normal;"&gt;</w:t>
              <w:tab/>
              <w:t>&lt;span style="color:</w:t>
            </w:r>
            <w:r>
              <w:rPr>
                <w:spacing w:val="-17"/>
                <w:sz w:val="20"/>
              </w:rPr>
              <w:t> </w:t>
            </w:r>
            <w:r>
              <w:rPr>
                <w:sz w:val="20"/>
              </w:rPr>
              <w:t>#000000;"&gt;</w:t>
            </w:r>
          </w:p>
          <w:p>
            <w:pPr>
              <w:pStyle w:val="TableParagraph"/>
              <w:tabs>
                <w:tab w:pos="1806" w:val="left" w:leader="none"/>
                <w:tab w:pos="6423" w:val="left" w:leader="none"/>
                <w:tab w:pos="7141" w:val="left" w:leader="none"/>
              </w:tabs>
              <w:spacing w:line="208" w:lineRule="auto" w:before="0"/>
              <w:ind w:right="124"/>
              <w:rPr>
                <w:sz w:val="20"/>
              </w:rPr>
            </w:pPr>
            <w:r>
              <w:rPr>
                <w:sz w:val="20"/>
              </w:rPr>
              <w:t>&lt;span style="font-family: &amp;quot;Times New Roman&amp;quot;, serif;"&gt;</w:t>
              <w:tab/>
              <w:t>&lt;span </w:t>
            </w:r>
            <w:r>
              <w:rPr>
                <w:spacing w:val="-2"/>
                <w:sz w:val="20"/>
              </w:rPr>
              <w:t>style="font- </w:t>
            </w:r>
            <w:r>
              <w:rPr>
                <w:sz w:val="20"/>
              </w:rPr>
              <w:t>size: 14pt;"&gt;</w:t>
              <w:tab/>
              <w:t>&lt;strong&gt;NEGAR-LHE&amp;#160;PROVIMENTO&lt;/strong&gt;</w:t>
              <w:tab/>
              <w:t>&lt;/span&gt;</w:t>
            </w:r>
          </w:p>
          <w:p>
            <w:pPr>
              <w:pStyle w:val="TableParagraph"/>
              <w:tabs>
                <w:tab w:pos="1096" w:val="left" w:leader="none"/>
                <w:tab w:pos="2041" w:val="left" w:leader="none"/>
                <w:tab w:pos="2773" w:val="left" w:leader="none"/>
                <w:tab w:pos="3731" w:val="left" w:leader="none"/>
                <w:tab w:pos="4073" w:val="left" w:leader="none"/>
                <w:tab w:pos="5878" w:val="left" w:leader="none"/>
              </w:tabs>
              <w:spacing w:line="208" w:lineRule="auto" w:before="0"/>
              <w:ind w:right="91"/>
              <w:rPr>
                <w:sz w:val="20"/>
              </w:rPr>
            </w:pPr>
            <w:r>
              <w:rPr>
                <w:sz w:val="20"/>
              </w:rPr>
              <w:t>&lt;/span&gt;</w:t>
              <w:tab/>
              <w:t>&lt;/span&gt;</w:t>
              <w:tab/>
              <w:t>&lt;/span&gt; &lt;/strong&gt; &lt;span style="font-variant-numeric: normal; font- variant-east-asian: normal; font-variant-alternates: normal; font-variant-position: normal; font-variant-emoji: normal;"&gt;</w:t>
              <w:tab/>
              <w:t>&lt;span style="color: #000000;"&gt;</w:t>
              <w:tab/>
              <w:t>&lt;span style="font-family: &amp;quot;Times New Roman&amp;quot;, serif;"&gt;</w:t>
              <w:tab/>
              <w:tab/>
              <w:t>&lt;span style="font-size: 14pt;"&gt;, nos termos do voto do Relator.&lt;/span&gt;</w:t>
              <w:tab/>
              <w:t>&lt;/span&gt;</w:t>
              <w:tab/>
              <w:t>&lt;/span&gt; &lt;/span&gt;&lt;/p&gt;&lt;p style="font-variant- numeric: normal; font-variant-east-asian: normal; font-variant-alternates: normal; font- variant-position: normal; font-variant-emoji: normal; line-height: 200%;" align="justify"&gt;</w:t>
            </w:r>
          </w:p>
          <w:p>
            <w:pPr>
              <w:pStyle w:val="TableParagraph"/>
              <w:tabs>
                <w:tab w:pos="2217" w:val="left" w:leader="none"/>
              </w:tabs>
              <w:spacing w:line="208" w:lineRule="auto" w:before="0"/>
              <w:ind w:right="125"/>
              <w:rPr>
                <w:sz w:val="20"/>
              </w:rPr>
            </w:pPr>
            <w:r>
              <w:rPr>
                <w:sz w:val="20"/>
              </w:rPr>
              <w:t>&lt;span style="color: #000000;"&gt;&amp;#160; &lt;span style="font-family: &amp;quot;Times New Roman&amp;quot;, serif;"&gt;</w:t>
              <w:tab/>
              <w:t>&lt;span style="font-size: 14pt;"&gt;Fortaleza, data e hora indicadas pelo sistema.&amp;#160;&lt;/span&gt; &lt;/span&gt;&lt;/span&gt;&lt;/p&gt;&lt;p style="font-variant-numeric: normal; font-variant-east-asian: normal; font-variant-alternates: normal; font-variant-position: normal; font-variant-emoji: normal; line-height: 200%;" align="center"&gt; &lt;span </w:t>
            </w:r>
            <w:r>
              <w:rPr>
                <w:spacing w:val="-2"/>
                <w:sz w:val="20"/>
              </w:rPr>
              <w:t>style="color: </w:t>
            </w:r>
            <w:r>
              <w:rPr>
                <w:sz w:val="20"/>
              </w:rPr>
              <w:t>#000000;"&gt;&amp;#160;&amp;#160;&lt;/span&gt;&lt;/p&gt;&lt;p style="line-height: 200%;" align="center"&gt;</w:t>
            </w:r>
          </w:p>
          <w:p>
            <w:pPr>
              <w:pStyle w:val="TableParagraph"/>
              <w:tabs>
                <w:tab w:pos="1051" w:val="left" w:leader="none"/>
              </w:tabs>
              <w:spacing w:line="208" w:lineRule="auto" w:before="0"/>
              <w:ind w:right="60"/>
              <w:rPr>
                <w:sz w:val="20"/>
              </w:rPr>
            </w:pPr>
            <w:r>
              <w:rPr>
                <w:sz w:val="20"/>
              </w:rPr>
              <w:t>&lt;strong&gt;</w:t>
              <w:tab/>
              <w:t>&lt;span style="font-variant-numeric: normal; font-variant-east-asian: normal; </w:t>
            </w:r>
            <w:r>
              <w:rPr>
                <w:spacing w:val="-4"/>
                <w:sz w:val="20"/>
              </w:rPr>
              <w:t>font- </w:t>
            </w:r>
            <w:r>
              <w:rPr>
                <w:sz w:val="20"/>
              </w:rPr>
              <w:t>variant-alternates: normal; font-variant-position: normal; font-variant-emoji: normal;"&gt;</w:t>
            </w:r>
          </w:p>
          <w:p>
            <w:pPr>
              <w:pStyle w:val="TableParagraph"/>
              <w:tabs>
                <w:tab w:pos="2550" w:val="left" w:leader="none"/>
                <w:tab w:pos="3256" w:val="left" w:leader="none"/>
                <w:tab w:pos="5922" w:val="left" w:leader="none"/>
              </w:tabs>
              <w:spacing w:line="208" w:lineRule="auto" w:before="0"/>
              <w:ind w:right="359"/>
              <w:rPr>
                <w:sz w:val="20"/>
              </w:rPr>
            </w:pPr>
            <w:r>
              <w:rPr>
                <w:sz w:val="20"/>
              </w:rPr>
              <w:t>&lt;span style="color: #000000;"&gt;</w:t>
              <w:tab/>
              <w:t>&lt;span style="font-family: &amp;quot;Times New Roman&amp;quot;, serif;"&gt;</w:t>
              <w:tab/>
              <w:t>&lt;span style="font-size: 14pt;"&gt;</w:t>
              <w:tab/>
              <w:t>&lt;span</w:t>
            </w:r>
            <w:r>
              <w:rPr>
                <w:spacing w:val="9"/>
                <w:sz w:val="20"/>
              </w:rPr>
              <w:t> </w:t>
            </w:r>
            <w:r>
              <w:rPr>
                <w:spacing w:val="-2"/>
                <w:sz w:val="20"/>
              </w:rPr>
              <w:t>lang="pt-BR"&gt;</w:t>
            </w:r>
          </w:p>
          <w:p>
            <w:pPr>
              <w:pStyle w:val="TableParagraph"/>
              <w:tabs>
                <w:tab w:pos="5686" w:val="left" w:leader="none"/>
                <w:tab w:pos="6964" w:val="left" w:leader="none"/>
              </w:tabs>
              <w:spacing w:line="190" w:lineRule="exact" w:before="0"/>
              <w:rPr>
                <w:sz w:val="20"/>
              </w:rPr>
            </w:pPr>
            <w:r>
              <w:rPr>
                <w:sz w:val="20"/>
              </w:rPr>
              <w:t>&lt;strong&gt;MARIA REGINA OLIVEIRA CÂMARA&lt;/strong&gt;</w:t>
              <w:tab/>
              <w:t>&lt;/span&gt;</w:t>
              <w:tab/>
              <w:t>&lt;/span&gt;</w:t>
            </w:r>
          </w:p>
          <w:p>
            <w:pPr>
              <w:pStyle w:val="TableParagraph"/>
              <w:tabs>
                <w:tab w:pos="1096" w:val="left" w:leader="none"/>
                <w:tab w:pos="1284" w:val="left" w:leader="none"/>
                <w:tab w:pos="1339" w:val="left" w:leader="none"/>
                <w:tab w:pos="2041" w:val="left" w:leader="none"/>
                <w:tab w:pos="3606" w:val="left" w:leader="none"/>
                <w:tab w:pos="4008" w:val="left" w:leader="none"/>
                <w:tab w:pos="5752" w:val="left" w:leader="none"/>
                <w:tab w:pos="5817" w:val="left" w:leader="none"/>
                <w:tab w:pos="6741" w:val="left" w:leader="none"/>
                <w:tab w:pos="6822" w:val="left" w:leader="none"/>
                <w:tab w:pos="7445" w:val="left" w:leader="none"/>
              </w:tabs>
              <w:spacing w:line="208" w:lineRule="auto" w:before="8"/>
              <w:ind w:right="62"/>
              <w:rPr>
                <w:sz w:val="20"/>
              </w:rPr>
            </w:pPr>
            <w:r>
              <w:rPr>
                <w:sz w:val="20"/>
              </w:rPr>
              <w:t>&lt;/span&gt;</w:t>
              <w:tab/>
              <w:t>&lt;/span&gt;</w:t>
              <w:tab/>
              <w:t>&lt;/span&gt; &lt;/strong&gt;&lt;/p&gt;&lt;p style="font-variant-numeric: normal; font- variant-east-asian: normal; font-variant-alternates: normal; font-variant-position: normal; font-variant-emoji: normal; line-height: 200%;" align="center"&gt; &lt;span style="color: #000000;"&gt;</w:t>
              <w:tab/>
              <w:tab/>
              <w:t>&lt;span style="font-family: &amp;quot;Times New Roman&amp;quot;, serif;"&gt;</w:t>
              <w:tab/>
              <w:t>&lt;span style="font-size: 14pt;"&gt;Presidente do Órgão Julgador&lt;/span&gt;</w:t>
              <w:tab/>
              <w:t>&lt;/span&gt; &lt;/span&gt;&lt;/p&gt;&lt;p style="line-height: 200%;" align="center"&gt; &lt;br /&gt; &lt;br /&gt;&lt;/p&gt;&lt;p style="line-height: 200%;" align="center"&gt; &lt;span style="font-variant-numeric: normal; font-variant-east-asian: </w:t>
            </w:r>
            <w:r>
              <w:rPr>
                <w:spacing w:val="-3"/>
                <w:sz w:val="20"/>
              </w:rPr>
              <w:t>normal; </w:t>
            </w:r>
            <w:r>
              <w:rPr>
                <w:sz w:val="20"/>
              </w:rPr>
              <w:t>font-variant-alternates: normal; font-variant-position: normal; font-variant-emoji: normal;"&gt;&amp;#160;&amp;#160;&lt;/span&gt;  &lt;strong&gt;</w:t>
              <w:tab/>
              <w:t>&lt;span style="font-variant-numeric: normal; font-variant-east-asian: normal; font-variant-alternates: normal; font-variant-position: normal; font-variant-emoji: normal;"&gt;</w:t>
              <w:tab/>
              <w:t>&lt;span style="color: #000000;"&gt;</w:t>
              <w:tab/>
              <w:tab/>
              <w:t>&lt;span style="font-family: &amp;quot;Times New Roman&amp;quot;, serif;"&gt;</w:t>
              <w:tab/>
              <w:tab/>
              <w:t>&lt;span style="font-size: 14pt;"&gt;</w:t>
              <w:tab/>
              <w:tab/>
              <w:tab/>
              <w:t>&lt;strong&gt;JOSÉ KRENTEL FERREIRA FILHO&lt;/strong&gt;</w:t>
              <w:tab/>
              <w:t>&lt;/span&gt;</w:t>
            </w:r>
          </w:p>
          <w:p>
            <w:pPr>
              <w:pStyle w:val="TableParagraph"/>
              <w:tabs>
                <w:tab w:pos="1096" w:val="left" w:leader="none"/>
                <w:tab w:pos="1284" w:val="left" w:leader="none"/>
                <w:tab w:pos="2041" w:val="left" w:leader="none"/>
                <w:tab w:pos="2328" w:val="left" w:leader="none"/>
                <w:tab w:pos="3507" w:val="left" w:leader="none"/>
                <w:tab w:pos="4362" w:val="left" w:leader="none"/>
                <w:tab w:pos="7134" w:val="left" w:leader="none"/>
                <w:tab w:pos="7445" w:val="left" w:leader="none"/>
              </w:tabs>
              <w:spacing w:line="208" w:lineRule="auto" w:before="0"/>
              <w:ind w:right="137"/>
              <w:rPr>
                <w:sz w:val="20"/>
              </w:rPr>
            </w:pPr>
            <w:r>
              <w:rPr>
                <w:sz w:val="20"/>
              </w:rPr>
              <w:t>&lt;/span&gt;</w:t>
              <w:tab/>
              <w:t>&lt;/span&gt;</w:t>
              <w:tab/>
              <w:t>&lt;/span&gt; &lt;/strong&gt;&lt;/p&gt;&lt;p style="font-variant-numeric: normal; </w:t>
            </w:r>
            <w:r>
              <w:rPr>
                <w:spacing w:val="-4"/>
                <w:sz w:val="20"/>
              </w:rPr>
              <w:t>font- </w:t>
            </w:r>
            <w:r>
              <w:rPr>
                <w:sz w:val="20"/>
              </w:rPr>
              <w:t>variant-east-asian: normal; font-variant-alternates: normal; font-variant-position: normal; font-variant-emoji: normal; line-height: 200%;" align="center"&gt; &lt;span style="color: #000000;"&gt;</w:t>
              <w:tab/>
              <w:tab/>
              <w:t>&lt;span style="font-family: &amp;quot;Times New Roman&amp;quot;, serif;"&gt;</w:t>
              <w:tab/>
              <w:tab/>
              <w:t>&lt;span style="font-size: 14pt;"&gt;Relator&amp;#160;&lt;/span&gt;</w:t>
              <w:tab/>
              <w:t>&lt;/span&gt; &lt;/span&gt;&lt;/p&gt;&lt;p style="line- height: 200%;" align="left"&gt; &lt;br /&gt; &lt;br /&gt;&lt;/p&gt;&lt;h2 class="western" style="line-height: 200%; text-align: center;"&gt;  &lt;strong&gt;</w:t>
              <w:tab/>
              <w:t>&lt;span style="font-family: &amp;quot;Times New Roman&amp;quot;, serif;"&gt;</w:t>
              <w:tab/>
              <w:tab/>
              <w:t>&lt;span style="font-size: 14pt;"&gt;RELATÓRIO&lt;/span&gt;</w:t>
              <w:tab/>
              <w:t>&lt;/span&gt;</w:t>
            </w:r>
          </w:p>
          <w:p>
            <w:pPr>
              <w:pStyle w:val="TableParagraph"/>
              <w:tabs>
                <w:tab w:pos="883" w:val="left" w:leader="none"/>
                <w:tab w:pos="2673" w:val="left" w:leader="none"/>
                <w:tab w:pos="3851" w:val="left" w:leader="none"/>
              </w:tabs>
              <w:spacing w:line="208" w:lineRule="auto" w:before="0"/>
              <w:ind w:right="42"/>
              <w:rPr>
                <w:sz w:val="20"/>
              </w:rPr>
            </w:pPr>
            <w:r>
              <w:rPr>
                <w:sz w:val="20"/>
              </w:rPr>
              <w:t>&lt;/strong&gt;&lt;/h2&gt;&lt;p style="line-height: 200%;" align="justify"&gt;&lt;span style="font-family: &amp;quot;Times New Roman&amp;quot;, serif;"&gt; &lt;span style="font-size: 14pt;"&gt;Trata-se de&lt;/span&gt;&lt;/span&gt; &lt;strong&gt; &lt;span style="font-family: &amp;quot;Times New Roman&amp;quot;, serif;"&gt;</w:t>
              <w:tab/>
              <w:t>&lt;span style="font-size: 14pt;"&gt;ação de rescisão contratual cumulada com indenização por perdas e danos&lt;/span&gt; &lt;/span&gt;&lt;/strong&gt;&lt;span style="font-family: &amp;quot;Times New Roman&amp;quot;, serif;"&gt; &lt;span style="font-size: 14pt;"&gt;, ajuizada por&lt;/span&gt;&lt;/span&gt; &lt;strong&gt; &lt;span style="font-family: &amp;quot;Times New Roman&amp;quot;, serif;"&gt;</w:t>
              <w:tab/>
              <w:t>&lt;span style="font-size: 14pt;"&gt;Roberto Sérgio Farias de Souza, Suetam Participações S/A e Ana Maria Silveira Farias&lt;/span&gt; &lt;/span&gt;&lt;/strong&gt;&lt;span style="font- family: &amp;quot;Times New Roman&amp;quot;, serif;"&gt; &lt;span style="font-size: 14pt;"&gt;, em face de&lt;/span&gt;&lt;/span&gt; &lt;strong&gt; &lt;span style="font-family: &amp;quot;Times New Roman&amp;quot;, serif;"&gt;</w:t>
              <w:tab/>
              <w:t>&lt;span style="font-size: 14pt;"&gt;EM Estaleiro do Brasil Ltda. – em recuperação judicial&lt;/span&gt; &lt;/span&gt;&lt;/strong&gt;&lt;span style="font-family: &amp;quot;Times New Roman&amp;quot;, serif;"&gt; &lt;span style="font-size: 14pt;"&gt;, devidamente qualificadas nos autos.&lt;/span&gt;&lt;/span&gt;&lt;/p&gt;&lt;p style="line-height: 200%;" align="justify"&gt;&lt;span style="font- family: &amp;quot;Times New Roman&amp;quot;, serif;"&gt; &lt;span style="font-size: 14pt;"&gt;Os autores alegam que celebraram&lt;/span&gt;&lt;/span&gt; &lt;strong&gt; &lt;span style="font-family: &amp;quot;Times New Roman&amp;quot;, serif;"&gt;</w:t>
              <w:tab/>
              <w:t>&lt;span style="font-size: 14pt;"&gt;contrato de compromisso de compra e venda&lt;/span&gt; &lt;/span&gt;&lt;/strong&gt;&lt;span style="font-family: &amp;quot;Times New Roman&amp;quot;, serif;"&gt; &lt;span style="font-size: 14pt;"&gt;de uma embarcação (lancha do tipo catamarã), com valor fixado em R$ 600.000,00 (seiscentos mil reais), que seria construída pela ré. Sustentam que pagaram&lt;/span&gt;&lt;/span&gt; &lt;strong&gt; &lt;span style="font-family: &amp;quot;Times New Roman&amp;quot;, serif;"&gt;</w:t>
              <w:tab/>
              <w:t>&lt;span style="font-size: 14pt;"&gt;R$ 60.000,00 a título de sinal e princípio de pagamento&lt;/span&gt; &lt;/span&gt;&lt;/strong&gt;&lt;span style="font-family: &amp;quot;Times New Roman&amp;quot;, serif;"&gt; &lt;span style="font-size: 14pt;"&gt;, mediante transferência bancária.&lt;/span&gt;&lt;/span&gt;&lt;/p&gt;&lt;p style="line-height: 200%;"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14"/>
              <w:rPr>
                <w:sz w:val="20"/>
              </w:rPr>
            </w:pPr>
            <w:r>
              <w:rPr>
                <w:sz w:val="20"/>
              </w:rPr>
              <w:t>align="justify"&gt;&lt;span style="font-family: &amp;quot;Times New Roman&amp;quot;, serif;"&gt; &lt;span style="font-size: 14pt;"&gt;Aduzem que, após o pagamento, a empresa ré&lt;/span&gt;&lt;/span&gt;</w:t>
            </w:r>
          </w:p>
          <w:p>
            <w:pPr>
              <w:pStyle w:val="TableParagraph"/>
              <w:tabs>
                <w:tab w:pos="6990" w:val="left" w:leader="none"/>
              </w:tabs>
              <w:spacing w:line="208" w:lineRule="auto" w:before="0"/>
              <w:ind w:right="611"/>
              <w:rPr>
                <w:sz w:val="20"/>
              </w:rPr>
            </w:pPr>
            <w:r>
              <w:rPr>
                <w:sz w:val="20"/>
              </w:rPr>
              <w:t>&lt;strong&gt;  &lt;span style="font-family: &amp;quot;Times New Roman&amp;quot;, serif;"&gt;</w:t>
              <w:tab/>
            </w:r>
            <w:r>
              <w:rPr>
                <w:spacing w:val="-4"/>
                <w:sz w:val="20"/>
              </w:rPr>
              <w:t>&lt;span </w:t>
            </w:r>
            <w:r>
              <w:rPr>
                <w:sz w:val="20"/>
              </w:rPr>
              <w:t>style="font-size: 14pt;"&gt;não iniciou a construção da embarcação&lt;/span&gt;</w:t>
            </w:r>
          </w:p>
          <w:p>
            <w:pPr>
              <w:pStyle w:val="TableParagraph"/>
              <w:tabs>
                <w:tab w:pos="883" w:val="left" w:leader="none"/>
                <w:tab w:pos="2217" w:val="left" w:leader="none"/>
                <w:tab w:pos="3851" w:val="left" w:leader="none"/>
                <w:tab w:pos="4484" w:val="left" w:leader="none"/>
              </w:tabs>
              <w:spacing w:line="208" w:lineRule="auto" w:before="0"/>
              <w:ind w:right="33"/>
              <w:rPr>
                <w:sz w:val="20"/>
              </w:rPr>
            </w:pPr>
            <w:r>
              <w:rPr>
                <w:sz w:val="20"/>
              </w:rPr>
              <w:t>&lt;/span&gt;&lt;/strong&gt;&lt;span style="font-family: &amp;quot;Times New Roman&amp;quot;, serif;"&gt; &lt;span style="font-size: 14pt;"&gt;, tampouco cumpriu com os prazos e condições do contrato. </w:t>
            </w:r>
            <w:r>
              <w:rPr>
                <w:spacing w:val="-3"/>
                <w:sz w:val="20"/>
              </w:rPr>
              <w:t>Diante </w:t>
            </w:r>
            <w:r>
              <w:rPr>
                <w:sz w:val="20"/>
              </w:rPr>
              <w:t>disso, buscaram a&lt;/span&gt;&lt;/span&gt; &lt;strong&gt; &lt;span style="font-family: &amp;quot;Times New Roman&amp;quot;, serif;"&gt;</w:t>
              <w:tab/>
              <w:t>&lt;span style="font-size: 14pt;"&gt;rescisão contratual e a restituição integral dos valores pagos&lt;/span&gt;  &lt;/span&gt;&lt;/strong&gt;&lt;span style="font-family: &amp;quot;Times New Roman&amp;quot;, serif;"&gt; &lt;span style="font-size: 14pt;"&gt;, além da condenação da ré ao pagamento de&lt;/span&gt;&lt;/span&gt; &lt;strong&gt; &lt;span style="font-family: &amp;quot;Times New Roman&amp;quot;, serif;"&gt;</w:t>
              <w:tab/>
              <w:t>&lt;span style="font-size: 14pt;"&gt;indenização por perdas e danos&lt;/span&gt; &lt;/span&gt;&lt;/strong&gt;&lt;span style="font-family: &amp;quot;Times New Roman&amp;quot;, serif;"&gt; &lt;span style="font-size: 14pt;"&gt;no valor de R$ 60.000,00, equivalentes ao prejuízo suportado com o inadimplemento contratual.&lt;/span&gt;&lt;/span&gt;&lt;/p&gt;&lt;p style="line-height: 200%;" align="justify"&gt;&lt;span style="font-family: &amp;quot;Times New Roman&amp;quot;, serif;"&gt; &lt;span style="font-size: 14pt;"&gt;Devidamente citada, a ré apresentou&lt;/span&gt;&lt;/span&gt; &lt;strong&gt; &lt;span style="font- family: &amp;quot;Times New Roman&amp;quot;, serif;"&gt;</w:t>
              <w:tab/>
              <w:t>&lt;span style="font-size: 14pt;"&gt;contestação&lt;/span&gt; &lt;/span&gt;&lt;/strong&gt;&lt;span style="font-family: &amp;quot;Times New Roman&amp;quot;, serif;"&gt; &lt;span style="font-size: 14pt;"&gt;sustentando, em síntese, que encontra-se em processo de&lt;/span&gt;&lt;/span&gt; &lt;strong&gt; &lt;span style="font-family: &amp;quot;Times New Roman&amp;quot;, serif;"&gt;</w:t>
              <w:tab/>
              <w:t>&lt;span style="font-size: 14pt;"&gt;recuperação judicial&lt;/span&gt; &lt;/span&gt;&lt;/strong&gt;&lt;span style="font-family: &amp;quot;Times New Roman&amp;quot;, serif;"&gt; &lt;span style="font-size: 14pt;"&gt;, e que eventuais créditos deveriam ser habilitados no referido processo. Além disso, argumentou que os autores tinham ciência da situação da empresa e que a devolução imediata dos valores violaria o princípio da&lt;/span&gt;&lt;/span&gt; &lt;strong&gt; &lt;span style="font-family: &amp;quot;Times New Roman&amp;quot;, serif;"&gt;</w:t>
              <w:tab/>
              <w:t>&lt;span style="font-size: 14pt;"&gt;par conditio creditorum&lt;/span&gt;</w:t>
            </w:r>
          </w:p>
          <w:p>
            <w:pPr>
              <w:pStyle w:val="TableParagraph"/>
              <w:tabs>
                <w:tab w:pos="4484" w:val="left" w:leader="none"/>
                <w:tab w:pos="5483" w:val="left" w:leader="none"/>
              </w:tabs>
              <w:spacing w:line="208" w:lineRule="auto" w:before="0"/>
              <w:ind w:right="18"/>
              <w:rPr>
                <w:sz w:val="20"/>
              </w:rPr>
            </w:pPr>
            <w:r>
              <w:rPr>
                <w:sz w:val="20"/>
              </w:rPr>
              <w:t>&lt;/span&gt;&lt;/strong&gt;&lt;span style="font-family: &amp;quot;Times New Roman&amp;quot;, serif;"&gt; &lt;span style="font-size: 14pt;"&gt;.&lt;/span&gt;&lt;/span&gt;&lt;/p&gt;&lt;p style="line-height: 200%;" align="justify"&gt;&lt;span style="font-family: &amp;quot;Times New Roman&amp;quot;, serif;"&gt; &lt;span style="font-size: 14pt;"&gt;O juízo de primeiro grau julgou&lt;/span&gt;&lt;/span&gt; &lt;strong&gt; &lt;span style="font-family: &amp;quot;Times New Roman&amp;quot;, serif;"&gt;</w:t>
              <w:tab/>
              <w:t>&lt;span style="font-size: 14pt;"&gt;parcialmente procedente o pedido inicial&lt;/span&gt; &lt;/span&gt;&lt;/strong&gt;&lt;span style="font-family: &amp;quot;Times New Roman&amp;quot;, serif;"&gt; &lt;span style="font-size: </w:t>
            </w:r>
            <w:r>
              <w:rPr>
                <w:spacing w:val="-3"/>
                <w:sz w:val="20"/>
              </w:rPr>
              <w:t>14pt;"&gt;, </w:t>
            </w:r>
            <w:r>
              <w:rPr>
                <w:sz w:val="20"/>
              </w:rPr>
              <w:t>reconhecendo a rescisão contratual e determinando a&lt;/span&gt;&lt;/span&gt; &lt;strong&gt; &lt;span style="font-family: &amp;quot;Times New Roman&amp;quot;, serif;"&gt;</w:t>
              <w:tab/>
              <w:t>&lt;span style="font-size: 14pt;"&gt;devolução do valor pago (R$ 60.000,00)&lt;/span&gt; &lt;/span&gt;&lt;/strong&gt;&lt;span style="font-family: &amp;quot;Times New Roman&amp;quot;, serif;"&gt; &lt;span style="font-size: </w:t>
            </w:r>
            <w:r>
              <w:rPr>
                <w:spacing w:val="-3"/>
                <w:sz w:val="20"/>
              </w:rPr>
              <w:t>14pt;"&gt;, </w:t>
            </w:r>
            <w:r>
              <w:rPr>
                <w:sz w:val="20"/>
              </w:rPr>
              <w:t>sem condenação em perdas e danos, tendo em vista a ausência de comprovação de prejuízos materiais adicionais. A sentença reconheceu a possibilidade de devolução do valor, mesmo diante da recuperação judicial, por se tratar de adiantamento por contrato não cumprido.&lt;/span&gt;&lt;/span&gt;&lt;/p&gt;&lt;p style="line-height: 200%;" align="justify"&gt;&lt;span style="font-family: &amp;quot;Times New Roman&amp;quot;, serif;"&gt; &lt;span style="font-size: 14pt;"&gt;Irresignados, os autores interpuseram&lt;/span&gt;&lt;/span&gt; &lt;strong&gt; &lt;span style="font- family: &amp;quot;Times New Roman&amp;quot;, serif;"&gt;</w:t>
              <w:tab/>
              <w:t>&lt;span style="font-size: 14pt;"&gt;recurso </w:t>
            </w:r>
            <w:r>
              <w:rPr>
                <w:spacing w:val="-9"/>
                <w:sz w:val="20"/>
              </w:rPr>
              <w:t>de </w:t>
            </w:r>
            <w:r>
              <w:rPr>
                <w:sz w:val="20"/>
              </w:rPr>
              <w:t>apelação&lt;/span&gt; &lt;/span&gt;&lt;/strong&gt;&lt;span style="font-family: &amp;quot;Times New Roman&amp;quot;, serif;"&gt; &lt;span style="font-size: 14pt;"&gt;, sustentando que a sentença deve ser reformada para que a empresa seja condenada, também, ao&lt;/span&gt;&lt;/span&gt; &lt;strong&gt;</w:t>
            </w:r>
          </w:p>
          <w:p>
            <w:pPr>
              <w:pStyle w:val="TableParagraph"/>
              <w:tabs>
                <w:tab w:pos="883" w:val="left" w:leader="none"/>
                <w:tab w:pos="2673" w:val="left" w:leader="none"/>
                <w:tab w:pos="4484" w:val="left" w:leader="none"/>
                <w:tab w:pos="5711" w:val="left" w:leader="none"/>
                <w:tab w:pos="6090" w:val="left" w:leader="none"/>
              </w:tabs>
              <w:spacing w:line="208" w:lineRule="auto" w:before="0"/>
              <w:ind w:right="19"/>
              <w:rPr>
                <w:sz w:val="20"/>
              </w:rPr>
            </w:pPr>
            <w:r>
              <w:rPr>
                <w:sz w:val="20"/>
              </w:rPr>
              <w:t>&lt;span style="font-family: &amp;quot;Times New Roman&amp;quot;, serif;"&gt;</w:t>
              <w:tab/>
              <w:t>&lt;span style="font-size: 14pt;"&gt;pagamento de perdas e danos&lt;/span&gt; &lt;/span&gt;&lt;/strong&gt;&lt;span style="font-family: &amp;quot;Times New Roman&amp;quot;, serif;"&gt; &lt;span style="font-size: 14pt;"&gt;, com base na frustração do negócio, no desgaste emocional e na frustração de investimento relevante.&lt;/span&gt;&lt;/span&gt;&lt;/p&gt;&lt;p style="line-height: 200%;" align="justify"&gt;&lt;span style="font-family: &amp;quot;Times New Roman&amp;quot;, serif;"&gt; &lt;span style="font-size: 14pt;"&gt;Por sua vez, a empresa apresentou&lt;/span&gt;&lt;/span&gt; &lt;strong&gt; &lt;span style="font- family: &amp;quot;Times New Roman&amp;quot;, serif;"&gt;</w:t>
              <w:tab/>
              <w:t>&lt;span style="font-size: 14pt;"&gt;contrarrazões&lt;/span&gt; &lt;/span&gt;&lt;/strong&gt;&lt;span style="font-family: &amp;quot;Times New Roman&amp;quot;, serif;"&gt; &lt;span style="font-size: 14pt;"&gt;, defendendo a manutenção da sentença e reiterando os argumentos de que: (i) está em recuperação judicial; (ii) não houve má-fé em sua conduta; e (iii) eventual crédito dos apelantes deverá ser habilitado </w:t>
            </w:r>
            <w:r>
              <w:rPr>
                <w:spacing w:val="-9"/>
                <w:sz w:val="20"/>
              </w:rPr>
              <w:t>no </w:t>
            </w:r>
            <w:r>
              <w:rPr>
                <w:sz w:val="20"/>
              </w:rPr>
              <w:t>juízo recuperacional, nos termos da Lei nº 11.101/2005.&lt;/span&gt;&lt;/span&gt;&lt;/p&gt;&lt;p style="line- height: 200%;" align="justify"&gt; &lt;span style="font-family: &amp;quot;Times New Roman&amp;quot;, serif;"&gt;</w:t>
              <w:tab/>
              <w:t>&lt;span style="font-size: 14pt;"&gt;É o relatório.&lt;/span&gt; &lt;/span&gt;&lt;/p&gt;&lt;p style="line- height: 200%; margin-bottom: 0cm;" align="center"&gt; &lt;span style="font-family: &amp;quot;Times New Roman&amp;quot;, serif;"&gt;</w:t>
              <w:tab/>
              <w:t>&lt;span style="font-size: 14pt;"&gt;</w:t>
              <w:tab/>
              <w:t>&lt;strong&gt;VOTO&lt;/strong&gt;</w:t>
            </w:r>
          </w:p>
          <w:p>
            <w:pPr>
              <w:pStyle w:val="TableParagraph"/>
              <w:tabs>
                <w:tab w:pos="6196" w:val="left" w:leader="none"/>
                <w:tab w:pos="7039" w:val="left" w:leader="none"/>
              </w:tabs>
              <w:spacing w:line="208" w:lineRule="auto" w:before="0"/>
              <w:ind w:right="77"/>
              <w:rPr>
                <w:sz w:val="20"/>
              </w:rPr>
            </w:pPr>
            <w:r>
              <w:rPr>
                <w:sz w:val="20"/>
              </w:rPr>
              <w:t>&lt;/span&gt;  &lt;/span&gt;&lt;/p&gt;&lt;p style="line-height: 200%;" align="justify"&gt;  &lt;strong&gt;</w:t>
              <w:tab/>
              <w:t>&lt;span style="font-variant-numeric: normal; font-variant-east-asian: normal; font-variant-alternates: normal; font-variant-position: normal; font-variant-emoji: normal;"&gt;</w:t>
              <w:tab/>
              <w:t>&lt;span style="color: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06" w:val="left" w:leader="none"/>
              </w:tabs>
              <w:spacing w:line="215" w:lineRule="exact"/>
              <w:rPr>
                <w:sz w:val="20"/>
              </w:rPr>
            </w:pPr>
            <w:r>
              <w:rPr>
                <w:sz w:val="20"/>
              </w:rPr>
              <w:t>#000000;"&gt;</w:t>
              <w:tab/>
              <w:t>&lt;span style="font-family: &amp;quot;Times New Roman&amp;quot;, serif;"&gt;</w:t>
            </w:r>
          </w:p>
          <w:p>
            <w:pPr>
              <w:pStyle w:val="TableParagraph"/>
              <w:tabs>
                <w:tab w:pos="3411" w:val="left" w:leader="none"/>
              </w:tabs>
              <w:spacing w:line="200" w:lineRule="exact" w:before="0"/>
              <w:rPr>
                <w:sz w:val="20"/>
              </w:rPr>
            </w:pPr>
            <w:r>
              <w:rPr>
                <w:sz w:val="20"/>
              </w:rPr>
              <w:t>&lt;span style="font-size: 14pt;"&gt;</w:t>
              <w:tab/>
              <w:t>&lt;strong&gt;1.ADMISSIBILIDADE&amp;#160;&lt;/strong&gt;</w:t>
            </w:r>
          </w:p>
          <w:p>
            <w:pPr>
              <w:pStyle w:val="TableParagraph"/>
              <w:tabs>
                <w:tab w:pos="1207" w:val="left" w:leader="none"/>
                <w:tab w:pos="2194" w:val="left" w:leader="none"/>
                <w:tab w:pos="2263" w:val="left" w:leader="none"/>
                <w:tab w:pos="3006" w:val="left" w:leader="none"/>
                <w:tab w:pos="3208" w:val="left" w:leader="none"/>
                <w:tab w:pos="3407" w:val="left" w:leader="none"/>
                <w:tab w:pos="4444" w:val="left" w:leader="none"/>
                <w:tab w:pos="4574" w:val="left" w:leader="none"/>
                <w:tab w:pos="5630" w:val="left" w:leader="none"/>
                <w:tab w:pos="6377" w:val="left" w:leader="none"/>
                <w:tab w:pos="6575" w:val="left" w:leader="none"/>
              </w:tabs>
              <w:spacing w:line="208" w:lineRule="auto" w:before="9"/>
              <w:ind w:right="96"/>
              <w:rPr>
                <w:sz w:val="20"/>
              </w:rPr>
            </w:pPr>
            <w:r>
              <w:rPr>
                <w:sz w:val="20"/>
              </w:rPr>
              <w:t>&lt;/span&gt;</w:t>
              <w:tab/>
              <w:t>&lt;/span&gt;</w:t>
              <w:tab/>
              <w:tab/>
              <w:t>&lt;/span&gt;</w:t>
              <w:tab/>
              <w:tab/>
              <w:t>&lt;/span&gt; &lt;/strong&gt;&lt;/p&gt;&lt;p style="line-height: 200%;" align="justify"&gt;  &lt;em&gt;</w:t>
              <w:tab/>
              <w:t>&lt;span style="font-variant-numeric: normal; font-variant-east-asian: normal; font-variant-alternates: normal; font-variant-position: normal; font-variant-emoji: normal;"&gt;</w:t>
              <w:tab/>
              <w:t>&lt;span style="color: #000000;"&gt;</w:t>
              <w:tab/>
              <w:t>&lt;span style="font-family: &amp;quot;Times New Roman&amp;quot;, serif;"&gt;</w:t>
              <w:tab/>
              <w:t>&lt;span style="font-size: 14pt;"&gt;</w:t>
              <w:tab/>
              <w:t>&lt;span style="font- style: normal;"&gt;Ab initio&lt;/span&gt;</w:t>
              <w:tab/>
              <w:tab/>
              <w:tab/>
              <w:t>&lt;/span&gt;</w:t>
              <w:tab/>
              <w:tab/>
              <w:t>&lt;/span&gt;</w:t>
              <w:tab/>
              <w:t>&lt;/span&gt;</w:t>
              <w:tab/>
              <w:tab/>
              <w:t>&lt;/span&gt; &lt;/em&gt;</w:t>
            </w:r>
          </w:p>
          <w:p>
            <w:pPr>
              <w:pStyle w:val="TableParagraph"/>
              <w:tabs>
                <w:tab w:pos="1105" w:val="left" w:leader="none"/>
                <w:tab w:pos="2538" w:val="left" w:leader="none"/>
                <w:tab w:pos="7074" w:val="left" w:leader="none"/>
              </w:tabs>
              <w:spacing w:line="208" w:lineRule="auto" w:before="0"/>
              <w:ind w:right="405"/>
              <w:rPr>
                <w:sz w:val="20"/>
              </w:rPr>
            </w:pPr>
            <w:r>
              <w:rPr>
                <w:sz w:val="20"/>
              </w:rPr>
              <w:t>&lt;span style="font-variant-numeric: normal; font-variant-east-asian: normal; </w:t>
            </w:r>
            <w:r>
              <w:rPr>
                <w:spacing w:val="-2"/>
                <w:sz w:val="20"/>
              </w:rPr>
              <w:t>font-variant- </w:t>
            </w:r>
            <w:r>
              <w:rPr>
                <w:sz w:val="20"/>
              </w:rPr>
              <w:t>alternates: normal; font-variant-position: normal; font-variant-emoji: normal;"&gt;</w:t>
              <w:tab/>
              <w:t>&lt;span style="color: #000000;"&gt;</w:t>
              <w:tab/>
              <w:t>&lt;span style="font-family: &amp;quot;Times New Roman&amp;quot;, serif;"&gt;</w:t>
              <w:tab/>
              <w:t>&lt;span style="font-size: 14pt;"&gt;, observo que estão presentes os requisitos legais de admissibilidade recursal estabelecidos no Código de Processo Civil.</w:t>
            </w:r>
          </w:p>
          <w:p>
            <w:pPr>
              <w:pStyle w:val="TableParagraph"/>
              <w:tabs>
                <w:tab w:pos="4654" w:val="left" w:leader="none"/>
                <w:tab w:pos="5599" w:val="left" w:leader="none"/>
              </w:tabs>
              <w:spacing w:line="208" w:lineRule="auto" w:before="0"/>
              <w:ind w:right="34"/>
              <w:rPr>
                <w:sz w:val="20"/>
              </w:rPr>
            </w:pPr>
            <w:r>
              <w:rPr>
                <w:sz w:val="20"/>
              </w:rPr>
              <w:t>Considerando os ditames dos artigos 214, 219 e 1.003, § 5º, do CPC, a presente </w:t>
            </w:r>
            <w:r>
              <w:rPr>
                <w:spacing w:val="-3"/>
                <w:sz w:val="20"/>
              </w:rPr>
              <w:t>Apelação </w:t>
            </w:r>
            <w:r>
              <w:rPr>
                <w:sz w:val="20"/>
              </w:rPr>
              <w:t>Cível é tempestiva. Ademais, o instrumento processual adequado para a insurgência em face da sentença é exatamente a Apelação (art. 1.009, do CPC), de modo que se tem por cabível o presente recurso. Por fim, também se encontram presentes a legitimidade, o interesse e a inexistência de fato impeditivo ou extintivo do direito de recorrer, bem como os demais requisitos formais de admissibilidade, em consonância com os artigos 1.010 da legislação supra, razão pela qual&amp;#160;&lt;/span&gt;</w:t>
              <w:tab/>
              <w:t>&lt;/span&gt;</w:t>
              <w:tab/>
              <w:t>&lt;/span&gt; &lt;/span&gt; &lt;strong&gt;</w:t>
            </w:r>
          </w:p>
          <w:p>
            <w:pPr>
              <w:pStyle w:val="TableParagraph"/>
              <w:tabs>
                <w:tab w:pos="1216" w:val="left" w:leader="none"/>
                <w:tab w:pos="2650" w:val="left" w:leader="none"/>
                <w:tab w:pos="3819" w:val="left" w:leader="none"/>
                <w:tab w:pos="4588" w:val="left" w:leader="none"/>
                <w:tab w:pos="4986" w:val="left" w:leader="none"/>
                <w:tab w:pos="6043" w:val="left" w:leader="none"/>
                <w:tab w:pos="6988" w:val="left" w:leader="none"/>
                <w:tab w:pos="7186" w:val="left" w:leader="none"/>
              </w:tabs>
              <w:spacing w:line="208" w:lineRule="auto" w:before="0"/>
              <w:ind w:right="351"/>
              <w:rPr>
                <w:sz w:val="20"/>
              </w:rPr>
            </w:pPr>
            <w:r>
              <w:rPr>
                <w:sz w:val="20"/>
              </w:rPr>
              <w:t>&lt;span style="font-variant-numeric: normal; font-variant-east-asian: normal; font-variant- alternates: normal; font-variant-position: normal; font-variant-emoji: normal;"&gt;</w:t>
              <w:tab/>
              <w:tab/>
              <w:t>&lt;span style="color: #000000;"&gt;</w:t>
              <w:tab/>
              <w:t>&lt;span style="font-family: &amp;quot;Times New </w:t>
            </w:r>
            <w:r>
              <w:rPr>
                <w:spacing w:val="-2"/>
                <w:sz w:val="20"/>
              </w:rPr>
              <w:t>Roman&amp;quot;, </w:t>
            </w:r>
            <w:r>
              <w:rPr>
                <w:sz w:val="20"/>
              </w:rPr>
              <w:t>serif;"&gt;</w:t>
              <w:tab/>
              <w:t>&lt;span style="font-size: 14pt;"&gt;</w:t>
              <w:tab/>
              <w:t>&lt;strong&gt;CONHEÇO DO PRESENTE&amp;#160;APELO&lt;/strong&gt;</w:t>
              <w:tab/>
              <w:t>&lt;/span&gt;</w:t>
              <w:tab/>
              <w:tab/>
              <w:t>&lt;/span&gt;</w:t>
              <w:tab/>
              <w:t>&lt;/span&gt;</w:t>
              <w:tab/>
              <w:t>&lt;/span&gt;</w:t>
            </w:r>
          </w:p>
          <w:p>
            <w:pPr>
              <w:pStyle w:val="TableParagraph"/>
              <w:spacing w:line="208" w:lineRule="auto" w:before="0"/>
              <w:ind w:right="116"/>
              <w:rPr>
                <w:sz w:val="20"/>
              </w:rPr>
            </w:pPr>
            <w:r>
              <w:rPr>
                <w:sz w:val="20"/>
              </w:rPr>
              <w:t>&lt;/strong&gt; &lt;span style="font-variant-numeric: normal; font-variant-east-asian: normal; font- variant-alternates: normal; font-variant-position: normal; font-variant-emoji: normal;"&gt;</w:t>
            </w:r>
          </w:p>
          <w:p>
            <w:pPr>
              <w:pStyle w:val="TableParagraph"/>
              <w:tabs>
                <w:tab w:pos="2439" w:val="left" w:leader="none"/>
                <w:tab w:pos="3144" w:val="left" w:leader="none"/>
              </w:tabs>
              <w:spacing w:line="208" w:lineRule="auto" w:before="0"/>
              <w:ind w:right="328"/>
              <w:rPr>
                <w:sz w:val="20"/>
              </w:rPr>
            </w:pPr>
            <w:r>
              <w:rPr>
                <w:sz w:val="20"/>
              </w:rPr>
              <w:t>&lt;span style="color: #000000;"&gt;</w:t>
              <w:tab/>
              <w:t>&lt;span style="font-family: &amp;quot;Times New Roman&amp;quot;, serif;"&gt;</w:t>
              <w:tab/>
              <w:t>&lt;span style="font-size:</w:t>
            </w:r>
            <w:r>
              <w:rPr>
                <w:spacing w:val="-15"/>
                <w:sz w:val="20"/>
              </w:rPr>
              <w:t> </w:t>
            </w:r>
            <w:r>
              <w:rPr>
                <w:sz w:val="20"/>
              </w:rPr>
              <w:t>14pt;"&gt;.&amp;#160;&amp;#160;&amp;#160;&lt;/span&gt;</w:t>
            </w:r>
          </w:p>
          <w:p>
            <w:pPr>
              <w:pStyle w:val="TableParagraph"/>
              <w:tabs>
                <w:tab w:pos="883" w:val="left" w:leader="none"/>
                <w:tab w:pos="985" w:val="left" w:leader="none"/>
                <w:tab w:pos="2217" w:val="left" w:leader="none"/>
                <w:tab w:pos="2471" w:val="left" w:leader="none"/>
                <w:tab w:pos="3851" w:val="left" w:leader="none"/>
                <w:tab w:pos="5483" w:val="left" w:leader="none"/>
                <w:tab w:pos="5628" w:val="left" w:leader="none"/>
                <w:tab w:pos="7510" w:val="left" w:leader="none"/>
              </w:tabs>
              <w:spacing w:line="208" w:lineRule="auto" w:before="0"/>
              <w:ind w:right="30"/>
              <w:rPr>
                <w:sz w:val="20"/>
              </w:rPr>
            </w:pPr>
            <w:r>
              <w:rPr>
                <w:sz w:val="20"/>
              </w:rPr>
              <w:t>&lt;/span&gt;</w:t>
              <w:tab/>
              <w:tab/>
              <w:t>&lt;/span&gt; &lt;/span&gt;&lt;/p&gt;&lt;p style="line-height: 200%; margin-bottom: 0cm;" align="justify"&gt;  &lt;span style="font-family: &amp;quot;Times New Roman&amp;quot;, serif;"&gt;</w:t>
              <w:tab/>
              <w:t>&lt;span style="font-size: 14pt;"&gt;</w:t>
              <w:tab/>
              <w:tab/>
              <w:t>&lt;strong&gt;2.DO MÉRITO&lt;/strong&gt;</w:t>
              <w:tab/>
              <w:tab/>
              <w:t>&lt;/span&gt; &lt;/span&gt;&lt;/p&gt;&lt;p style="line-height: 200%;" align="justify"&gt; &lt;span style="font-family: &amp;quot;Times New Roman&amp;quot;, serif;"&gt;</w:t>
              <w:tab/>
              <w:t>&lt;span style="font-size: 14pt;"&gt;A controvérsia gira em torno da rescisão de contrato de construção e venda de embarcação firmado entre as partes, </w:t>
            </w:r>
            <w:r>
              <w:rPr>
                <w:spacing w:val="-3"/>
                <w:sz w:val="20"/>
              </w:rPr>
              <w:t>diante </w:t>
            </w:r>
            <w:r>
              <w:rPr>
                <w:sz w:val="20"/>
              </w:rPr>
              <w:t>do inadimplemento da obrigação principal pela empresa apelante, ora em recuperação judicial.&lt;/span&gt; &lt;/span&gt;&lt;/p&gt;&lt;p style="line-height: 200%;" align="justify"&gt; &lt;span style="font-family: &amp;quot;Times New Roman&amp;quot;, serif;"&gt;</w:t>
              <w:tab/>
              <w:t>&lt;span style="font-size: 14pt;"&gt;A sentença recorrida reconheceu a inexecução contratual pela empresa requerida </w:t>
            </w:r>
            <w:r>
              <w:rPr>
                <w:spacing w:val="-17"/>
                <w:sz w:val="20"/>
              </w:rPr>
              <w:t>e </w:t>
            </w:r>
            <w:r>
              <w:rPr>
                <w:sz w:val="20"/>
              </w:rPr>
              <w:t>determinou a devolução da quantia de R$ 50.000,00, paga pelos autores/apelados, com atualização monetária pelo IGPM desde o desembolso e juros de mora de 1% ao mês a partir da citação, além da aplicação da cláusula penal de 10% sobre o valor devolvido e honorários advocatícios fixados em 10% do valor da condenação.&lt;/span&gt; &lt;/span&gt;&lt;/p&gt;&lt;p style="line-height: 200%;" align="justify"&gt; &lt;span style="font-family: &amp;quot;Times New Roman&amp;quot;, serif;"&gt;</w:t>
              <w:tab/>
              <w:t>&lt;span style="font-size: 14pt;"&gt;A apelante insurge-se contra a sentença sob três fundamentos principais: (i) alegada incompetência do foro de Fortaleza/CE, em razão de cláusula de eleição contratual em favor de Maceió/AL; (ii) ausência de inadimplemento, por entender que a obrigação de entrega da embarcação estava condicionada a providência atribuída aos autores; e (iii) descabimento da multa contratual.&lt;/span&gt; &lt;/span&gt;&lt;/p&gt;&lt;h4 class="western" style="line-height: 200%;"&gt; &lt;span style="font-family: &amp;quot;Times New Roman&amp;quot;, serif;"&gt;</w:t>
              <w:tab/>
              <w:t>&lt;span style="font-size: 14pt;"&gt;2.1. Da eleição de foro&lt;/span&gt; &lt;/span&gt;&lt;/h4&gt;&lt;p style="line-height: 200%;" align="justify"&gt;  &lt;span style="font-family: &amp;quot;Times New Roman&amp;quot;, serif;"&gt;</w:t>
              <w:tab/>
              <w:t>&lt;span style="font-size: 14pt;"&gt;A cláusula contratual que elege o foro da Comarca de Maceió/AL para dirimir conflitos deve ser afastada no caso concreto.&lt;/span&gt; &lt;/span&gt;&lt;/p&gt;&lt;p style="line-height: 200%;" align="justify"&gt;&lt;span style="font-family: &amp;quot;Times New Roman&amp;quot;, serif;"&gt; &lt;span style="font-size: 14pt;"&gt;Verifica-se, nos autos, que a relação jurídica entre as partes possui&lt;/span&gt;&lt;/span&gt; &lt;strong&gt; &lt;span style="font-family: &amp;quot;Times New Roman&amp;quot;, serif;"&gt;</w:t>
              <w:tab/>
              <w:t>&lt;span style="font-size: 14pt;"&gt;natureza consumerista&lt;/span&gt; &lt;/span&gt;&lt;/strong&gt;&lt;span style="font-family: &amp;quot;Times New Roman&amp;quot;, serif;"&gt; &lt;span style="font-size: 14pt;"&gt;, sem demonstração de destinação comercial ou empresarial. A apelante, por sua vez, é fornecedora de produto, no conceito do art. 3º do CDC.&lt;/span&gt;&lt;/span&gt;&lt;/p&gt;&lt;p style="line-height: 200%;" align="justify"&gt;&lt;span style="font-family: &amp;quot;Times New Roman&amp;quot;, serif;"&gt; &lt;span style="font-size: 14pt;"&gt;Nos termos do art. 6º, VIII, do Código de Defesa do Consumidor, é direito básico do consumidor a facilitação da defesa de seus direitos, inclusive com a possibilidade de&lt;/span&gt;&lt;/span&gt; &lt;strong&gt; &lt;span style="font-family: &amp;quot;Times New Roman&amp;quot;, serif;"&gt;</w:t>
              <w:tab/>
              <w:t>&lt;span style="font-size: 14pt;"&gt;ajuizamento da ação no foro do seu domicílio&lt;/span&gt; &lt;/span&gt;&lt;/strong&gt;&lt;span style="font-family: &amp;quot;Times New Roman&amp;quot;, serif;"&gt; &lt;span style="font-size: 14pt;"&gt;, sendo nula de pleno direito cláusula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511" w:val="left" w:leader="none"/>
              </w:tabs>
              <w:spacing w:line="208" w:lineRule="auto" w:before="26"/>
              <w:ind w:right="69"/>
              <w:rPr>
                <w:sz w:val="20"/>
              </w:rPr>
            </w:pPr>
            <w:r>
              <w:rPr>
                <w:sz w:val="20"/>
              </w:rPr>
              <w:t>que estabeleça o contrário:&lt;/span&gt;&lt;/span&gt;&lt;/p&gt;&lt;blockquote style="line-height: 200%; </w:t>
            </w:r>
            <w:r>
              <w:rPr>
                <w:spacing w:val="-4"/>
                <w:sz w:val="20"/>
              </w:rPr>
              <w:t>text- </w:t>
            </w:r>
            <w:r>
              <w:rPr>
                <w:sz w:val="20"/>
              </w:rPr>
              <w:t>align: justify; margin-left: 7cm; margin-right: 2.4cm; background: transparent; page-break- before: auto;"&gt;  &lt;span style="font-family: &amp;quot;Times New Roman&amp;quot;, serif;"&gt;</w:t>
              <w:tab/>
              <w:t>&lt;span style="font-size: 14pt;"&gt;DIREITO PROCESSUAL CIVIL. AGRAVO DE INSTRUMENTO.</w:t>
            </w:r>
          </w:p>
          <w:p>
            <w:pPr>
              <w:pStyle w:val="TableParagraph"/>
              <w:tabs>
                <w:tab w:pos="2496" w:val="left" w:leader="none"/>
                <w:tab w:pos="4078" w:val="left" w:leader="none"/>
              </w:tabs>
              <w:spacing w:line="208" w:lineRule="auto" w:before="0"/>
              <w:ind w:right="122"/>
              <w:rPr>
                <w:sz w:val="20"/>
              </w:rPr>
            </w:pPr>
            <w:r>
              <w:rPr>
                <w:sz w:val="20"/>
              </w:rPr>
              <w:t>&lt;span style="text-decoration: underline;"&gt;</w:t>
              <w:tab/>
              <w:t>&lt;strong&gt;CLÁUSULA DE ELEIÇÃO DE FORO EM CONTRATO ENTRE PESSOAS JURÍDICAS. RELAÇÃO DE CONSUMO RECONHECIDA . TEORIA FINALISTA MITIGADA. INVALIDADE DA CLÁUSULA DE ELEIÇÃO DE FORO. PREVALÊNCIA DO FORO DO DOMICÍLIO DO CONSUMIDOR&lt;/strong&gt;</w:t>
              <w:tab/>
              <w:t>&lt;/span&gt;. RECURSO CONHECIDO E PROVIDO . I. CASO </w:t>
            </w:r>
            <w:r>
              <w:rPr>
                <w:spacing w:val="-9"/>
                <w:sz w:val="20"/>
              </w:rPr>
              <w:t>EM</w:t>
            </w:r>
          </w:p>
          <w:p>
            <w:pPr>
              <w:pStyle w:val="TableParagraph"/>
              <w:tabs>
                <w:tab w:pos="3472" w:val="left" w:leader="none"/>
                <w:tab w:pos="6943" w:val="left" w:leader="none"/>
              </w:tabs>
              <w:spacing w:line="208" w:lineRule="auto" w:before="0"/>
              <w:ind w:right="42"/>
              <w:rPr>
                <w:sz w:val="20"/>
              </w:rPr>
            </w:pPr>
            <w:r>
              <w:rPr>
                <w:sz w:val="20"/>
              </w:rPr>
              <w:t>EXAME Agravo de instrumento interposto por Advocacia e Consultoria Rafael Pordeus contra decisão da 33ª Vara Cível de Fortaleza CE, que declinou da competência para julgamento do feito em favor do Foro Central da Comarca de São Paulo SP, com fundamento em cláusula de eleição de foro constante de contrato firmado entre as partes. O agravante busca a declaração de nulidade da cláusula de eleição de foro e o reconhecimento da competência do foro de seu domicílio, alegando que o contrato seria nulo e que a cláusula de eleição de foro seria prejudicial. II . QUESTÕES EM DISCUSSÃO Há duas questões em discussão: (i) determinar se a relação contratual entre as partes configura relação de consumo, permitindo a aplicação do Código de Defesa do Consumidor ( CDC); e (ii) verificar se a cláusula de eleição de foro constante do contrato é válida ou se deve ser afastada em favor do foro do domicílio do agravante.</w:t>
              <w:tab/>
              <w:t>&lt;span style="text-decoration: underline;"&gt;</w:t>
              <w:tab/>
              <w:t>&lt;strong&gt;III. RAZÕES DE DECIDIR Reconhece-se que a relação entre as partes configura relação de consumo, aplicando-se a teoria finalista mitigada. A parte agravante, escritório de advocacia, figura como destinatário final do serviço contratado, encontrando-se em situação de vulnerabilidade técnica e econômica frente à agravada, fornecedora de serviços de grande porte . O Código de Defesa do Consumidor ( CDC), em seu art. 101, inciso I, assegura ao consumidor o direito de ajuizar demandas no foro de seu domicílio, em atenção ao princípio da facilitação de defesa do consumidor. A cláusula de eleição de foro em contrato de adesão celebrado entre fornecedor e consumidor pode ser afastada, especialmente quando demonstrado que sua aplicação acarretaria prejuízo ao consumidor, conforme precedentes do STJ e do Tribunal de Justiça do Estado do Ceará. Reconhecida a invalidade da cláusula de eleição de foro no caso concreto, prevalece o foro do domicílio do agravante como competente para o processamento e julgamento da demanda, considerando-se o prejuízo que a cláusula representaria, ao impor deslocamento do processo para a Comarca de São Paulo SP</w:t>
            </w:r>
          </w:p>
          <w:p>
            <w:pPr>
              <w:pStyle w:val="TableParagraph"/>
              <w:tabs>
                <w:tab w:pos="1162" w:val="left" w:leader="none"/>
              </w:tabs>
              <w:spacing w:line="208" w:lineRule="auto" w:before="0"/>
              <w:ind w:right="164"/>
              <w:rPr>
                <w:sz w:val="20"/>
              </w:rPr>
            </w:pPr>
            <w:r>
              <w:rPr>
                <w:sz w:val="20"/>
              </w:rPr>
              <w:t>.&lt;/strong&gt;</w:t>
              <w:tab/>
              <w:t>&lt;/span&gt; IV. DISPOSITIVO E TESE Agravo de Instrumento conhecido e provido. Tese de julgamento: A teoria finalista mitigada permite o reconhecimento de relação de consumo em contratos firmados entre pessoas jurídicas, quando demonstrada a vulnerabilidade técnica ou econômica do consumidor. A cláusula de eleição de foro em contratos de adesão celebrados em relações de consumo pode ser afastada quando causar prejuízo ao consumidor, prevalecendo, nesses casos, o foro de seu domicílio .</w:t>
            </w:r>
          </w:p>
          <w:p>
            <w:pPr>
              <w:pStyle w:val="TableParagraph"/>
              <w:spacing w:line="208" w:lineRule="auto" w:before="0"/>
              <w:ind w:right="191"/>
              <w:rPr>
                <w:sz w:val="20"/>
              </w:rPr>
            </w:pPr>
            <w:r>
              <w:rPr>
                <w:sz w:val="20"/>
              </w:rPr>
              <w:t>Dispositivos relevantes citados: CPC/2015, arts. 54 e 63; CDC, art. 101, I. Jurisprudência relevante citada: STJ, AgInt no AREsp 1 .337.742/DF, Rel. Min. Luis Felipe Salomão, Quarta Turma, j . 02/04/2019. STJ, AgInt no AREsp 1605331/RO, Rel. Min. Raul Araújo, Quarta Turma, j . 26/10/2020. TJ-CE, AI nº 0625274-45.2018.8 .06.0000, Rel. Des.</w:t>
            </w:r>
            <w:r>
              <w:rPr>
                <w:spacing w:val="1"/>
                <w:sz w:val="20"/>
              </w:rPr>
              <w:t> </w:t>
            </w:r>
            <w:r>
              <w:rPr>
                <w:spacing w:val="-3"/>
                <w:sz w:val="20"/>
              </w:rPr>
              <w:t>Maria</w:t>
            </w:r>
          </w:p>
          <w:p>
            <w:pPr>
              <w:pStyle w:val="TableParagraph"/>
              <w:spacing w:line="208" w:lineRule="auto" w:before="0"/>
              <w:rPr>
                <w:sz w:val="20"/>
              </w:rPr>
            </w:pPr>
            <w:r>
              <w:rPr>
                <w:sz w:val="20"/>
              </w:rPr>
              <w:t>de Fátima de Melo Loureiro, j . 13/03/2019. TJ-CE, AI nº 0628413-97.2021.8 .06.0000, </w:t>
            </w:r>
            <w:r>
              <w:rPr>
                <w:spacing w:val="-5"/>
                <w:sz w:val="20"/>
              </w:rPr>
              <w:t>Rel. </w:t>
            </w:r>
            <w:r>
              <w:rPr>
                <w:sz w:val="20"/>
              </w:rPr>
              <w:t>Des. Francisco Bezerra Cavalcante, j . 24/08/2021. ACÓRDÃO: Vistos, relatados e discutidos estes autos, acordam os Desembargadores da Primeira Câmara de Direito Privado do Tribunal de Justiça do Estado do Ceará, por uma de suas turmas e por unanimidade, em conhecer do Agravo de Instrumento para, no mérito, DAR-LHE PROVIMENTO, nos termos do voto do relator. Fortaleza - CE, data da assinatura digital.</w:t>
            </w:r>
          </w:p>
          <w:p>
            <w:pPr>
              <w:pStyle w:val="TableParagraph"/>
              <w:spacing w:line="208" w:lineRule="auto" w:before="0"/>
              <w:rPr>
                <w:sz w:val="20"/>
              </w:rPr>
            </w:pPr>
            <w:r>
              <w:rPr>
                <w:sz w:val="20"/>
              </w:rPr>
              <w:t>DESEMBARGADOR FRANCISCO MAURO FERREIRA LIBERATO Presidente do </w:t>
            </w:r>
            <w:r>
              <w:rPr>
                <w:spacing w:val="-4"/>
                <w:sz w:val="20"/>
              </w:rPr>
              <w:t>Órgão </w:t>
            </w:r>
            <w:r>
              <w:rPr>
                <w:sz w:val="20"/>
              </w:rPr>
              <w:t>Julgador DESEMBARGADOR CARLOS AUGUSTO GOMES CORREIA Relator (TJ-CE -</w:t>
            </w:r>
          </w:p>
          <w:p>
            <w:pPr>
              <w:pStyle w:val="TableParagraph"/>
              <w:tabs>
                <w:tab w:pos="3851" w:val="left" w:leader="none"/>
                <w:tab w:pos="5483" w:val="left" w:leader="none"/>
                <w:tab w:pos="7510" w:val="left" w:leader="none"/>
              </w:tabs>
              <w:spacing w:line="208" w:lineRule="auto" w:before="0"/>
              <w:ind w:right="18"/>
              <w:rPr>
                <w:sz w:val="20"/>
              </w:rPr>
            </w:pPr>
            <w:r>
              <w:rPr>
                <w:sz w:val="20"/>
              </w:rPr>
              <w:t>Agravo de Instrumento: 06269234020218060000 Fortaleza, Relator.: CARLOS AUGUSTO GOMES CORREIA, Data de Julgamento: 27/11/2024, 1ª Câmara Direito Privado, Data de Publicação: 27/11/2024).&lt;/span&gt; &lt;/span&gt;&lt;/blockquote&gt;&lt;p style="line-height: 200%;" align="justify"&gt;  &lt;span style="font-family: &amp;quot;Times New Roman&amp;quot;, serif;"&gt;</w:t>
              <w:tab/>
              <w:t>&lt;span style="font-size: 14pt;"&gt;Logo, correta a manutenção da competência da Comarca de Fortaleza/CE.&lt;/span&gt; &lt;/span&gt;&lt;/p&gt;&lt;h4 class="western" style="line-height: 200%;"&gt; </w:t>
            </w:r>
            <w:r>
              <w:rPr>
                <w:spacing w:val="-4"/>
                <w:sz w:val="20"/>
              </w:rPr>
              <w:t>&lt;span </w:t>
            </w:r>
            <w:r>
              <w:rPr>
                <w:sz w:val="20"/>
              </w:rPr>
              <w:t>style="font-family: &amp;quot;Times New Roman&amp;quot;, serif;"&gt;</w:t>
              <w:tab/>
              <w:t>&lt;span style="font-size: 14pt;"&gt;2.2. Do inadimplemento e da responsabilidade contratual&lt;/span&gt; &lt;/span&gt;&lt;/h4&gt;&lt;p style="line-height: 200%;" align="justify"&gt;&lt;span style="font-family: &amp;quot;Times New Roman&amp;quot;, serif;"&gt; &lt;span style="font-size: 14pt;"&gt;A empresa apelante alega que o descumprimento contratual ocorreu por fato imputável aos autores, que teriam deixado de escolher o modelo de motor a ser utilizado na embarcação e de entregar outro casco como parte do pagamento. No entanto,&lt;/span&gt;&lt;/span&gt; &lt;strong&gt; &lt;span style="font-family: &amp;quot;Times New Roman&amp;quot;, serif;"&gt;</w:t>
              <w:tab/>
              <w:t>&lt;span style="font-size: 14pt;"&gt;não trouxe aos autos nenhuma prova documental ou circunstancial apta a comprovar tais alegações&lt;/span&gt; &lt;/span&gt;&lt;/strong&gt;&lt;span style="font-family: &amp;quot;Times New Roman&amp;quot;, serif;"&gt; &lt;span style="font-size: 14pt;"&gt;.&lt;/span&gt;&lt;/span&gt;&lt;/p&gt;&lt;p style="line- height: 200%;" align="justify"&gt; &lt;span style="font-family: &amp;quot;Times New Roman&amp;quot;,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883" w:val="left" w:leader="none"/>
              </w:tabs>
              <w:spacing w:line="208" w:lineRule="auto" w:before="26"/>
              <w:ind w:right="142"/>
              <w:rPr>
                <w:sz w:val="20"/>
              </w:rPr>
            </w:pPr>
            <w:r>
              <w:rPr>
                <w:sz w:val="20"/>
              </w:rPr>
              <w:t>serif;"&gt;</w:t>
              <w:tab/>
              <w:t>&lt;span style="font-size: 14pt;"&gt;Ao contrário, os autores demonstraram que pagaram parte do valor contratado e aguardaram, por tempo superior ao previsto contratualmente, a entrega da embarcação o que não ocorreu, sem justificativa razoável.&lt;/span&gt; &lt;/span&gt;&lt;/p&gt;&lt;p style="line-height: 200%;" align="justify"&gt;&lt;span style="font-family: &amp;quot;Times New Roman&amp;quot;, serif;"&gt; &lt;span style="font-size: 14pt;"&gt;O inadimplemento contratual da empresa ficou, portanto,&lt;/span&gt;&lt;/span&gt;</w:t>
            </w:r>
            <w:r>
              <w:rPr>
                <w:spacing w:val="6"/>
                <w:sz w:val="20"/>
              </w:rPr>
              <w:t> </w:t>
            </w:r>
            <w:r>
              <w:rPr>
                <w:spacing w:val="-3"/>
                <w:sz w:val="20"/>
              </w:rPr>
              <w:t>&lt;strong&gt;</w:t>
            </w:r>
          </w:p>
          <w:p>
            <w:pPr>
              <w:pStyle w:val="TableParagraph"/>
              <w:tabs>
                <w:tab w:pos="4484" w:val="left" w:leader="none"/>
                <w:tab w:pos="6090" w:val="left" w:leader="none"/>
              </w:tabs>
              <w:spacing w:line="208" w:lineRule="auto" w:before="0"/>
              <w:ind w:right="30"/>
              <w:rPr>
                <w:sz w:val="20"/>
              </w:rPr>
            </w:pPr>
            <w:r>
              <w:rPr>
                <w:sz w:val="20"/>
              </w:rPr>
              <w:t>&lt;span style="font-family: &amp;quot;Times New Roman&amp;quot;, serif;"&gt;</w:t>
              <w:tab/>
              <w:t>&lt;span style="font-size: 14pt;"&gt;caracterizado de forma inequívoca&lt;/span&gt; &lt;/span&gt;&lt;/strong&gt;&lt;span style="font- family: &amp;quot;Times New Roman&amp;quot;, serif;"&gt; &lt;span style="font-size: 14pt;"&gt;, autorizando a resolução do contrato e a restituição dos valores pagos.&lt;/span&gt;&lt;/span&gt;&lt;/p&gt;&lt;p style="line-height: 200%;" align="justify"&gt; &lt;span </w:t>
            </w:r>
            <w:r>
              <w:rPr>
                <w:spacing w:val="-2"/>
                <w:sz w:val="20"/>
              </w:rPr>
              <w:t>style="font- </w:t>
            </w:r>
            <w:r>
              <w:rPr>
                <w:sz w:val="20"/>
              </w:rPr>
              <w:t>family: &amp;quot;Times New Roman&amp;quot;, serif;"&gt;</w:t>
              <w:tab/>
              <w:t>&lt;span style="font-size: 14pt;"&gt;Nos termos do art. 475 do Código Civil, o inadimplemento da obrigação autoriza a parte lesada a considerar rescindido o contrato, com direito à restituição e perdas e danos:&lt;/span&gt;</w:t>
            </w:r>
          </w:p>
          <w:p>
            <w:pPr>
              <w:pStyle w:val="TableParagraph"/>
              <w:spacing w:line="208" w:lineRule="auto" w:before="0"/>
              <w:rPr>
                <w:sz w:val="20"/>
              </w:rPr>
            </w:pPr>
            <w:r>
              <w:rPr>
                <w:sz w:val="20"/>
              </w:rPr>
              <w:t>&lt;/span&gt;&lt;/p&gt;&lt;blockquote style="line-height: 200%; text-align: justify;"&gt;“&lt;span style="font- family: &amp;quot;Times New Roman&amp;quot;, serif;"&gt; &lt;span style="font-size: 14pt;"&gt;A parte lesada pelo inadimplemento pode pedir a resolução do contrato, com perdas e danos.” &lt;br</w:t>
            </w:r>
          </w:p>
          <w:p>
            <w:pPr>
              <w:pStyle w:val="TableParagraph"/>
              <w:tabs>
                <w:tab w:pos="3851" w:val="left" w:leader="none"/>
                <w:tab w:pos="5483" w:val="left" w:leader="none"/>
                <w:tab w:pos="7096" w:val="left" w:leader="none"/>
              </w:tabs>
              <w:spacing w:line="208" w:lineRule="auto" w:before="0"/>
              <w:ind w:right="20"/>
              <w:rPr>
                <w:sz w:val="20"/>
              </w:rPr>
            </w:pPr>
            <w:r>
              <w:rPr>
                <w:sz w:val="20"/>
              </w:rPr>
              <w:t>/&gt; (CC, art. 475).&lt;/span&gt;&lt;/span&gt;&lt;/blockquote&gt;&lt;blockquote style="line-height: 200%; </w:t>
            </w:r>
            <w:r>
              <w:rPr>
                <w:spacing w:val="-4"/>
                <w:sz w:val="20"/>
              </w:rPr>
              <w:t>text- </w:t>
            </w:r>
            <w:r>
              <w:rPr>
                <w:sz w:val="20"/>
              </w:rPr>
              <w:t>align: justify; margin-left: 0cm; background: transparent; page-break-before: auto;"&gt; &lt;span style="font-family: &amp;quot;Times New Roman&amp;quot;, serif;"&gt;</w:t>
              <w:tab/>
              <w:t>&lt;span style="font-size: 14pt;"&gt;Assim tem decidido os tribunais:&lt;/span&gt; &lt;/span&gt;&lt;/blockquote&gt;&lt;blockquote style="line-height: 200%; text-align: justify; margin-left: 7cm; margin-right: 2.1cm; background: transparent; page-break-before: auto;"&gt;  &lt;span style="font-family: &amp;quot;Times New Roman&amp;quot;, serif;"&gt;</w:t>
              <w:tab/>
              <w:t>&lt;span style="font-size: 14pt;"&gt;Ementa: APELAÇÃO CÍVEL. VIOLAÇÃO À DIALETICIDADE. PRELIMINAR DE NÃO CONHECIMENTO REJEITADA. PRELIMINARES DE NULIDADE DA SENTENÇA POR VÍCIO SENTENÇA EXTRA PETITA E POR FUNDAMENTAÇÃO GENÉRICA . REJEITADAS. DIREITO CIVIL E CONSUMIDOR. CONTRATO DE FORNECIMENTO E MONTAGEM DE MÓVEIS PLANEJADOS. RESPONSABILIDADE CIVIL OBJETIVA DO FORNECEDOR . VÍCIOS DO SERVIÇO DE MONTAGEM DO MOBILIÁRIO.</w:t>
              <w:tab/>
              <w:t>&lt;span</w:t>
            </w:r>
          </w:p>
          <w:p>
            <w:pPr>
              <w:pStyle w:val="TableParagraph"/>
              <w:tabs>
                <w:tab w:pos="3472" w:val="left" w:leader="none"/>
                <w:tab w:pos="6107" w:val="left" w:leader="none"/>
              </w:tabs>
              <w:spacing w:line="208" w:lineRule="auto" w:before="0"/>
              <w:ind w:right="323"/>
              <w:rPr>
                <w:sz w:val="20"/>
              </w:rPr>
            </w:pPr>
            <w:r>
              <w:rPr>
                <w:sz w:val="20"/>
              </w:rPr>
              <w:t>style="text-decoration: underline;"&gt;</w:t>
              <w:tab/>
              <w:t>&lt;strong&gt;INADIMPLEMENTO CONTRATUAL </w:t>
            </w:r>
            <w:r>
              <w:rPr>
                <w:spacing w:val="-9"/>
                <w:sz w:val="20"/>
              </w:rPr>
              <w:t>DO </w:t>
            </w:r>
            <w:r>
              <w:rPr>
                <w:sz w:val="20"/>
              </w:rPr>
              <w:t>FORNECEDOR. DIREITO A RESCISÃO CONTRATUAL E RESTITUIÇÃO DOS VALORES PAGOS CORRIGIDOS MONETARIAMENTE&lt;/strong&gt;</w:t>
              <w:tab/>
              <w:t>&lt;/span&gt;. PERÍCIA JUDICIAL CONCLUSIVA . RETENÇÃO DE VALORES PELO FORNECEDOR. INCABÍVEL. CANCELAMENTO UNILATERAL POR PARTE DO CONSUMIDOR.</w:t>
            </w:r>
          </w:p>
          <w:p>
            <w:pPr>
              <w:pStyle w:val="TableParagraph"/>
              <w:spacing w:line="208" w:lineRule="auto" w:before="0"/>
              <w:ind w:right="134"/>
              <w:rPr>
                <w:sz w:val="20"/>
              </w:rPr>
            </w:pPr>
            <w:r>
              <w:rPr>
                <w:sz w:val="20"/>
              </w:rPr>
              <w:t>INEXISTENTE . RECURSO DESPROVIDO. I. Em observância ao princípio da dialeticidade, todo recurso deve ser devidamente fundamentado, mediante exposição dos motivos pelos quais o recorrente rechaça a decisão impugnada, a fim de justificar seu pedido de anulação, reforma, esclarecimento ou integração, o que se observa no caso concreto (pretende-se a anulação do decisum e, subsidiariamente, a sua reforma).</w:t>
            </w:r>
          </w:p>
          <w:p>
            <w:pPr>
              <w:pStyle w:val="TableParagraph"/>
              <w:spacing w:line="208" w:lineRule="auto" w:before="0"/>
              <w:ind w:right="19"/>
              <w:rPr>
                <w:sz w:val="20"/>
              </w:rPr>
            </w:pPr>
            <w:r>
              <w:rPr>
                <w:sz w:val="20"/>
              </w:rPr>
              <w:t>Preliminar de não conhecimento rejeitada . II. Compete ao magistrado decidir a lide (demanda) nos limites em que foi proposta, devendo ater-se aos pedidos das partes, sendo vedada a prolação de sentença "extrapetita", "citrapetita" ou "ultrapetita", ou seja, que decida fora, aquém ou além do pedido ( Código de Processo Civil, artigos 141 e 492). A decisão ainda precisa ser devidamente e suficientemente fundamentada, ou seja, o magistrado deve expor os fundamentos, as razões pelas quais decidiu de determinado modo de forma individualizada ao caso concreto, nos termos do Código de Processo Civil, artigo 489, § 1º e incisos, a contrario sensu. III . Não existem invalidades a serem reconhecidas. O procedimento adotado observou o contraditório e a ampla defesa, com o deferimento de ampla produção probatória (inclusive, deferindo-se a prova pericial postulada pelo demandado). A sentença decidiu a lide nos limites do pedido, e apreciou com regularidade as teses, fundamentos levantados e os elementos de prova produzidos. Preliminares de nulidade (sentença citra petita e fundamentação genérica) rejeitadas . IV. As questões de mérito centram-se no inadimplemento e rescisão contratuais e na restituição parcial de valores ao consumidor em caso de eventual rescisão contratual. V. A questão de direito material deve ser dirimida à luz das normas protetivas do Código de Defesa do Consumidor, de sorte que a parte autora, na qualidade de consumidor, tem em seu favor os direitos da inversão do ônus probatório e da plenitude da reparação dos danos (artigo 6º), a par da responsabilidade civil objetiva da prestadora de serviço (artigo 14 - teoria do risco do negócio) . VI. Nos termos do artigo 20 da Lei 8.078/1990, os vícios do serviço são aqueles que os tornem impróprios ao consumo ou lhes diminuam o valor, assim como por aqueles decorrentes da disparidade com as indicações constantes da oferta ou mensagem publicitária?. O fornecedor responderá objetivamente por vício de qualidade, que torna o serviço impróprio ao consumo ou lhe diminua o valor . VII. O </w:t>
            </w:r>
            <w:r>
              <w:rPr>
                <w:spacing w:val="-3"/>
                <w:sz w:val="20"/>
              </w:rPr>
              <w:t>serviço </w:t>
            </w:r>
            <w:r>
              <w:rPr>
                <w:sz w:val="20"/>
              </w:rPr>
              <w:t>de montagem de móveis planejados foi contratado para montagem em cinco ambientes (cozinha, banheiro, quarto, sala e hall). Não foram entregues os materiais para serem empregados na cozinha e no banheiro (segunda etapa, por faltarem as bancadas de granito). Nos demais ambientes (primeira etapa), em todos existiu serviço com vícios de projeto, de montagem ou com incorreções das especificações contratadas (a perícia relatou móveis incompletos; corrediças incorretas ou diferentes do modelo contratado;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262" w:val="left" w:leader="none"/>
                <w:tab w:pos="1618" w:val="left" w:leader="none"/>
                <w:tab w:pos="5301" w:val="left" w:leader="none"/>
              </w:tabs>
              <w:spacing w:line="208" w:lineRule="auto" w:before="26"/>
              <w:ind w:right="35"/>
              <w:rPr>
                <w:sz w:val="20"/>
              </w:rPr>
            </w:pPr>
            <w:r>
              <w:rPr>
                <w:sz w:val="20"/>
              </w:rPr>
              <w:t>peças avariadas; medidas e dimensões de peças incorretas; falta de ?bandeira? das portas contratadas; diferença de tonalidade do material) . A perícia judicial foi conclusiva quanto a existência dos vícios de qualidade do serviço de montagem e de alguns materiais entregues.</w:t>
              <w:tab/>
              <w:t>&lt;span style="text-decoration: underline;"&gt;</w:t>
              <w:tab/>
              <w:t>&lt;strong&gt;VIII. O consumidor efetuou o pagamento integral do contrato, mas o fornecedor (demandado) incorreu em inadimplemento contratual, pois atrasou na montagem e executou parcialmente o serviço com vícios de qualidade, devendo responder, inclusive, objetivamente pelos prejuízos infligidos ao consumidor. IX . As circunstâncias do caso autorizam à parte ofendida (a consumidora demandante) postular a resolução do contrato e pedir, à sua escolha, a restituição imediata da quantia paga, monetariamente atualizada, sem prejuízo de eventuais perdas e danos? ( Código Civil, artigo 475; e Lei 8.078/90, artigos 18, § 1º, inciso II; 19, inciso IV; e 20, inciso II). X. Como o fornecedor já estava inadimplente com o consumidor, e também porque ocorreu a quebra da confiança e da expectativa que legitimamente se espera dos serviços contratados (violação da boa-fé objetiva - Código Civil, artigos 113 e 422; e Código de Defesa do Consumidor, artigo 4º, inciso III e artigo </w:t>
            </w:r>
            <w:r>
              <w:rPr>
                <w:spacing w:val="-6"/>
                <w:sz w:val="20"/>
              </w:rPr>
              <w:t>51, </w:t>
            </w:r>
            <w:r>
              <w:rPr>
                <w:sz w:val="20"/>
              </w:rPr>
              <w:t>inciso&lt;/strong&gt;</w:t>
              <w:tab/>
              <w:t>&lt;/span&gt; IV), a consecução da etapa 2 ficou prejudicada, e não por falta imputável ao consumidor (não decorreu de ?desistência do consumidor, mas de inadimplemento culposo do fornecedor, vício do serviço, e consequente resolução contratual e restituição de valores pagos) . XI. Não existe amparo legal à retenção, a pedido do recorrente, de 50% (cinquenta por cento) do valor pago, nem aplicação da </w:t>
            </w:r>
            <w:r>
              <w:rPr>
                <w:spacing w:val="-3"/>
                <w:sz w:val="20"/>
              </w:rPr>
              <w:t>multa </w:t>
            </w:r>
            <w:r>
              <w:rPr>
                <w:sz w:val="20"/>
              </w:rPr>
              <w:t>contratual de retenção de 20%, em razão do suposto ?cancelamento indevido? do consumidor (que não existiu). XII. Apesar de o demandado ter entregado materiais para a instalação dos móveis (com vícios de inconsistência com o projeto executivo, com incorreções de medidas etc .), o interesse do consumidor nesses contratos e a legítima expectativa esperada (e tutelada) não se resumiam à aquisição de materiais de marcenaria, mas sim à efetiva montagem final do mobiliário na residência. Ou seja, é adquirir melhoramentos e benfeitorias (úteis e voluptuárias) a serem empregadas no imóvel para agregar-lhe valor e trazer mais conforto, utilidade, embelezamento e aformoseamento, o que não teria ocorrido. XIII. Apelo conhecido . Preliminares rejeitadas. No mérito, desprovido. Honorários recursais majorados. (TJ-DF 0716382-86</w:t>
            </w:r>
          </w:p>
          <w:p>
            <w:pPr>
              <w:pStyle w:val="TableParagraph"/>
              <w:spacing w:line="188" w:lineRule="exact" w:before="0"/>
              <w:rPr>
                <w:sz w:val="20"/>
              </w:rPr>
            </w:pPr>
            <w:r>
              <w:rPr>
                <w:sz w:val="20"/>
              </w:rPr>
              <w:t>.2022.8.07.0001 1843410, Relator.: FERNANDO ANTONIO TAVERNARD LIMA, Data de</w:t>
            </w:r>
          </w:p>
          <w:p>
            <w:pPr>
              <w:pStyle w:val="TableParagraph"/>
              <w:spacing w:line="200" w:lineRule="exact" w:before="0"/>
              <w:rPr>
                <w:sz w:val="20"/>
              </w:rPr>
            </w:pPr>
            <w:r>
              <w:rPr>
                <w:sz w:val="20"/>
              </w:rPr>
              <w:t>Julgamento: 03/04/2024, 2ª Turma Cível, Data de Publicação: 18/04/2024).&lt;/span&gt;</w:t>
            </w:r>
          </w:p>
          <w:p>
            <w:pPr>
              <w:pStyle w:val="TableParagraph"/>
              <w:tabs>
                <w:tab w:pos="3851" w:val="left" w:leader="none"/>
                <w:tab w:pos="4484" w:val="left" w:leader="none"/>
                <w:tab w:pos="7510" w:val="left" w:leader="none"/>
              </w:tabs>
              <w:spacing w:line="208" w:lineRule="auto" w:before="10"/>
              <w:ind w:right="91"/>
              <w:rPr>
                <w:sz w:val="20"/>
              </w:rPr>
            </w:pPr>
            <w:r>
              <w:rPr>
                <w:sz w:val="20"/>
              </w:rPr>
              <w:t>&lt;/span&gt;&lt;/blockquote&gt;&lt;h4 class="western" style="line-height: 200%;"&gt; &lt;span style="font- family: &amp;quot;Times New Roman&amp;quot;, serif;"&gt;</w:t>
              <w:tab/>
              <w:t>&lt;span style="font-size: 14pt;"&gt;2.3. Da multa contratual e honorários&lt;/span&gt; &lt;/span&gt;&lt;/h4&gt;&lt;p style="line-height: 200%;" align="justify"&gt;  &lt;span style="font-family: &amp;quot;Times New Roman&amp;quot;, serif;"&gt;</w:t>
              <w:tab/>
            </w:r>
            <w:r>
              <w:rPr>
                <w:spacing w:val="-4"/>
                <w:sz w:val="20"/>
              </w:rPr>
              <w:t>&lt;span </w:t>
            </w:r>
            <w:r>
              <w:rPr>
                <w:sz w:val="20"/>
              </w:rPr>
              <w:t>style="font-size: 14pt;"&gt;O contrato firmado entre as partes contém cláusula penal de 10% incidente sobre o valor a ser restituído, aplicável em caso de inadimplemento. Ausente qualquer vício de vontade ou abusividade, a cláusula deve ser respeitada, nos termos do art. 421-A do Código Civil.&lt;/span&gt; &lt;/span&gt;&lt;/p&gt;&lt;p style="line-height: 200%;" align="justify"&gt;  &lt;span style="font-family: &amp;quot;Times New Roman&amp;quot;, serif;"&gt;</w:t>
              <w:tab/>
            </w:r>
            <w:r>
              <w:rPr>
                <w:spacing w:val="-4"/>
                <w:sz w:val="20"/>
              </w:rPr>
              <w:t>&lt;span </w:t>
            </w:r>
            <w:r>
              <w:rPr>
                <w:sz w:val="20"/>
              </w:rPr>
              <w:t>style="font-size: 14pt;"&gt;A jurisprudência reconhece a validade da cláusula penal como mecanismo de coerção ao cumprimento do contrato:&lt;/span&gt; &lt;/span&gt;&lt;/p&gt;&lt;blockquote style="line-height: 200%; text-align: justify; margin-left: 7cm; margin-right: 2.1cm; background: transparent; page-break-before: auto;"&gt; &lt;span style="font-family: &amp;quot;Times New Roman&amp;quot;, serif;"&gt;</w:t>
              <w:tab/>
              <w:t>&lt;span style="font-size: 14pt;"&gt;RECURSO ESPECIAL. CONTRATO DE COMPROMISSO DE COMPRA E VENDA DE IMÓVEL ENTRE PARTICULARES. RESCISÃO DO CONTRATO. VALORES PAGOS . PERDA</w:t>
            </w:r>
          </w:p>
          <w:p>
            <w:pPr>
              <w:pStyle w:val="TableParagraph"/>
              <w:tabs>
                <w:tab w:pos="1373" w:val="left" w:leader="none"/>
                <w:tab w:pos="5412" w:val="left" w:leader="none"/>
              </w:tabs>
              <w:spacing w:line="208" w:lineRule="auto" w:before="0"/>
              <w:ind w:right="88"/>
              <w:rPr>
                <w:sz w:val="20"/>
              </w:rPr>
            </w:pPr>
            <w:r>
              <w:rPr>
                <w:sz w:val="20"/>
              </w:rPr>
              <w:t>INTEGRAL.</w:t>
              <w:tab/>
              <w:t>&lt;span style="text-decoration: underline;"&gt;</w:t>
              <w:tab/>
              <w:t>&lt;strong&gt;PREVISÃO EM CLÁUSULA PENAL. VALIDADE. NEGÓCIO JURÍDICO . AUSÊNCIA DE</w:t>
            </w:r>
            <w:r>
              <w:rPr>
                <w:spacing w:val="12"/>
                <w:sz w:val="20"/>
              </w:rPr>
              <w:t> </w:t>
            </w:r>
            <w:r>
              <w:rPr>
                <w:spacing w:val="-2"/>
                <w:sz w:val="20"/>
              </w:rPr>
              <w:t>VÍCIOS&lt;/strong&gt;</w:t>
            </w:r>
          </w:p>
          <w:p>
            <w:pPr>
              <w:pStyle w:val="TableParagraph"/>
              <w:spacing w:line="208" w:lineRule="auto" w:before="0"/>
              <w:ind w:right="1271"/>
              <w:rPr>
                <w:sz w:val="20"/>
              </w:rPr>
            </w:pPr>
            <w:r>
              <w:rPr>
                <w:sz w:val="20"/>
              </w:rPr>
              <w:t>&lt;/span&gt;. PROPOSIÇÃO DO PROMITENTE COMPRADOR. ALEGAÇÃO DE INVALIDADE. IMPOSSIBILIDADE . PROIBIÇÃO DE COMPORTAMENTO</w:t>
            </w:r>
          </w:p>
          <w:p>
            <w:pPr>
              <w:pStyle w:val="TableParagraph"/>
              <w:tabs>
                <w:tab w:pos="3472" w:val="left" w:leader="none"/>
                <w:tab w:pos="7561" w:val="left" w:leader="none"/>
              </w:tabs>
              <w:spacing w:line="208" w:lineRule="auto" w:before="0"/>
              <w:ind w:right="19"/>
              <w:rPr>
                <w:sz w:val="20"/>
              </w:rPr>
            </w:pPr>
            <w:r>
              <w:rPr>
                <w:sz w:val="20"/>
              </w:rPr>
              <w:t>CONTRADITÓRIO. 1. Recurso especial interposto contra acórdão publicado na vigência do Código de Processo Civil de 2015 (Enunciados Administrativos nºs 2 e 3/STJ).</w:t>
              <w:tab/>
              <w:t>&lt;span style="text-decoration: underline;"&gt;</w:t>
              <w:tab/>
              <w:t>&lt;strong&gt;2 . Cinge-se a controvérsia a discutir a validade de cláusula penal que prevê a perda integral dos valores pagos em contrato de compromisso de compra e venda firmado entre particulares. 3. Para a caracterização do vício de lesão, exige-se a presença simultânea de elemento objetivo - a desproporção das prestações - e subjetivo - a inexperiência ou a premente necessidade, que devem ser aferidos no caso concreto. 4 . Tratando-se de negócio jurídico bilateral celebrado de forma voluntária entre particulares, é imprescindível a comprovação dos elementos subjetivos, sendo inadmissível a presunção nesse sentido. 5. O mero interesse econômico em resguardar o patrimônio investido em determinado negócio jurídico não configura </w:t>
            </w:r>
            <w:r>
              <w:rPr>
                <w:spacing w:val="-3"/>
                <w:sz w:val="20"/>
              </w:rPr>
              <w:t>premente </w:t>
            </w:r>
            <w:r>
              <w:rPr>
                <w:sz w:val="20"/>
              </w:rPr>
              <w:t>necessidade para o fim do art. 157 do Código Civil . 6. Na hipótese em apreço, a cláusula penal questionada foi proposta pelos próprios recorrentes, que não comprovaram a inexperiência ou premente necessidade, motivo pelo qual a pretensão de anulação configura comportamento contraditório, vedado pelo princípio da boa-fé objetiva. 7.</w:t>
            </w:r>
          </w:p>
          <w:p>
            <w:pPr>
              <w:pStyle w:val="TableParagraph"/>
              <w:tabs>
                <w:tab w:pos="3742" w:val="left" w:leader="none"/>
              </w:tabs>
              <w:spacing w:line="208" w:lineRule="auto" w:before="0"/>
              <w:ind w:right="297"/>
              <w:rPr>
                <w:sz w:val="20"/>
              </w:rPr>
            </w:pPr>
            <w:r>
              <w:rPr>
                <w:sz w:val="20"/>
              </w:rPr>
              <w:t>Recurso especial não provido&lt;/strong&gt;</w:t>
              <w:tab/>
              <w:t>&lt;/span&gt;. (STJ - REsp: 1723690 DF 2018/0030908-1, Relator.: Ministro RICARDO VILLAS BÔAS CUEVA, Data de Julgamento: 06/08/2019, T3 - TERCEIRA TURMA, Data de Publicação: DJe</w:t>
            </w:r>
            <w:r>
              <w:rPr>
                <w:spacing w:val="-17"/>
                <w:sz w:val="20"/>
              </w:rPr>
              <w:t> </w:t>
            </w:r>
            <w:r>
              <w:rPr>
                <w:sz w:val="20"/>
              </w:rPr>
              <w:t>12/08/2019</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483" w:val="left" w:leader="none"/>
              </w:tabs>
              <w:spacing w:line="208" w:lineRule="auto" w:before="26"/>
              <w:ind w:right="116"/>
              <w:rPr>
                <w:sz w:val="20"/>
              </w:rPr>
            </w:pPr>
            <w:r>
              <w:rPr>
                <w:sz w:val="20"/>
              </w:rPr>
              <w:t>RB vol. 660 p. 186).&lt;/span&gt; &lt;/span&gt;&lt;/blockquote&gt;&lt;blockquote style="line-height: 200%; text-align: justify; margin-left: 7cm; margin-right: 2.1cm; background: transparent;"&gt; </w:t>
            </w:r>
            <w:r>
              <w:rPr>
                <w:spacing w:val="-4"/>
                <w:sz w:val="20"/>
              </w:rPr>
              <w:t>&lt;span </w:t>
            </w:r>
            <w:r>
              <w:rPr>
                <w:sz w:val="20"/>
              </w:rPr>
              <w:t>style="font-family: &amp;quot;Times New Roman&amp;quot;, serif;"&gt;</w:t>
              <w:tab/>
              <w:t>&lt;span style="font-size: 14pt;"&gt;EMBARGOS DE DECLARAÇÃO. OMISSÃO. INOCORRÊNCIA. Alegação de</w:t>
            </w:r>
          </w:p>
          <w:p>
            <w:pPr>
              <w:pStyle w:val="TableParagraph"/>
              <w:spacing w:line="208" w:lineRule="auto" w:before="0"/>
              <w:ind w:right="56"/>
              <w:rPr>
                <w:sz w:val="20"/>
              </w:rPr>
            </w:pPr>
            <w:r>
              <w:rPr>
                <w:sz w:val="20"/>
              </w:rPr>
              <w:t>omissão quanto às razões fáticas e jurídicas que afastam a alegação de que a cláusula penal se mostrou exorbitante quando comparada à obrigação descumprida . Omissão não configurada. Decisão fundamentada. Validade da cláusula penal. Intervenção judicial que somente se justifica quando configurado patente desequilíbrio e abusividade, hipótese não verificada no caso vertente . Embargos de declaração rejeitados. (TJ-SP - Embargos de Declaração Cível: 10230842520208260224 São Paulo, Relator.: J.B. Paula Lima, Data de Julgamento: 11/10/2024, 1ª Câmara Reservada de Direito Empresarial, Data de Publicação: 11/10/2024).&lt;/span&gt; &lt;/span&gt;&lt;/blockquote&gt;&lt;blockquote style="line-height: 200%; text-align: justify; margin-left: 7cm; margin-right: 2.1cm; background: transparent;"&gt;</w:t>
            </w:r>
          </w:p>
          <w:p>
            <w:pPr>
              <w:pStyle w:val="TableParagraph"/>
              <w:tabs>
                <w:tab w:pos="6090" w:val="left" w:leader="none"/>
              </w:tabs>
              <w:spacing w:line="208" w:lineRule="auto" w:before="0"/>
              <w:ind w:right="46"/>
              <w:rPr>
                <w:sz w:val="20"/>
              </w:rPr>
            </w:pPr>
            <w:r>
              <w:rPr>
                <w:sz w:val="20"/>
              </w:rPr>
              <w:t>&lt;span style="font-family: &amp;quot;Times New Roman&amp;quot;, serif;"&gt;</w:t>
              <w:tab/>
              <w:t>&lt;span style="font-size: 14pt;"&gt;APELAÇÃO CÍVEL. AÇÃO DE COBRANÇA E PEDIDO DE TUTELA DE EVIDENCIA. CONTRATO DE PRESTAÇÃO DE SERVIÇO. LOCAÇÃO DE EQUIPAMENTO (CAMINHÃO BETONEIRA), COM MÃO DE OBRA DE OPERAÇÃO . INSTRUMENTO QUE PREVÊ A EXCLUSÃO DA RESPONSABILIDADE TRABALHISTA. PREVALÊNCIA DA AUTONOMIA DA VONTADE PRIVADA E DA LIBERDADE DE</w:t>
            </w:r>
          </w:p>
          <w:p>
            <w:pPr>
              <w:pStyle w:val="TableParagraph"/>
              <w:tabs>
                <w:tab w:pos="1617" w:val="left" w:leader="none"/>
                <w:tab w:pos="2051" w:val="left" w:leader="none"/>
                <w:tab w:pos="5656" w:val="left" w:leader="none"/>
              </w:tabs>
              <w:spacing w:line="208" w:lineRule="auto" w:before="0"/>
              <w:ind w:right="34"/>
              <w:rPr>
                <w:sz w:val="20"/>
              </w:rPr>
            </w:pPr>
            <w:r>
              <w:rPr>
                <w:sz w:val="20"/>
              </w:rPr>
              <w:t>CONTRATAR.</w:t>
              <w:tab/>
              <w:t>&lt;span style="text-decoration: underline;"&gt;</w:t>
              <w:tab/>
              <w:t>&lt;strong&gt;CLÁUSULA PENAL. VALIDADE . DEMANDAS AJUIZADAS EM DESFAVOR DA CONTRATADA E DOS INTERVENIENTES-ANUENTES, PENDENTES DE TRÂNSITO EM JULGADO&lt;/strong&gt;</w:t>
              <w:tab/>
              <w:t>&lt;/span&gt;. RETENÇÃO DE CRÉDITOS. POSSIBILIDADE. RECURSO CONHECIDO E IMPROVIDO . SENTENÇA MANTIDA POR SEUS</w:t>
            </w:r>
            <w:r>
              <w:rPr>
                <w:spacing w:val="6"/>
                <w:sz w:val="20"/>
              </w:rPr>
              <w:t> </w:t>
            </w:r>
            <w:r>
              <w:rPr>
                <w:spacing w:val="-3"/>
                <w:sz w:val="20"/>
              </w:rPr>
              <w:t>PRÓPRIOS</w:t>
            </w:r>
          </w:p>
          <w:p>
            <w:pPr>
              <w:pStyle w:val="TableParagraph"/>
              <w:tabs>
                <w:tab w:pos="1439" w:val="left" w:leader="none"/>
                <w:tab w:pos="2052" w:val="left" w:leader="none"/>
                <w:tab w:pos="5020" w:val="left" w:leader="none"/>
              </w:tabs>
              <w:spacing w:line="208" w:lineRule="auto" w:before="0"/>
              <w:ind w:right="27"/>
              <w:rPr>
                <w:sz w:val="20"/>
              </w:rPr>
            </w:pPr>
            <w:r>
              <w:rPr>
                <w:sz w:val="20"/>
              </w:rPr>
              <w:t>FUNDAMENTOS. 1. Por contrato de prestação de serviço, define-se o acordo de vontade legalmente exequível que, na hipótese, decorre da locação de equipamento (caminhão betoneira), com mão de obra de operação. 2 . Da análise do instrumento juntado ao fascículo processual, infere-se a existência de cláusulas penais delineadas a partir do tópico "Aspecto Trabalhista", autorizando a retenção de créditos no caso da contratante e/ou intervenientes sofrerem atuações, notificações, intimações ou condenações, até o limite das respectivas obrigações ali representadas. 3</w:t>
              <w:tab/>
              <w:t>&lt;span style="text-decoration: underline;"&gt;</w:t>
              <w:tab/>
              <w:t>&lt;strong&gt;. Dispõe o art. 408, do Código Civil: "( ...) Incorre de pleno direito </w:t>
            </w:r>
            <w:r>
              <w:rPr>
                <w:spacing w:val="-17"/>
                <w:sz w:val="20"/>
              </w:rPr>
              <w:t>o </w:t>
            </w:r>
            <w:r>
              <w:rPr>
                <w:sz w:val="20"/>
              </w:rPr>
              <w:t>devedor na cláusula penal, desde que, culposamente, deixe de cumprir a obrigação ou se constitua em mora". 4. Dessarte, considerando a disposição pactuada e a prova inequívoca do seu descumprimento, razões não há para afastar o veredicto hostilizado&lt;/strong&gt;</w:t>
              <w:tab/>
              <w:t>&lt;/span&gt;. 5 . Recurso conhecido e improvido. ACÓRDÃO: Vistos, relatados e discutidos estes autos, acorda a 4ª Câmara Direito Privado do Tribunal de Justiça do Estado do Ceará, em conhecer do recurso de apelação, para, no mérito, NEGAR-LHE PROVIMENTO, tudo nos termos do voto do Desembargador Relator.</w:t>
            </w:r>
          </w:p>
          <w:p>
            <w:pPr>
              <w:pStyle w:val="TableParagraph"/>
              <w:spacing w:line="208" w:lineRule="auto" w:before="0"/>
              <w:ind w:right="187"/>
              <w:rPr>
                <w:sz w:val="20"/>
              </w:rPr>
            </w:pPr>
            <w:r>
              <w:rPr>
                <w:sz w:val="20"/>
              </w:rPr>
              <w:t>Fortaleza, 18 de outubro de 2022. MARIA DO LIVRAMENTO ALVES MAGALHAES Presidente do Órgão Julgador JOSÉ EVANDRO NOGUEIRA LIMA FILHO Des . Relator (TJ-CE - AC: 01243659120178060001 Fortaleza, Relator.: JOSE EVANDRO NOGUEIRA</w:t>
            </w:r>
          </w:p>
          <w:p>
            <w:pPr>
              <w:pStyle w:val="TableParagraph"/>
              <w:tabs>
                <w:tab w:pos="7510" w:val="left" w:leader="none"/>
              </w:tabs>
              <w:spacing w:line="208" w:lineRule="auto" w:before="0"/>
              <w:ind w:right="44"/>
              <w:rPr>
                <w:sz w:val="20"/>
              </w:rPr>
            </w:pPr>
            <w:r>
              <w:rPr>
                <w:sz w:val="20"/>
              </w:rPr>
              <w:t>LIMA FILHO, Data de Julgamento: 18/10/2022, 4ª Câmara Direito Privado, Data de Publicação: 18/10/2022).&lt;/span&gt; &lt;/span&gt;&lt;/blockquote&gt;&lt;p style="line-height: 200%;" align="justify"&gt;  &lt;span style="font-family: &amp;quot;Times New Roman&amp;quot;, serif;"&gt;</w:t>
              <w:tab/>
              <w:t>&lt;span style="font-size: 14pt;"&gt;Assim, correta a fixação da multa contratual pela</w:t>
            </w:r>
            <w:r>
              <w:rPr>
                <w:spacing w:val="-17"/>
                <w:sz w:val="20"/>
              </w:rPr>
              <w:t> </w:t>
            </w:r>
            <w:r>
              <w:rPr>
                <w:sz w:val="20"/>
              </w:rPr>
              <w:t>sentença.&lt;/span&gt;</w:t>
            </w:r>
          </w:p>
          <w:p>
            <w:pPr>
              <w:pStyle w:val="TableParagraph"/>
              <w:tabs>
                <w:tab w:pos="2217" w:val="left" w:leader="none"/>
                <w:tab w:pos="3851" w:val="left" w:leader="none"/>
                <w:tab w:pos="5483" w:val="left" w:leader="none"/>
              </w:tabs>
              <w:spacing w:line="208" w:lineRule="auto" w:before="0"/>
              <w:ind w:right="118"/>
              <w:rPr>
                <w:sz w:val="20"/>
              </w:rPr>
            </w:pPr>
            <w:r>
              <w:rPr>
                <w:sz w:val="20"/>
              </w:rPr>
              <w:t>&lt;/span&gt;&lt;/p&gt;&lt;h4 class="western" style="line-height: 200%;"&gt; &lt;span style="font-family: &amp;quot;Times New Roman&amp;quot;, serif;"&gt;</w:t>
              <w:tab/>
              <w:t>&lt;span style="font-size: 14pt;"&gt;2.4. Da litigância de má-fé&lt;/span&gt; &lt;/span&gt;&lt;/h4&gt;&lt;p style="line-height: 200%;" align="justify"&gt; &lt;span style="font-family: &amp;quot;Times New Roman&amp;quot;, serif;"&gt;</w:t>
              <w:tab/>
              <w:t>&lt;span style="font-size: 14pt;"&gt;Por fim, não restou demonstrada conduta da parte apelante que configure dolo processual, alteração da verdade dos fatos ou resistência injustificada ao andamento do feito, nos termos do art. 80 do CPC. O simples fato de recorrer com teses vencidas não autoriza, por si só, a imposição de multa por litigância de má-fé.&lt;/span&gt; &lt;/span&gt;&lt;/p&gt;&lt;p style="line-height: 200%;" align="justify"&gt; &lt;span style="font-family: &amp;quot;Times New Roman&amp;quot;, serif;"&gt;</w:t>
              <w:tab/>
              <w:t>&lt;span style="font-size: 14pt;"&gt;A sentença deve ser mantida integralmente, por estar em consonância com os fatos provados nos autos e com a jurisprudência dos tribunais superiores.&lt;/span&gt; &lt;/span&gt;&lt;/p&gt;&lt;p style="line-height: 200%; margin-bottom: 0cm;" align="justify"&gt;&amp;#160;&lt;/p&gt;&lt;p style="line-height: 200%; margin- bottom: 0cm;" align="justify"&gt;&amp;#160;&lt;/p&gt;&lt;p style="line-height: 200%;" align="center"&gt;</w:t>
            </w:r>
          </w:p>
          <w:p>
            <w:pPr>
              <w:pStyle w:val="TableParagraph"/>
              <w:tabs>
                <w:tab w:pos="1051" w:val="left" w:leader="none"/>
              </w:tabs>
              <w:spacing w:line="208" w:lineRule="auto" w:before="0"/>
              <w:ind w:right="60"/>
              <w:rPr>
                <w:sz w:val="20"/>
              </w:rPr>
            </w:pPr>
            <w:r>
              <w:rPr>
                <w:sz w:val="20"/>
              </w:rPr>
              <w:t>&lt;strong&gt;</w:t>
              <w:tab/>
              <w:t>&lt;span style="font-variant-numeric: normal; font-variant-east-asian: normal; </w:t>
            </w:r>
            <w:r>
              <w:rPr>
                <w:spacing w:val="-4"/>
                <w:sz w:val="20"/>
              </w:rPr>
              <w:t>font- </w:t>
            </w:r>
            <w:r>
              <w:rPr>
                <w:sz w:val="20"/>
              </w:rPr>
              <w:t>variant-alternates: normal; font-variant-position: normal; font-variant-emoji: normal;"&gt;</w:t>
            </w:r>
          </w:p>
          <w:p>
            <w:pPr>
              <w:pStyle w:val="TableParagraph"/>
              <w:tabs>
                <w:tab w:pos="2550" w:val="left" w:leader="none"/>
                <w:tab w:pos="3256" w:val="left" w:leader="none"/>
              </w:tabs>
              <w:spacing w:line="208" w:lineRule="auto" w:before="0"/>
              <w:ind w:right="1079"/>
              <w:rPr>
                <w:sz w:val="20"/>
              </w:rPr>
            </w:pPr>
            <w:r>
              <w:rPr>
                <w:sz w:val="20"/>
              </w:rPr>
              <w:t>&lt;span style="color: #000000;"&gt;</w:t>
              <w:tab/>
              <w:t>&lt;span style="font-family: &amp;quot;Times </w:t>
            </w:r>
            <w:r>
              <w:rPr>
                <w:spacing w:val="-6"/>
                <w:sz w:val="20"/>
              </w:rPr>
              <w:t>New </w:t>
            </w:r>
            <w:r>
              <w:rPr>
                <w:sz w:val="20"/>
              </w:rPr>
              <w:t>Roman&amp;quot;, serif;"&gt;</w:t>
              <w:tab/>
              <w:t>&lt;span style="font-size: 14pt;"&gt;</w:t>
            </w:r>
          </w:p>
          <w:p>
            <w:pPr>
              <w:pStyle w:val="TableParagraph"/>
              <w:tabs>
                <w:tab w:pos="3508" w:val="left" w:leader="none"/>
                <w:tab w:pos="4675" w:val="left" w:leader="none"/>
                <w:tab w:pos="5731" w:val="left" w:leader="none"/>
                <w:tab w:pos="6676" w:val="left" w:leader="none"/>
              </w:tabs>
              <w:spacing w:line="190" w:lineRule="exact" w:before="0"/>
              <w:rPr>
                <w:sz w:val="20"/>
              </w:rPr>
            </w:pPr>
            <w:r>
              <w:rPr>
                <w:sz w:val="20"/>
              </w:rPr>
              <w:t>&lt;strong&gt;DISPOSITIVO&lt;/strong&gt;</w:t>
              <w:tab/>
              <w:t>&lt;/span&gt;</w:t>
              <w:tab/>
              <w:t>&lt;/span&gt;</w:t>
              <w:tab/>
              <w:t>&lt;/span&gt;</w:t>
              <w:tab/>
              <w:t>&lt;/span&gt;</w:t>
            </w:r>
          </w:p>
          <w:p>
            <w:pPr>
              <w:pStyle w:val="TableParagraph"/>
              <w:tabs>
                <w:tab w:pos="2217" w:val="left" w:leader="none"/>
              </w:tabs>
              <w:spacing w:line="208" w:lineRule="auto" w:before="5"/>
              <w:ind w:right="328"/>
              <w:rPr>
                <w:sz w:val="20"/>
              </w:rPr>
            </w:pPr>
            <w:r>
              <w:rPr>
                <w:sz w:val="20"/>
              </w:rPr>
              <w:t>&lt;/strong&gt;&lt;/p&gt;&lt;p style="line-height: 200%;" align="justify"&gt;&lt;span style="font-family: &amp;quot;Times New Roman&amp;quot;, serif;"&gt; &lt;span style="font-size: 14pt;"&gt;Diante do exposto,&lt;/span&gt;&lt;/span&gt; &lt;strong&gt; &lt;span style="font-family: &amp;quot;Times New Roman&amp;quot;, serif;"&gt;</w:t>
              <w:tab/>
              <w:t>&lt;span style="font-size: 14pt;"&gt;conheço da apelação e </w:t>
            </w:r>
            <w:r>
              <w:rPr>
                <w:spacing w:val="-3"/>
                <w:sz w:val="20"/>
              </w:rPr>
              <w:t>nego-lhe </w:t>
            </w:r>
            <w:r>
              <w:rPr>
                <w:sz w:val="20"/>
              </w:rPr>
              <w:t>provimento&lt;/span&gt; &lt;/span&gt;&lt;/strong&gt;&lt;span style="font-family: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0188940-45.2016.8.06.0001</w:t>
            </w:r>
          </w:p>
        </w:tc>
      </w:tr>
      <w:tr>
        <w:trPr>
          <w:trHeight w:val="6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
              <w:rPr>
                <w:sz w:val="20"/>
              </w:rPr>
            </w:pPr>
            <w:r>
              <w:rPr>
                <w:sz w:val="20"/>
              </w:rPr>
              <w:t>Roman&amp;quot;, serif;"&gt; &lt;span style="font-size: 14pt;"&gt;, mantendo integralmente a sentença por seus próprios fundamentos.&lt;/span&gt;&lt;/span&gt;&lt;/p&gt;&lt;p style="line-height: 200%;" align="justify"&gt;&lt;span style="font-family: &amp;quot;Times New Roman&amp;quot;, serif;"&gt; &lt;span style="font-size: 14pt;"&gt;Nos termos do art. 85, §11, do CPC,&lt;/span&gt;&lt;/span&gt; &lt;strong&gt;</w:t>
            </w:r>
          </w:p>
          <w:p>
            <w:pPr>
              <w:pStyle w:val="TableParagraph"/>
              <w:tabs>
                <w:tab w:pos="2673" w:val="left" w:leader="none"/>
                <w:tab w:pos="6090" w:val="left" w:leader="none"/>
              </w:tabs>
              <w:spacing w:line="208" w:lineRule="auto" w:before="0"/>
              <w:ind w:right="46"/>
              <w:rPr>
                <w:sz w:val="20"/>
              </w:rPr>
            </w:pPr>
            <w:r>
              <w:rPr>
                <w:sz w:val="20"/>
              </w:rPr>
              <w:t>&lt;span style="font-family: &amp;quot;Times New Roman&amp;quot;, serif;"&gt;</w:t>
              <w:tab/>
              <w:t>&lt;span style="font-size: 14pt;"&gt;major&lt;/span&gt; &lt;/span&gt;&lt;/strong&gt;&lt;strong&gt; &lt;span style="font-family: &amp;quot;Times New Roman&amp;quot;, serif;"&gt;</w:t>
              <w:tab/>
              <w:t>&lt;span style="font-size: 14pt;"&gt;o&lt;/span&gt;</w:t>
            </w:r>
          </w:p>
          <w:p>
            <w:pPr>
              <w:pStyle w:val="TableParagraph"/>
              <w:tabs>
                <w:tab w:pos="883" w:val="left" w:leader="none"/>
              </w:tabs>
              <w:spacing w:line="208" w:lineRule="auto" w:before="0"/>
              <w:ind w:right="508"/>
              <w:rPr>
                <w:sz w:val="20"/>
              </w:rPr>
            </w:pPr>
            <w:r>
              <w:rPr>
                <w:sz w:val="20"/>
              </w:rPr>
              <w:t>&lt;/span&gt;&lt;/strong&gt;&lt;strong&gt; &lt;span style="font-family: &amp;quot;Times New </w:t>
            </w:r>
            <w:r>
              <w:rPr>
                <w:spacing w:val="-2"/>
                <w:sz w:val="20"/>
              </w:rPr>
              <w:t>Roman&amp;quot;, </w:t>
            </w:r>
            <w:r>
              <w:rPr>
                <w:sz w:val="20"/>
              </w:rPr>
              <w:t>serif;"&gt;</w:t>
              <w:tab/>
              <w:t>&lt;span style="font-size: 14pt;"&gt;a verba honorária para 12%&lt;/span&gt;</w:t>
            </w:r>
          </w:p>
          <w:p>
            <w:pPr>
              <w:pStyle w:val="TableParagraph"/>
              <w:tabs>
                <w:tab w:pos="4407" w:val="left" w:leader="none"/>
                <w:tab w:pos="4843" w:val="left" w:leader="none"/>
                <w:tab w:pos="5483"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14pt;"&gt;(doze por cento) sobre o valor da condenação.&lt;/span&gt;&lt;/span&gt;&lt;/p&gt;&lt;p style="line-height: 200%;" align="justify"&gt; &lt;span style="font-family: &amp;quot;Times New Roman&amp;quot;, serif;"&gt;</w:t>
              <w:tab/>
              <w:t>&lt;span style="font-size: 14pt;"&gt;É como voto.&lt;/span&gt; &lt;/span&gt;&lt;/p&gt;&lt;p style="font-variant-numeric: normal; font- variant-east-asian: normal; font-variant-alternates: normal; font-variant-position: normal; font-variant-emoji: normal; line-height: 200%;" align="justify"&gt; &lt;br /&gt; &lt;br /&gt;&lt;/p&gt;&lt;p style="line-height: 200%;" align="center"&gt;  &lt;strong&gt;</w:t>
              <w:tab/>
              <w:t>&lt;span style="font-variant-numeric: normal; font-variant-east-asian: normal; font-variant-alternates: normal; font-variant- position: normal; font-variant-emoji: normal;"&gt;</w:t>
              <w:tab/>
              <w:t>&lt;span style="color: #000000;"&gt;</w:t>
            </w:r>
          </w:p>
          <w:p>
            <w:pPr>
              <w:pStyle w:val="TableParagraph"/>
              <w:tabs>
                <w:tab w:pos="1806" w:val="left" w:leader="none"/>
                <w:tab w:pos="6423" w:val="left" w:leader="none"/>
                <w:tab w:pos="7207" w:val="left" w:leader="none"/>
              </w:tabs>
              <w:spacing w:line="208" w:lineRule="auto" w:before="0"/>
              <w:ind w:right="124"/>
              <w:rPr>
                <w:sz w:val="20"/>
              </w:rPr>
            </w:pPr>
            <w:r>
              <w:rPr>
                <w:sz w:val="20"/>
              </w:rPr>
              <w:t>&lt;span style="font-family: &amp;quot;Times New Roman&amp;quot;, serif;"&gt;</w:t>
              <w:tab/>
              <w:t>&lt;span </w:t>
            </w:r>
            <w:r>
              <w:rPr>
                <w:spacing w:val="-2"/>
                <w:sz w:val="20"/>
              </w:rPr>
              <w:t>style="font- </w:t>
            </w:r>
            <w:r>
              <w:rPr>
                <w:sz w:val="20"/>
              </w:rPr>
              <w:t>size: 14pt;"&gt;</w:t>
              <w:tab/>
              <w:t>&lt;strong&gt;JOSÉ KRENTEL FERREIRA FILHO&lt;/strong&gt;</w:t>
              <w:tab/>
              <w:t>&lt;/span&gt;</w:t>
            </w:r>
          </w:p>
          <w:p>
            <w:pPr>
              <w:pStyle w:val="TableParagraph"/>
              <w:tabs>
                <w:tab w:pos="1096" w:val="left" w:leader="none"/>
                <w:tab w:pos="1284" w:val="left" w:leader="none"/>
                <w:tab w:pos="1327" w:val="left" w:leader="none"/>
                <w:tab w:pos="2041" w:val="left" w:leader="none"/>
                <w:tab w:pos="2072" w:val="left" w:leader="none"/>
                <w:tab w:pos="3728" w:val="left" w:leader="none"/>
                <w:tab w:pos="5544" w:val="left" w:leader="none"/>
                <w:tab w:pos="7445" w:val="left" w:leader="none"/>
              </w:tabs>
              <w:spacing w:line="208" w:lineRule="auto" w:before="0"/>
              <w:ind w:right="137"/>
              <w:rPr>
                <w:sz w:val="20"/>
              </w:rPr>
            </w:pPr>
            <w:r>
              <w:rPr>
                <w:sz w:val="20"/>
              </w:rPr>
              <w:t>&lt;/span&gt;</w:t>
              <w:tab/>
              <w:t>&lt;/span&gt;</w:t>
              <w:tab/>
              <w:t>&lt;/span&gt; &lt;/strong&gt;&lt;/p&gt;&lt;p style="font-variant-numeric: normal; </w:t>
            </w:r>
            <w:r>
              <w:rPr>
                <w:spacing w:val="-4"/>
                <w:sz w:val="20"/>
              </w:rPr>
              <w:t>font- </w:t>
            </w:r>
            <w:r>
              <w:rPr>
                <w:sz w:val="20"/>
              </w:rPr>
              <w:t>variant-east-asian: normal; font-variant-alternates: normal; font-variant-position: normal; font-variant-emoji: normal; line-height: 200%;" align="center"&gt; &lt;span style="color: #000000;"&gt;</w:t>
              <w:tab/>
              <w:tab/>
              <w:t>&lt;span style="font-family: &amp;quot;Times New Roman&amp;quot;, serif;"&gt;</w:t>
              <w:tab/>
              <w:t>&lt;span style="font-size: 14pt;"&gt;Relator&lt;/span&gt;</w:t>
              <w:tab/>
              <w:t>&lt;/span&gt; &lt;/span&gt;&lt;/p&gt;&lt;p style="padding-left: 60px;"&gt;  &lt;strong style="font-size: small; text-align: center;"&gt;</w:t>
              <w:tab/>
              <w:t>&lt;span style="font-size: medium;"&gt;</w:t>
              <w:tab/>
              <w:tab/>
              <w:tab/>
              <w:t>&lt;br /&gt;</w:t>
              <w:tab/>
              <w:tab/>
              <w:t>&lt;/span&gt; &lt;/strong&gt;&lt;/p&gt;&lt;br /&gt;&lt;br</w:t>
            </w:r>
          </w:p>
          <w:p>
            <w:pPr>
              <w:pStyle w:val="TableParagraph"/>
              <w:tabs>
                <w:tab w:pos="1216" w:val="left" w:leader="none"/>
              </w:tabs>
              <w:spacing w:line="208" w:lineRule="auto" w:before="0"/>
              <w:ind w:right="459"/>
              <w:rPr>
                <w:sz w:val="20"/>
              </w:rPr>
            </w:pPr>
            <w:r>
              <w:rPr>
                <w:sz w:val="20"/>
              </w:rPr>
              <w:t>/&gt;&lt;p&gt;&amp;#160;&lt;/p&gt;&lt;p&gt;&amp;#160;&lt;/p&gt;&lt;p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0280459-91.2022.8.06.0001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259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Seguro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WERBERT GIRAO VIANA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894"/>
              <w:rPr>
                <w:sz w:val="20"/>
              </w:rPr>
            </w:pPr>
            <w:r>
              <w:rPr>
                <w:sz w:val="20"/>
              </w:rPr>
              <w:t>ARIMAR PEREIRA CLEMENTE - (CE44003-A) NAYARA CAVALCANTE LIMA - (CE37515-A)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MONGERAL AEGON SEGUROS E PREVIDENCIA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MILENA PINHEIRO LIMA - (CE19224-A)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0116518-04.2018.8.06.0001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Cartão de Crédito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1327"/>
              <w:rPr>
                <w:sz w:val="20"/>
              </w:rPr>
            </w:pPr>
            <w:r>
              <w:rPr>
                <w:sz w:val="20"/>
              </w:rPr>
              <w:t>ITAPEVA XI MULTICARTEIRA FUNDO DE INVESTIMENTO EM DIREITOS CREDITORIOS NAO PADRONIZADOS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GIZA HELENA COELHO - (SP166349-A)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THIAGO DE QUEIROZ GUIMARAES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CICERO CEZAR QUEZADO FERNANDES - (CE9947-A)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3012824-24.2025.8.06.0000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GREAT WALL MOTOR BRASIL LTDA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DOMICIANO NORONHA DE SA - (RJ123116-A)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JUVENAL LINHARES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INACIO LINHARES - (CE16526-A)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0378044-18.2000.8.06.0001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Arrendamento Mercantil</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290"/>
              <w:rPr>
                <w:sz w:val="20"/>
              </w:rPr>
            </w:pPr>
            <w:r>
              <w:rPr>
                <w:sz w:val="20"/>
              </w:rPr>
              <w:t>A ORLANDO  MARTINS MARIA DE FREITAS</w:t>
            </w:r>
            <w:r>
              <w:rPr>
                <w:spacing w:val="3"/>
                <w:sz w:val="20"/>
              </w:rPr>
              <w:t> </w:t>
            </w:r>
            <w:r>
              <w:rPr>
                <w:spacing w:val="-3"/>
                <w:sz w:val="20"/>
              </w:rPr>
              <w:t>MARTINS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LUIZ OTAVIO BRIGIDO MEMORIA - (CE12887-A)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DIBENS LEASING S/A - ARRENDAMENTO MERCANTIL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ANDRE LUIS FEDELI - (SP193114-A)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0106620-98.2017.8.06.0001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8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VIP Imobiliaria Ltda</w:t>
            </w:r>
          </w:p>
          <w:p>
            <w:pPr>
              <w:pStyle w:val="TableParagraph"/>
              <w:spacing w:line="208" w:lineRule="auto" w:before="9"/>
              <w:ind w:right="2104"/>
              <w:rPr>
                <w:sz w:val="20"/>
              </w:rPr>
            </w:pPr>
            <w:r>
              <w:rPr>
                <w:sz w:val="20"/>
              </w:rPr>
              <w:t>LAGOS RESIDENCE EMPREENDIMENTOS IMOBILIARIOS LTDA SOBI EMPREENDIMENTOS IMOBILIARIOS LTDA</w:t>
            </w:r>
          </w:p>
          <w:p>
            <w:pPr>
              <w:pStyle w:val="TableParagraph"/>
              <w:spacing w:line="205" w:lineRule="exact" w:before="0"/>
              <w:rPr>
                <w:sz w:val="20"/>
              </w:rPr>
            </w:pPr>
            <w:r>
              <w:rPr>
                <w:sz w:val="20"/>
              </w:rPr>
              <w:t>OI NEGOCIOS IMOBILIARIOS LTDA - ME</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38"/>
              <w:rPr>
                <w:sz w:val="20"/>
              </w:rPr>
            </w:pPr>
            <w:r>
              <w:rPr>
                <w:sz w:val="20"/>
              </w:rPr>
              <w:t>PASCHOAL DE CASTRO ALVES - (CE18692-A) GABRIELLE MOURA CONDE - (CE35208) AMAILZA SOARES PAIVA - (CE2394-A)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JANDERSON MARREIRA MURATORI</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0214041-11.2021.8.06.0001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Contribuições para o SEBRAE, SESC, SENAC, SENAI e outros</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0214041-11.2021.8.06.0001</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SERVICO NACIONAL DE APRENDIZAGEM INDUSTRIAL SENAI</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971"/>
              <w:rPr>
                <w:sz w:val="20"/>
              </w:rPr>
            </w:pPr>
            <w:r>
              <w:rPr>
                <w:sz w:val="20"/>
              </w:rPr>
              <w:t>THAIS BONAVIDES BORGES BITAR - (CE23843-A) FELIPE GUSTAVO DE AVILA CARREIRO - (DF27333-A)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COMPANHIA INDUSTRIAL DE CIMENTO APODI</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449"/>
              <w:rPr>
                <w:sz w:val="20"/>
              </w:rPr>
            </w:pPr>
            <w:r>
              <w:rPr>
                <w:sz w:val="20"/>
              </w:rPr>
              <w:t>GIULIANO PIMENTEL FERNANDES - (CE14241-A) JULIANA DE ABREU TEIXEIRA - (CE13463-A)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MELISSA FERNANDES MARINHO DE SOUZA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0181481-26.2015.8.06.0001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Imissão na Posse</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DEFENSORIA PUBLICA DO ESTADO DO CEARA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CLAUDIO SERGIO ROGERIO TEIXEIRA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27"/>
              <w:rPr>
                <w:sz w:val="20"/>
              </w:rPr>
            </w:pPr>
            <w:r>
              <w:rPr>
                <w:sz w:val="20"/>
              </w:rPr>
              <w:t>TIAGO ANDRADE SANTIAGO - (CE29477-A) MARCOS LEVY GONDIM SALES - (CE29326-A)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0054268-58.2016.8.06.0112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393"/>
              <w:rPr>
                <w:sz w:val="20"/>
              </w:rPr>
            </w:pPr>
            <w:r>
              <w:rPr>
                <w:sz w:val="20"/>
              </w:rPr>
              <w:t>TERESA CELINA DE ARRUDA ALVIM - (PR22129-A) EVARISTO ARAGAO FERREIRA DOS SANTOS - (PR24498-A)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FRANCISCA SEFORA ARRAIS GOMES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IZAAC EVERTON DE OLIVEIRA LOPES - (CE31722-A)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0112200-75.2018.8.06.0001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LIBERTY SEGUROS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RICARDO TAHAN - (SP188590-A)</w:t>
            </w:r>
          </w:p>
          <w:p>
            <w:pPr>
              <w:pStyle w:val="TableParagraph"/>
              <w:spacing w:line="215" w:lineRule="exact" w:before="0"/>
              <w:rPr>
                <w:sz w:val="20"/>
              </w:rPr>
            </w:pPr>
            <w:r>
              <w:rPr>
                <w:sz w:val="20"/>
              </w:rPr>
              <w:t>BIANCA SCONZA PORTO DE SOUZA - (SP187471-A)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FRANCISCO FABIANO JORGE VIEIRA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HELLEN JOYCE XAVIER DE MENEZES - (CE33368-A)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3003934-96.2025.8.06.0000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a Recurso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ANGELA PATRICIA CUNHA LIMA</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1649"/>
              <w:rPr>
                <w:sz w:val="20"/>
              </w:rPr>
            </w:pPr>
            <w:r>
              <w:rPr>
                <w:sz w:val="20"/>
              </w:rPr>
              <w:t>CLOVIS RICARDO CALDAS DA SILVEIRA MAPURUNGA - (CE4203-A) MARIA CLARA SOARES MAPURUNGA - (CE23554-A)</w:t>
            </w:r>
          </w:p>
          <w:p>
            <w:pPr>
              <w:pStyle w:val="TableParagraph"/>
              <w:spacing w:line="208" w:lineRule="auto" w:before="0"/>
              <w:ind w:right="4083"/>
              <w:rPr>
                <w:sz w:val="20"/>
              </w:rPr>
            </w:pPr>
            <w:r>
              <w:rPr>
                <w:sz w:val="20"/>
              </w:rPr>
              <w:t>YARA DE SOUSA DA SILVA - (CE22518-A) FRANCISCO EVANDRO PAZ - (CE18370-A)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MAURICIO FEIJO BENEVIDES DE MAGALHAES FILHO</w:t>
            </w:r>
          </w:p>
          <w:p>
            <w:pPr>
              <w:pStyle w:val="TableParagraph"/>
              <w:spacing w:line="200" w:lineRule="exact" w:before="0"/>
              <w:rPr>
                <w:sz w:val="20"/>
              </w:rPr>
            </w:pPr>
            <w:r>
              <w:rPr>
                <w:sz w:val="20"/>
              </w:rPr>
              <w:t>MAURICIO BENEVIDES SOCIEDADE INDIVIDUAL DE ADVOCACIA</w:t>
            </w:r>
          </w:p>
          <w:p>
            <w:pPr>
              <w:pStyle w:val="TableParagraph"/>
              <w:spacing w:line="215" w:lineRule="exact" w:before="0"/>
              <w:rPr>
                <w:sz w:val="20"/>
              </w:rPr>
            </w:pPr>
            <w:r>
              <w:rPr>
                <w:sz w:val="20"/>
              </w:rPr>
              <w:t>ROCKET II PRECATORIOS FUNDO DE INVESTIMENTO EM DIREITOS CREDITORIOS</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271"/>
              <w:rPr>
                <w:sz w:val="20"/>
              </w:rPr>
            </w:pPr>
            <w:r>
              <w:rPr>
                <w:sz w:val="20"/>
              </w:rPr>
              <w:t>ELIEZER FORTE MAGALHAES NETO - (CE36437-A) LINCOLN MATTOS MAGALHAES - (CE15053-A)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0201279-17.2022.8.06.0101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269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2827"/>
              <w:rPr>
                <w:sz w:val="20"/>
              </w:rPr>
            </w:pPr>
            <w:r>
              <w:rPr>
                <w:sz w:val="20"/>
              </w:rPr>
              <w:t>ANTONIO WALLISON GONCALVES DE SOUSA COMPANHIA DE AGUA E ESGOTO DO CEARA CAGECE</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978"/>
              <w:jc w:val="both"/>
              <w:rPr>
                <w:sz w:val="20"/>
              </w:rPr>
            </w:pPr>
            <w:r>
              <w:rPr>
                <w:sz w:val="20"/>
              </w:rPr>
              <w:t>MATHEUS BRAGA BARBOSA - (CE31840-A) MACKSON BRAGA BARBOSA - (CE31841-A) MATHEUS BRAGA BARBOSA - (CE31840-A) MACKSON BRAGA BARBOSA - (CE31841-A)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2827"/>
              <w:rPr>
                <w:sz w:val="20"/>
              </w:rPr>
            </w:pPr>
            <w:r>
              <w:rPr>
                <w:sz w:val="20"/>
              </w:rPr>
              <w:t>ANTONIO WALLISON GONCALVES DE SOUSA COMPANHIA DE AGUA E ESGOTO DO CEARA CAGECE</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978"/>
              <w:jc w:val="both"/>
              <w:rPr>
                <w:sz w:val="20"/>
              </w:rPr>
            </w:pPr>
            <w:r>
              <w:rPr>
                <w:sz w:val="20"/>
              </w:rPr>
              <w:t>MATHEUS BRAGA BARBOSA - (CE31840-A) MACKSON BRAGA BARBOSA - (CE31841-A) MATHEUS BRAGA BARBOSA - (CE31840-A) MACKSON BRAGA BARBOSA - (CE31841-A)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0013033-12.2023.8.06.0001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HAPVIDA ASSISTENCIA MEDICA LTDA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IGOR MACEDO FACO - (CE16470-A)</w:t>
            </w:r>
          </w:p>
          <w:p>
            <w:pPr>
              <w:pStyle w:val="TableParagraph"/>
              <w:spacing w:line="215" w:lineRule="exact" w:before="0"/>
              <w:rPr>
                <w:sz w:val="20"/>
              </w:rPr>
            </w:pPr>
            <w:r>
              <w:rPr>
                <w:sz w:val="20"/>
              </w:rPr>
              <w:t>ISAAC COSTA LAZARO FILHO - (CE18663-A)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T. N. 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MYKAELLE CHRISTINA DE OLIVEIRA NASCIMENTO ROCHA - (DF63519-A)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3661"/>
              <w:rPr>
                <w:sz w:val="20"/>
              </w:rPr>
            </w:pPr>
            <w:r>
              <w:rPr>
                <w:sz w:val="20"/>
              </w:rPr>
              <w:t>JOAO LUCAS DE SOUZA OLIVEIRA 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0207557-77.2021.8.06.0001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8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DAMACENA EMPREENDIMENTOS S/A</w:t>
            </w:r>
          </w:p>
          <w:p>
            <w:pPr>
              <w:pStyle w:val="TableParagraph"/>
              <w:spacing w:line="208" w:lineRule="auto" w:before="9"/>
              <w:ind w:right="2827"/>
              <w:rPr>
                <w:sz w:val="20"/>
              </w:rPr>
            </w:pPr>
            <w:r>
              <w:rPr>
                <w:sz w:val="20"/>
              </w:rPr>
              <w:t>DIAGONAL EMPREENDIMENTOS E ENGENHARIA LTDA ROSSI RESIDENCIAL SA</w:t>
            </w:r>
          </w:p>
          <w:p>
            <w:pPr>
              <w:pStyle w:val="TableParagraph"/>
              <w:spacing w:line="205" w:lineRule="exact" w:before="0"/>
              <w:rPr>
                <w:sz w:val="20"/>
              </w:rPr>
            </w:pPr>
            <w:r>
              <w:rPr>
                <w:sz w:val="20"/>
              </w:rPr>
              <w:t>MOSCATU EMPREENDIMENTOS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NADJA GLAURIA JERONIMO RIBAMAR GOMES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VIVIANE MARIA DA CONCEICAO DE SOUZA - (CE42817)</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3012103-72.2025.8.06.0000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Produto Impróprio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MARCELO FELIPE DOS SANTOS PIRES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MARCELO PINHEIRO NOCRATO - (CE38864-A)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JF COMERCIO DE VEICULOS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0276496-41.2023.8.06.0001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Telefonia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DJAYLSON VENTURA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DAVID MACHADO - (CE7561-A)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BARBOSA E BRANDE CORRETORA DE SEGUROS S/S LTDA - ME</w:t>
            </w:r>
          </w:p>
          <w:p>
            <w:pPr>
              <w:pStyle w:val="TableParagraph"/>
              <w:spacing w:line="208" w:lineRule="auto" w:before="9"/>
              <w:ind w:right="5838"/>
              <w:rPr>
                <w:sz w:val="20"/>
              </w:rPr>
            </w:pPr>
            <w:r>
              <w:rPr>
                <w:sz w:val="20"/>
              </w:rPr>
              <w:t>Ana Cristina de Aquino Mauricio Barbosa Brande</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0010342-85.2016.8.06.0028</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TOTVS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0010342-85.2016.8.06.0028</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CATARINA BEZERRA ALVES - (PE29373-A)</w:t>
            </w:r>
          </w:p>
          <w:p>
            <w:pPr>
              <w:pStyle w:val="TableParagraph"/>
              <w:spacing w:line="215" w:lineRule="exact" w:before="0"/>
              <w:rPr>
                <w:sz w:val="20"/>
              </w:rPr>
            </w:pPr>
            <w:r>
              <w:rPr>
                <w:sz w:val="20"/>
              </w:rPr>
              <w:t>MARIA DO PERPETUO SOCORRO MAIA GOMES - (PE21449-A)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NUTRIMAR INDUSTRIA DE PESCADOS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004"/>
              <w:rPr>
                <w:sz w:val="20"/>
              </w:rPr>
            </w:pPr>
            <w:r>
              <w:rPr>
                <w:sz w:val="20"/>
              </w:rPr>
              <w:t>HANNAH SOARES SALES DE OLIVEIRA - (CE40977-A) FRANCISCO MARDONIO DE OLIVEIRA - (CE6099-A)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0152778-32.2008.8.06.0001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Substituição da Parte</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15" w:lineRule="exact"/>
              <w:rPr>
                <w:sz w:val="20"/>
              </w:rPr>
            </w:pPr>
            <w:r>
              <w:rPr>
                <w:sz w:val="20"/>
              </w:rPr>
              <w:t>IDX SERVICOS DIGITAIS LTDA</w:t>
            </w:r>
          </w:p>
          <w:p>
            <w:pPr>
              <w:pStyle w:val="TableParagraph"/>
              <w:spacing w:line="208" w:lineRule="auto" w:before="9"/>
              <w:ind w:right="3916"/>
              <w:rPr>
                <w:sz w:val="20"/>
              </w:rPr>
            </w:pPr>
            <w:r>
              <w:rPr>
                <w:sz w:val="20"/>
              </w:rPr>
              <w:t>MARINA DE ALBUQUERQUE </w:t>
            </w:r>
            <w:r>
              <w:rPr>
                <w:spacing w:val="-3"/>
                <w:sz w:val="20"/>
              </w:rPr>
              <w:t>MARQUES </w:t>
            </w:r>
            <w:r>
              <w:rPr>
                <w:sz w:val="20"/>
              </w:rPr>
              <w:t>ADRIANO CAMARA MARQUES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Noritsu do Brasil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DURVALINO RENE RAMOS - (SP51285)</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0200951-39.2024.8.06.0062</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Regulamentação de Visitas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MANUEL ANTONIO DA SILVA MARQUES</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438"/>
              <w:rPr>
                <w:sz w:val="20"/>
              </w:rPr>
            </w:pPr>
            <w:r>
              <w:rPr>
                <w:sz w:val="20"/>
              </w:rPr>
              <w:t>PAULO CESAR MOREIRA FRANCO - (CE10058-A) BEATRIZ CIRIACO SABOIA BATISTA - (CE38010) PATRICK ESTEVES BATISTA - (CE20719-A)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JESSIKA MARTINS PEREIRA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TAYTALA VIRGINIA DE OLIVEIRA - (CE36521-A)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0258477-84.2023.8.06.0001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SENUBIO BATISTA DE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FERNANDO DE LIMA ALMEIDA - (CE20786-A)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IBIAPABA DISTRIBUIDORA DE ALIMENTOS LTDA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ADENAUER MOREIRA - (CE16029-A)</w:t>
            </w:r>
          </w:p>
          <w:p>
            <w:pPr>
              <w:pStyle w:val="TableParagraph"/>
              <w:spacing w:line="215" w:lineRule="exact" w:before="0"/>
              <w:rPr>
                <w:sz w:val="20"/>
              </w:rPr>
            </w:pPr>
            <w:r>
              <w:rPr>
                <w:sz w:val="20"/>
              </w:rPr>
              <w:t>JOYCE LIMA MARCONI GURGEL - (CE10591-A)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0202596-64.2022.8.06.0064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Multa Cominatória / Astreintes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IOLANDA MUNIZ DA MOTA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RINALDO PEREIRA PEQUENO - (CE31643-A)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MARLUCIA MIRANDA MARQUES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3010650-42.2025.8.06.0000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279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Obrigação de Fazer / Não Fazer</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ELENILDO FERREIRA MELO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VITOR ARAUJO DA SILVA - (CE46550-A)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INSTITUTO DE SAUDE E GESTAO HOSPITALAR</w:t>
            </w:r>
          </w:p>
          <w:p>
            <w:pPr>
              <w:pStyle w:val="TableParagraph"/>
              <w:spacing w:line="215" w:lineRule="exact" w:before="0"/>
              <w:rPr>
                <w:sz w:val="20"/>
              </w:rPr>
            </w:pPr>
            <w:r>
              <w:rPr>
                <w:sz w:val="20"/>
              </w:rPr>
              <w:t>INSTITUTO CONSULPAM CONSULTORIA PUBLICO-PRIVADA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ANDREI BARBOSA DE AGUIAR - (CE19250-A)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0155511-53.2017.8.06.0001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ALLIANZ SEGUROS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LEMMON VEIGA GUZZO - (SP187799-A)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COMPANHIA ENERGETICA DO CEARA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0009237-38.2008.8.06.0001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Perdas e Danos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BV FINANCEIRA S.A CRÉDITO FINANCIAMENTO E INVESTIMENTO</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WILSON SALES BELCHIOR - (CE17314-A)</w:t>
            </w:r>
          </w:p>
          <w:p>
            <w:pPr>
              <w:pStyle w:val="TableParagraph"/>
              <w:spacing w:line="208" w:lineRule="auto" w:before="9"/>
              <w:ind w:right="2704"/>
              <w:rPr>
                <w:sz w:val="20"/>
              </w:rPr>
            </w:pPr>
            <w:r>
              <w:rPr>
                <w:sz w:val="20"/>
              </w:rPr>
              <w:t>JOSE EDGARD DA CUNHA BUENO FILHO - (SP126504-A) JOAO FRANCISCO ALVES ROSA - (CE37066-A)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0009237-38.2008.8.06.0001</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ANA CLAUDIA DE SOUZA BARBOSA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CARLA MARIA MARQUES LEAL - (CE9492-A)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0000236-59.2018.8.06.0104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Efeito Suspensivo / Impugnação / Embargos à Execução</w:t>
            </w:r>
          </w:p>
        </w:tc>
      </w:tr>
      <w:tr>
        <w:trPr>
          <w:trHeight w:val="8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805"/>
              <w:rPr>
                <w:sz w:val="20"/>
              </w:rPr>
            </w:pPr>
            <w:r>
              <w:rPr>
                <w:sz w:val="20"/>
              </w:rPr>
              <w:t>FRANCISCO ELISEU DE SIQUEIRA BEZERRA SABRINA DE OLIVEIRA SIQUEIRA TELLES ANA RITA DE OLIVEIRA</w:t>
            </w:r>
          </w:p>
          <w:p>
            <w:pPr>
              <w:pStyle w:val="TableParagraph"/>
              <w:spacing w:line="205" w:lineRule="exact" w:before="0"/>
              <w:rPr>
                <w:sz w:val="20"/>
              </w:rPr>
            </w:pPr>
            <w:r>
              <w:rPr>
                <w:sz w:val="20"/>
              </w:rPr>
              <w:t>SABRINA DE OLIVEIRA SIQUEIRA TELLES</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89"/>
              <w:rPr>
                <w:sz w:val="20"/>
              </w:rPr>
            </w:pPr>
            <w:r>
              <w:rPr>
                <w:sz w:val="20"/>
              </w:rPr>
              <w:t>RUI BARROS LEAL FARIAS - (CE16411-A) MIGUEL ROCHA NASSER HISSA - (CE15469-A) RODRIGO MACEDO DE CARVALHO -</w:t>
            </w:r>
            <w:r>
              <w:rPr>
                <w:spacing w:val="-16"/>
                <w:sz w:val="20"/>
              </w:rPr>
              <w:t> </w:t>
            </w:r>
            <w:r>
              <w:rPr>
                <w:sz w:val="20"/>
              </w:rPr>
              <w:t>(CE15470-A)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NORDESTE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JOSE INACIO ROSA BARREIRA - (CE8151-A)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0077208-06.2009.8.06.0001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Protesto Indevido de Título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FAE SISTEMAS DE MEDICAO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AMANDA ARRAES DE ALENCAR PONTES - (CE32111-A)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2171"/>
              <w:rPr>
                <w:sz w:val="20"/>
              </w:rPr>
            </w:pPr>
            <w:r>
              <w:rPr>
                <w:sz w:val="20"/>
              </w:rPr>
              <w:t>EGNE - EDITORA DE GUIAS NACIONAIS EMPRESARIAIS LTDA EDITORA BRASILEIRA DE PUBLICIDADE EMPRESARIAL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IGOR MALVEIRA PEIXOTO - (CE21105-A)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0034015-72.2008.8.06.0001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Ausência de Pressupostos de Constituição e Desenvolvimento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TAMYRES DOS SANTOS RODRIGUES CARNEIRO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682"/>
              <w:rPr>
                <w:sz w:val="20"/>
              </w:rPr>
            </w:pPr>
            <w:r>
              <w:rPr>
                <w:sz w:val="20"/>
              </w:rPr>
              <w:t>CARLOS AUGUSTO QUEZADO SANTOS - (CE36159-A) PAULO NAPOLEAO GONCALVES QUEZADO - (CE3183-A)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MAXWELL FEITOSA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HERMANO FRANCISCO DE QUEIROZ LIMEIRA - (CE9020-A)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0624799-79.2024.8.06.0000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LUIS OTAVIO BONILHA DE OLIVEIRA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60"/>
              <w:rPr>
                <w:sz w:val="20"/>
              </w:rPr>
            </w:pPr>
            <w:r>
              <w:rPr>
                <w:sz w:val="20"/>
              </w:rPr>
              <w:t>ANDRE EUGENIO DE OLIVEIRA - (CE25992-A) ADAILTON FREIRE CAMPELO - (CE11515)</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MAURO PAUL COSER</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LUIZ FERNANDO FIUZA VIEIRA - (CE23881-A)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3002878-28.2025.8.06.0000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JULIANA MOITA MUNIZ</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MAURICIO DOS SANTOS JUNIOR - (MG199341)</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BRENDA MELO DE AGUIAR</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HAYANE DE SOUSA SANTANA - (CE49529-A)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0267039-87.2020.8.06.0001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Corretagem</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3449"/>
              <w:rPr>
                <w:sz w:val="20"/>
              </w:rPr>
            </w:pPr>
            <w:r>
              <w:rPr>
                <w:sz w:val="20"/>
              </w:rPr>
              <w:t>ANA MARCIA DE ALMEIDA RODRIGUES DANTAS ALESSANDRO MONTENEGRO DANTAS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GILVAN MELO SOUSA - (CE16383-A)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ALESSANDRO BELCHIOR ADMINISTRACAO DE IMOVEIS LTDA - EPP</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627"/>
              <w:rPr>
                <w:sz w:val="20"/>
              </w:rPr>
            </w:pPr>
            <w:r>
              <w:rPr>
                <w:sz w:val="20"/>
              </w:rPr>
              <w:t>MARCOS ROBERTO ALVES - (CE24001-A) GERMANO BOTELHO BELCHIOR - (CE12449-A)</w:t>
            </w:r>
          </w:p>
          <w:p>
            <w:pPr>
              <w:pStyle w:val="TableParagraph"/>
              <w:spacing w:line="208" w:lineRule="auto" w:before="0"/>
              <w:ind w:right="2760"/>
              <w:rPr>
                <w:sz w:val="20"/>
              </w:rPr>
            </w:pPr>
            <w:r>
              <w:rPr>
                <w:sz w:val="20"/>
              </w:rPr>
              <w:t>JOSE RICARDO DE ARAUJO ANTUNES - (CE30872-A) DANIELA NOGUEIRA DA SILVA PIMENTEL - (CE10856-A)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0001321-71.2000.8.06.0117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Transação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0001321-71.2000.8.06.0117</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MARCO ROBERTO COSTA PIRES DE MACEDO - (CE27186-A)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116"/>
              <w:rPr>
                <w:sz w:val="20"/>
              </w:rPr>
            </w:pPr>
            <w:r>
              <w:rPr>
                <w:sz w:val="20"/>
              </w:rPr>
              <w:t>FRANCISCO HERMINIO DE SOUZA PINTO FRANCISCO PINTO JUNIOR</w:t>
            </w:r>
          </w:p>
          <w:p>
            <w:pPr>
              <w:pStyle w:val="TableParagraph"/>
              <w:spacing w:line="205" w:lineRule="exact" w:before="0"/>
              <w:rPr>
                <w:sz w:val="20"/>
              </w:rPr>
            </w:pPr>
            <w:r>
              <w:rPr>
                <w:sz w:val="20"/>
              </w:rPr>
              <w:t>CIC S 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3000869-74.2025.8.06.0071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289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Direito de Imagem</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SAMPAIO DE MENEZES JUNIOR - (CE9075-A)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EDMILSON BERNARDO DE SOUSA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HENRIQUE ELOI DE MELO - (CE50332-A)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Cessão de Crédito</w:t>
            </w:r>
          </w:p>
        </w:tc>
      </w:tr>
      <w:tr>
        <w:trPr>
          <w:trHeight w:val="6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116"/>
              <w:rPr>
                <w:sz w:val="20"/>
              </w:rPr>
            </w:pPr>
            <w:r>
              <w:rPr>
                <w:sz w:val="20"/>
              </w:rPr>
              <w:t>FIRMA SECURITIZADORA </w:t>
            </w:r>
            <w:r>
              <w:rPr>
                <w:spacing w:val="-6"/>
                <w:sz w:val="20"/>
              </w:rPr>
              <w:t>S/A </w:t>
            </w:r>
            <w:r>
              <w:rPr>
                <w:sz w:val="20"/>
              </w:rPr>
              <w:t>FB SECURITIZADORA S/A</w:t>
            </w:r>
          </w:p>
          <w:p>
            <w:pPr>
              <w:pStyle w:val="TableParagraph"/>
              <w:spacing w:line="205" w:lineRule="exact" w:before="0"/>
              <w:rPr>
                <w:sz w:val="20"/>
              </w:rPr>
            </w:pPr>
            <w:r>
              <w:rPr>
                <w:sz w:val="20"/>
              </w:rPr>
              <w:t>FM SECURITIZADORA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MARCIO RAFAEL GAZZINEO - (CE23495-A)</w:t>
            </w:r>
          </w:p>
        </w:tc>
      </w:tr>
      <w:tr>
        <w:trPr>
          <w:trHeight w:val="8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3683"/>
              <w:rPr>
                <w:sz w:val="20"/>
              </w:rPr>
            </w:pPr>
            <w:r>
              <w:rPr>
                <w:sz w:val="20"/>
              </w:rPr>
              <w:t>MOVEIS BELO INDUSTRIA E COMERCIO LTDA ADELAIDE ALVARES BELO BERNARDO GRACINDA BELO ALVAREZ</w:t>
            </w:r>
          </w:p>
          <w:p>
            <w:pPr>
              <w:pStyle w:val="TableParagraph"/>
              <w:spacing w:line="205" w:lineRule="exact" w:before="0"/>
              <w:rPr>
                <w:sz w:val="20"/>
              </w:rPr>
            </w:pPr>
            <w:r>
              <w:rPr>
                <w:sz w:val="20"/>
              </w:rPr>
              <w:t>ROSANA CRISTINA BELO DE FREITAS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&lt;strong&gt;PROCESSO&lt;/strong&gt;:&amp;#160;3030289-77.2024.8.06.0001 -&amp;#160;APELAÇÃO</w:t>
            </w:r>
          </w:p>
          <w:p>
            <w:pPr>
              <w:pStyle w:val="TableParagraph"/>
              <w:tabs>
                <w:tab w:pos="6557" w:val="left" w:leader="none"/>
              </w:tabs>
              <w:spacing w:line="208" w:lineRule="auto" w:before="8"/>
              <w:ind w:right="78"/>
              <w:rPr>
                <w:sz w:val="20"/>
              </w:rPr>
            </w:pPr>
            <w:r>
              <w:rPr>
                <w:sz w:val="20"/>
              </w:rPr>
              <w:t>CÍVEL (198)&lt;/span&gt;  &lt;/span&gt;&lt;/p&gt;&lt;p&gt;  &lt;span style="font-size: small;"&gt;</w:t>
              <w:tab/>
              <w:t>&lt;span style="font-family: &amp;quot;times new roman&amp;quot;, times;"&gt;APELANTE: FIRMA SECURITIZADORA S/A, FB SECURITIZADORA S/A, FM SECURITIZADORA</w:t>
            </w:r>
            <w:r>
              <w:rPr>
                <w:spacing w:val="-17"/>
                <w:sz w:val="20"/>
              </w:rPr>
              <w:t> </w:t>
            </w:r>
            <w:r>
              <w:rPr>
                <w:sz w:val="20"/>
              </w:rPr>
              <w:t>S/A&lt;/span&gt;</w:t>
            </w:r>
          </w:p>
          <w:p>
            <w:pPr>
              <w:pStyle w:val="TableParagraph"/>
              <w:spacing w:line="208" w:lineRule="auto" w:before="0"/>
              <w:ind w:right="189"/>
              <w:jc w:val="both"/>
              <w:rPr>
                <w:sz w:val="20"/>
              </w:rPr>
            </w:pPr>
            <w:r>
              <w:rPr>
                <w:sz w:val="20"/>
              </w:rPr>
              <w:t>&lt;/span&gt;&lt;/p&gt;&lt;p&gt; &lt;span style="font-size: small;"&gt; &lt;span style="font-family: &amp;quot;times new roman&amp;quot;, times;"&gt;APELADO: MOVEIS BELO INDUSTRIA E COMERCIO LTDA, ADELAIDE ALVARES BELO BERNARDO, GRACINDA BELO ALVAREZ, ROSANA</w:t>
            </w:r>
          </w:p>
          <w:p>
            <w:pPr>
              <w:pStyle w:val="TableParagraph"/>
              <w:tabs>
                <w:tab w:pos="1216" w:val="left" w:leader="none"/>
                <w:tab w:pos="7300" w:val="left" w:leader="none"/>
              </w:tabs>
              <w:spacing w:line="208" w:lineRule="auto" w:before="0"/>
              <w:ind w:right="329"/>
              <w:rPr>
                <w:sz w:val="20"/>
              </w:rPr>
            </w:pPr>
            <w:r>
              <w:rPr>
                <w:sz w:val="20"/>
              </w:rPr>
              <w:t>CRISTINA BELO DE FREITAS&lt;/span&gt; &lt;/span&gt;&lt;/p&gt;&lt;p&gt; &lt;span style="font-size: medium;"&gt;</w:t>
              <w:tab/>
              <w:t>&lt;span style="font-family: &amp;quot;times new roman&amp;quot;, times;"&gt;</w:t>
              <w:tab/>
              <w:t>&lt;br</w:t>
            </w:r>
            <w:r>
              <w:rPr>
                <w:spacing w:val="1"/>
                <w:sz w:val="20"/>
              </w:rPr>
              <w:t> </w:t>
            </w:r>
            <w:r>
              <w:rPr>
                <w:spacing w:val="-9"/>
                <w:sz w:val="20"/>
              </w:rPr>
              <w:t>/&gt;</w:t>
            </w:r>
          </w:p>
          <w:p>
            <w:pPr>
              <w:pStyle w:val="TableParagraph"/>
              <w:spacing w:line="208" w:lineRule="auto" w:before="0"/>
              <w:ind w:right="75"/>
              <w:rPr>
                <w:sz w:val="20"/>
              </w:rPr>
            </w:pPr>
            <w:r>
              <w:rPr>
                <w:sz w:val="20"/>
              </w:rPr>
              <w:t>&lt;/span&gt; &lt;/span&gt;&lt;/p&gt;&lt;div class="OutlineElement Ltr SCXW34652929 BCX0" style="- 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 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font-style: italic; line-height: 20.7px; font- family: &amp;quot;Times New Roman&amp;quot;, &amp;quot;Times New Roman_EmbeddedFont&amp;quot;, &amp;quot;Times New Roman_MSFontService&amp;quot;, serif; font-weight: bold; font-variant- ligatures: none !important;" lang="PT-BR" xml:lang="PT-BR"&gt;EMENTA:&lt;/span&gt; &lt;span class="TextRun SCXW34652929 BCX0" style="-webkit-user-drag: none; -webkit-tap- highlight-color: transparent; margin: 0px; padding: 0px; user-select: text; font-variant- numeric: normal; font-variant-east-asian: normal; font-variant-caps: small-caps; font- variant-alternates: normal; font-variant-position: normal; font-variant-emoji: normal; font- size: 12pt; line-height: 20.7px; font-family: &amp;quot;Times New Roman&amp;quot;, &amp;quot;Times New Roman_EmbeddedFont&amp;quot;, &amp;quot;Times New Roman_MSFontService&amp;quot;, serif;" lang="PT-BR" xml:lang="PT-BR"&gt; &lt;span class="NormalTextRun SCXW34652929</w:t>
            </w:r>
          </w:p>
          <w:p>
            <w:pPr>
              <w:pStyle w:val="TableParagraph"/>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text;"&gt;Direito Processual Civil. Apelação Cível. Extinção de execução de título extrajudicial. Operação de securitização não caracterizada. Operação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345"/>
              <w:rPr>
                <w:sz w:val="20"/>
              </w:rPr>
            </w:pPr>
            <w:r>
              <w:rPr>
                <w:sz w:val="20"/>
              </w:rPr>
              <w:t>repeat-x; background-image: url(&amp;quot;data; border-bottom: 1px solid transparent;"&gt;Factoring&lt;/span&gt; &lt;span class="NormalTextRun SCXW34652929 </w:t>
            </w:r>
            <w:r>
              <w:rPr>
                <w:spacing w:val="-4"/>
                <w:sz w:val="20"/>
              </w:rPr>
              <w:t>BCX0" </w:t>
            </w:r>
            <w:r>
              <w:rPr>
                <w:sz w:val="20"/>
              </w:rPr>
              <w:t>style="-webkit-user-drag: none; -webkit-tap-highlight-color: transparent; margin: 0px; padding: 0px; user-select: text;"&gt;. Inadimplemento dos títulos transferidos. Direito de regresso. Impossibilidade. Recurso conhecido e desprovido.&lt;/span&gt;&lt;/span&gt;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991" w:val="left" w:leader="none"/>
                <w:tab w:pos="7292" w:val="left" w:leader="none"/>
              </w:tabs>
              <w:spacing w:line="208" w:lineRule="auto" w:before="26"/>
              <w:ind w:right="42"/>
              <w:rPr>
                <w:sz w:val="20"/>
              </w:rPr>
            </w:pPr>
            <w:r>
              <w:rPr>
                <w:sz w:val="20"/>
              </w:rPr>
              <w:t>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class="TextRun SCXW34652929 BCX0" style="-webkit-user-drag: none; -webkit-tap-highlight-color: transparent; margin: 0px; padding: 0px; user-select: text; font-variant-numeric: normal; </w:t>
            </w:r>
            <w:r>
              <w:rPr>
                <w:spacing w:val="-4"/>
                <w:sz w:val="20"/>
              </w:rPr>
              <w:t>font- </w:t>
            </w:r>
            <w:r>
              <w:rPr>
                <w:sz w:val="20"/>
              </w:rPr>
              <w:t>variant-east-asian: normal; font-variant-caps: small-caps; font-variant-alternates: normal; font-variant-position: normal; font-variant-emoji: normal; font-size: 12pt; line-height: 20.7px; font-family: &amp;quot;Times New Roman&amp;quot;, &amp;quot;Times New Roman_EmbeddedFont&amp;quot;, &amp;quot;Times New Roman_MSFontService&amp;quot;, serif; font-weight: bold;" lang="PT-BR" xml:lang="PT-BR"&gt;I. Caso em Exame&lt;/span&gt;</w:t>
              <w:tab/>
              <w:t>&lt;span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xml:lang="PT-BR"&gt;1.&lt;/span&gt;</w:t>
            </w:r>
          </w:p>
          <w:p>
            <w:pPr>
              <w:pStyle w:val="TableParagraph"/>
              <w:tabs>
                <w:tab w:pos="1982" w:val="left" w:leader="none"/>
              </w:tabs>
              <w:spacing w:line="208" w:lineRule="auto" w:before="0"/>
              <w:ind w:right="68"/>
              <w:rPr>
                <w:sz w:val="20"/>
              </w:rPr>
            </w:pPr>
            <w:r>
              <w:rPr>
                <w:sz w:val="20"/>
              </w:rPr>
              <w:t>&lt;span class="TextRun SCXW34652929 BCX0" style="-webkit-user-drag: none; -webkit- 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w:t>
            </w:r>
            <w:r>
              <w:rPr>
                <w:spacing w:val="-2"/>
                <w:sz w:val="20"/>
              </w:rPr>
              <w:t>lang="PT-BR" </w:t>
            </w:r>
            <w:r>
              <w:rPr>
                <w:sz w:val="20"/>
              </w:rPr>
              <w:t>xml:lang="PT-BR"&gt; &lt;span class="NormalTextRun SCXW34652929 BCX0" style="-webkit- user-drag: none; -webkit-tap-highlight-color: transparent; margin: 0px; padding: 0px; user- select: text;"&gt;Apelação cível interposta contra sentença que extinguiu processo de execução de título extrajudicial, argumentando a ausência de certeza e liquidez dos títulos executados e caracterizando a operação como&lt;/span&gt;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As apelantes sustentaram que a operação era de securitização de créditos, e não de&lt;/span&gt;&lt;/span&gt; &lt;span class="TextRun SCXW34652929 BCX0" style="-webkit-user-drag: none; -webkit-tap- highlight-color: transparent; margin: 0px; padding: 0px; user-select: text; color: #1a202c; font-size: 12pt; font-style: italic; line-height: 20.7px; font-family: &amp;quot;Times New Roman&amp;quot;, &amp;quot;Times New Roman_EmbeddedFont&amp;quot;, &amp;quot;Times New Roman_MSFontService&amp;quot;, serif; font-variant-ligatures: none !important;" </w:t>
            </w:r>
            <w:r>
              <w:rPr>
                <w:spacing w:val="-2"/>
                <w:sz w:val="20"/>
              </w:rPr>
              <w:t>lang="PT-BR" </w:t>
            </w:r>
            <w:r>
              <w:rPr>
                <w:sz w:val="20"/>
              </w:rPr>
              <w:t>xml:lang="PT-BR"&gt;</w:t>
              <w:tab/>
              <w:t>&lt;span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transparent;"&gt;factoring&lt;/span&gt; &lt;/span&gt; &lt;span class="TextRun SCXW34652929 BCX0" style="-webkit-user-drag: none; -webkit-tap-highlight-color: transparent; margin: 0px; padding: 0px; user-select: text; color: #1a202c; font-size: 12pt; line-height: 20.7px; font- family: &amp;quot;Times New Roman&amp;quot;, &amp;quot;Times New Roman_EmbeddedFont&amp;quot;, &amp;quot;Times New Roman_MSFontService&amp;quot;, serif; font-variant-ligatures: none</w:t>
            </w:r>
          </w:p>
          <w:p>
            <w:pPr>
              <w:pStyle w:val="TableParagraph"/>
              <w:spacing w:line="203" w:lineRule="exact" w:before="0"/>
              <w:rPr>
                <w:sz w:val="20"/>
              </w:rPr>
            </w:pPr>
            <w:r>
              <w:rPr>
                <w:sz w:val="20"/>
              </w:rPr>
              <w:t>!important;" lang="PT-BR" xml:lang="PT-BR"&gt; &lt;span class="NormalTextRun</w:t>
            </w:r>
          </w:p>
        </w:tc>
      </w:tr>
    </w:tbl>
    <w:p>
      <w:pPr>
        <w:spacing w:after="0" w:line="203"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991" w:val="left" w:leader="none"/>
              </w:tabs>
              <w:spacing w:line="208" w:lineRule="auto" w:before="26"/>
              <w:ind w:right="42"/>
              <w:rPr>
                <w:sz w:val="20"/>
              </w:rPr>
            </w:pPr>
            <w:r>
              <w:rPr>
                <w:sz w:val="20"/>
              </w:rPr>
              <w:t>SCXW34652929 BCX0" style="-webkit-user-drag: none; -webkit-tap-highlight-color: transparent; margin: 0px; padding: 0px; user-select: text;"&gt;, argumentando a natureza executiva dos contratos de cessão de crédito&lt;/span&gt; &lt;span class="NormalTextRun SCXW34652929 BCX0" style="-webkit-user-drag: none; -webkit-tap-highlight-color: transparent; margin: 0px; padding: 0px; user-select: text;"&gt;firmados&lt;/span&gt;&lt;/span&gt; </w:t>
            </w:r>
            <w:r>
              <w:rPr>
                <w:spacing w:val="-3"/>
                <w:sz w:val="20"/>
              </w:rPr>
              <w:t>&lt;span </w:t>
            </w:r>
            <w:r>
              <w:rPr>
                <w:sz w:val="20"/>
              </w:rPr>
              <w:t>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xml:lang="PT-BR"&gt;.&lt;/span&gt; &lt;span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class="TextRun SCXW34652929 BCX0" style="-webkit-user-drag: none; -webkit-tap-highlight-color: transparent; margin: 0px; padding: 0px; user-select: text; font-variant-numeric: normal; </w:t>
            </w:r>
            <w:r>
              <w:rPr>
                <w:spacing w:val="-4"/>
                <w:sz w:val="20"/>
              </w:rPr>
              <w:t>font- </w:t>
            </w:r>
            <w:r>
              <w:rPr>
                <w:sz w:val="20"/>
              </w:rPr>
              <w:t>variant-east-asian: normal; font-variant-caps: small-caps; font-variant-alternates: normal; font-variant-position: normal; font-variant-emoji: normal; font-size: 12pt; line-height: 20.7px; font-family: &amp;quot;Times New Roman&amp;quot;, &amp;quot;Times New Roman_EmbeddedFont&amp;quot;, &amp;quot;Times New Roman_MSFontService&amp;quot;, serif; font-weight: bold;" lang="PT-BR" xml:lang="PT-BR"&gt;II. Questão em Discussão&lt;/span&gt;</w:t>
            </w:r>
          </w:p>
          <w:p>
            <w:pPr>
              <w:pStyle w:val="TableParagraph"/>
              <w:spacing w:line="208" w:lineRule="auto" w:before="0"/>
              <w:ind w:right="142"/>
              <w:rPr>
                <w:sz w:val="20"/>
              </w:rPr>
            </w:pPr>
            <w:r>
              <w:rPr>
                <w:sz w:val="20"/>
              </w:rPr>
              <w:t>&lt;span class="EOP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xml:lang="PT-BR"&gt;2.&lt;/span&gt;</w:t>
            </w:r>
          </w:p>
          <w:p>
            <w:pPr>
              <w:pStyle w:val="TableParagraph"/>
              <w:spacing w:line="208" w:lineRule="auto" w:before="0"/>
              <w:ind w:right="68"/>
              <w:rPr>
                <w:sz w:val="20"/>
              </w:rPr>
            </w:pPr>
            <w:r>
              <w:rPr>
                <w:sz w:val="20"/>
              </w:rPr>
              <w:t>&lt;span class="TextRun SCXW34652929 BCX0" style="-webkit-user-drag: none; -webkit- 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text;"&gt;A questão em discussão consiste em (i) verificar se houve violação aos princípios da não-surpresa, da congruência e do contraditório; (&lt;/span&gt;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transparent;"&gt;ii&lt;/span&gt; &lt;span class="NormalTextRun SCXW34652929 BCX0" style="-webkit-user-drag: none; -webkit- tap-highlight-color: transparent; margin: 0px; padding: 0px; user-select: text;"&gt;) determinar se a operação realizada é de securitização de créditos ou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e (&lt;/span&gt;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5"/>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transparent;"&gt;iii&lt;/span&gt;</w:t>
            </w:r>
          </w:p>
          <w:p>
            <w:pPr>
              <w:pStyle w:val="TableParagraph"/>
              <w:spacing w:line="208" w:lineRule="auto" w:before="0"/>
              <w:ind w:right="324"/>
              <w:rPr>
                <w:sz w:val="20"/>
              </w:rPr>
            </w:pPr>
            <w:r>
              <w:rPr>
                <w:sz w:val="20"/>
              </w:rPr>
              <w:t>&lt;span class="NormalTextRun SCXW34652929 BCX0" style="-webkit-user-drag: none; - webkit-tap-highlight-color: transparent; margin: 0px; padding: 0px; user-select: text;"&gt;) examinar a validade da cláusula de recompra presente nos contratos&lt;/span&gt;&lt;/span&gt;</w:t>
            </w:r>
          </w:p>
          <w:p>
            <w:pPr>
              <w:pStyle w:val="TableParagraph"/>
              <w:tabs>
                <w:tab w:pos="5991" w:val="left" w:leader="none"/>
                <w:tab w:pos="7559" w:val="left" w:leader="none"/>
              </w:tabs>
              <w:spacing w:line="208" w:lineRule="auto" w:before="0"/>
              <w:ind w:right="42"/>
              <w:rPr>
                <w:sz w:val="20"/>
              </w:rPr>
            </w:pPr>
            <w:r>
              <w:rPr>
                <w:sz w:val="20"/>
              </w:rPr>
              <w:t>&lt;span class="TextRun SCXW34652929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xml:lang="PT-BR"&gt;.&lt;/span&gt; &lt;span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class="TextRun SCXW34652929 BCX0" style="-webkit-user-drag: none; -webkit-tap-highlight-color: transparent; margin: 0px; padding: 0px; user-select: text; font-variant-numeric: normal; </w:t>
            </w:r>
            <w:r>
              <w:rPr>
                <w:spacing w:val="-4"/>
                <w:sz w:val="20"/>
              </w:rPr>
              <w:t>font- </w:t>
            </w:r>
            <w:r>
              <w:rPr>
                <w:sz w:val="20"/>
              </w:rPr>
              <w:t>variant-east-asian: normal; font-variant-caps: small-caps; font-variant-alternates: normal; font-variant-position: normal; font-variant-emoji: normal; font-size: 12pt; line-height: 20.7px; font-family: &amp;quot;Times New Roman&amp;quot;, &amp;quot;Times New Roman_EmbeddedFont&amp;quot;, &amp;quot;Times New Roman_MSFontService&amp;quot;, serif; font-weight: bold;" lang="PT-BR" xml:lang="PT-BR"&gt;III. Razões de Decidir&lt;/span&gt;</w:t>
              <w:tab/>
            </w:r>
            <w:r>
              <w:rPr>
                <w:spacing w:val="-4"/>
                <w:sz w:val="20"/>
              </w:rPr>
              <w:t>&lt;span </w:t>
            </w:r>
            <w:r>
              <w:rPr>
                <w:sz w:val="20"/>
              </w:rPr>
              <w:t>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xml:lang="PT-BR"&gt;3.&lt;/span&gt;</w:t>
            </w:r>
          </w:p>
          <w:p>
            <w:pPr>
              <w:pStyle w:val="TableParagraph"/>
              <w:spacing w:line="208" w:lineRule="auto" w:before="0"/>
              <w:ind w:right="68"/>
              <w:rPr>
                <w:sz w:val="20"/>
              </w:rPr>
            </w:pPr>
            <w:r>
              <w:rPr>
                <w:sz w:val="20"/>
              </w:rPr>
              <w:t>&lt;span class="TextRun SCXW34652929 BCX0" style="-webkit-user-drag: none; -webkit- 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xml:lang="PT-BR"&gt;Não se verificou afronta aos princípios da não-surpresa, da congruência e do contraditório, uma vez que a sentença analisou argumentos apresentados pelas próprias apelantes nos embargos de declaração&lt;/span&gt;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xml:lang="PT-BR"&gt;.&lt;/span&gt; &lt;span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42"/>
              <w:rPr>
                <w:sz w:val="20"/>
              </w:rPr>
            </w:pPr>
            <w:r>
              <w:rPr>
                <w:sz w:val="20"/>
              </w:rPr>
              <w:t>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w:t>
            </w:r>
            <w:r>
              <w:rPr>
                <w:spacing w:val="-3"/>
                <w:sz w:val="20"/>
              </w:rPr>
              <w:t>color: </w:t>
            </w:r>
            <w:r>
              <w:rPr>
                <w:sz w:val="20"/>
              </w:rPr>
              <w:t>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xml:lang="PT-BR"&gt;4.&lt;/span&gt;</w:t>
            </w:r>
          </w:p>
          <w:p>
            <w:pPr>
              <w:pStyle w:val="TableParagraph"/>
              <w:spacing w:line="208" w:lineRule="auto" w:before="0"/>
              <w:ind w:right="17"/>
              <w:rPr>
                <w:sz w:val="20"/>
              </w:rPr>
            </w:pPr>
            <w:r>
              <w:rPr>
                <w:sz w:val="20"/>
              </w:rPr>
              <w:t>&lt;span class="TextRun SCXW34652929 BCX0" style="-webkit-user-drag: none; -webkit- 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text;"&gt;A caracterização das empresas apelantes como FIDC - Fundo de Investimento em Direitos Creditórios - não se sustenta, pois&lt;/span&gt; &lt;span class="NormalTextRun ContextualSpellingAndGrammarErrorV2Themed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33"/>
              <w:rPr>
                <w:sz w:val="20"/>
              </w:rPr>
            </w:pPr>
            <w:r>
              <w:rPr>
                <w:sz w:val="20"/>
              </w:rPr>
              <w:t>repeat-x; background-image: url(&amp;quot;data; border-bottom: 1px solid transparent;"&gt;as recorrente&lt;/span&gt; &lt;span class="NormalTextRun SCXW34652929 BCX0" style="-webkit- user-drag: none; -webkit-tap-highlight-color: transparent; margin: 0px; padding: 0px; user- select: text;"&gt;não atuam no mercado de capitais, tampouco possuem estrutura regulada conforme as normas da CVM, atuando com capital próprio, fora do mercado de capitais e não possuem registro na CVM, o que é típico das sociedades empresárias de fomento mercantil&lt;/span&gt;&lt;/span&gt; &lt;span class="EOP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 color: #1a202c;"&gt;&amp;#160;&lt;/span&gt;&lt;/p&gt;&lt;/div&gt;&lt;div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lang="PT-BR" xml:lang="PT-BR"&gt; &lt;span class="TextRun SCXW34652929 BCX0" style="-webkit-user- drag: none; -webkit-tap-highlight-color: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xml:lang="PT-BR"&gt;5. A operação realizada pelas apelantes foi caracterizada como&lt;/span&gt;</w:t>
            </w:r>
          </w:p>
          <w:p>
            <w:pPr>
              <w:pStyle w:val="TableParagraph"/>
              <w:tabs>
                <w:tab w:pos="1982" w:val="left" w:leader="none"/>
              </w:tabs>
              <w:spacing w:line="208" w:lineRule="auto" w:before="0"/>
              <w:ind w:right="68"/>
              <w:rPr>
                <w:sz w:val="20"/>
              </w:rPr>
            </w:pPr>
            <w:r>
              <w:rPr>
                <w:sz w:val="20"/>
              </w:rPr>
              <w:t>&lt;span class="TextRun SCXW34652929 BCX0" style="-webkit-user-drag: none; -webkit- tap-highlight-color: transparent; margin: 0px; padding: 0px; user-select: text; color: #1a202c; font-size: 12pt; font-style: italic; line-height: 20.7px; font-family: &amp;quot;Times </w:t>
            </w:r>
            <w:r>
              <w:rPr>
                <w:spacing w:val="-4"/>
                <w:sz w:val="20"/>
              </w:rPr>
              <w:t>New </w:t>
            </w:r>
            <w:r>
              <w:rPr>
                <w:sz w:val="20"/>
              </w:rPr>
              <w:t>Roman&amp;quot;, &amp;quot;Times New Roman_EmbeddedFont&amp;quot;, &amp;quot;Times New Roman_MSFontService&amp;quot;, serif; font-variant-ligatures: none !important;" </w:t>
            </w:r>
            <w:r>
              <w:rPr>
                <w:spacing w:val="-2"/>
                <w:sz w:val="20"/>
              </w:rPr>
              <w:t>lang="PT-BR" </w:t>
            </w:r>
            <w:r>
              <w:rPr>
                <w:sz w:val="20"/>
              </w:rPr>
              <w:t>xml:lang="PT-BR"&gt;</w:t>
              <w:tab/>
              <w:t>&lt;span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transparent;"&gt;factoring&lt;/span&gt; &lt;/span&gt; &lt;span class="TextRun SCXW34652929 BCX0" style="-webkit-user-drag: none; -webkit-tap-highlight-color: transparent; margin: 0px; padding: 0px; user-select: text; color: #1a202c; font-size: 12pt; line-height: 20.7px; font- family: &amp;quot;Times New Roman&amp;quot;, &amp;quot;Times New Roman_EmbeddedFont&amp;quot;, &amp;quot;Times New Roman_MSFontService&amp;quot;, serif; font-variant-ligatures: none</w:t>
            </w:r>
          </w:p>
          <w:p>
            <w:pPr>
              <w:pStyle w:val="TableParagraph"/>
              <w:spacing w:line="208" w:lineRule="auto" w:before="0"/>
              <w:ind w:right="197"/>
              <w:rPr>
                <w:sz w:val="20"/>
              </w:rPr>
            </w:pPr>
            <w:r>
              <w:rPr>
                <w:sz w:val="20"/>
              </w:rPr>
              <w:t>!important;" lang="PT-BR" xml:lang="PT-BR"&gt; &lt;span class="NormalTextRun SCXW34652929 BCX0" style="-webkit-user-drag: none; -webkit-tap-highlight-color: transparent; margin: 0px; padding: 0px; user-select: text;"&gt;, e não securitização de créditos,&lt;/span&gt; &lt;span class="NormalTextRun ContextualSpellingAndGrammarErrorV2Themed SCXW34652929 BCX0" style="-webkit- user-drag: none; -webkit-tap-highlight-color: transparent; margin: 0px; padding: 0px; </w:t>
            </w:r>
            <w:r>
              <w:rPr>
                <w:spacing w:val="-4"/>
                <w:sz w:val="20"/>
              </w:rPr>
              <w:t>user- </w:t>
            </w:r>
            <w:r>
              <w:rPr>
                <w:sz w:val="20"/>
              </w:rPr>
              <w:t>select: text; background-position: 0px 100%; background-repeat: repeat-x; background- image: url(&amp;quot;data; border-bottom: 1px solid transparent;"&gt;esta&lt;/span&gt;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9"/>
              <w:rPr>
                <w:sz w:val="20"/>
              </w:rPr>
            </w:pPr>
            <w:r>
              <w:rPr>
                <w:sz w:val="20"/>
              </w:rPr>
              <w:t>class="NormalTextRun SCXW34652929 BCX0" style="-webkit-user-drag: none; -webkit- tap-highlight-color: transparent; margin: 0px; padding: 0px; user-select: text;"&gt;consistente na aquisição de recebíveis com deságio, sem qualquer evidência de securitização de ativos ou emissão de valores mobiliários a investidores. Nesse tipo de contrato&lt;/span&gt;</w:t>
            </w:r>
          </w:p>
          <w:p>
            <w:pPr>
              <w:pStyle w:val="TableParagraph"/>
              <w:spacing w:line="208" w:lineRule="auto" w:before="0"/>
              <w:ind w:right="17"/>
              <w:rPr>
                <w:sz w:val="20"/>
              </w:rPr>
            </w:pPr>
            <w:r>
              <w:rPr>
                <w:sz w:val="20"/>
              </w:rPr>
              <w:t>&lt;span class="NormalTextRun SCXW34652929 BCX0" style="-webkit-user-drag: none; - webkit-tap-highlight-color: transparent; margin: 0px; padding: 0px; user-select: text;"&gt;(fomento mercantil)&lt;/span&gt; &lt;span class="NormalTextRun SCXW34652929 BCX0" style="-webkit-user-drag: none; -webkit-tap-highlight-color: transparent; margin: 0px; padding: 0px; user-select: text;"&gt;, a cláusula de recompra é nula, pois retira da empresa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1982" w:val="left" w:leader="none"/>
                <w:tab w:pos="3384" w:val="left" w:leader="none"/>
                <w:tab w:pos="5896" w:val="left" w:leader="none"/>
                <w:tab w:pos="5991" w:val="left" w:leader="none"/>
              </w:tabs>
              <w:spacing w:line="208" w:lineRule="auto" w:before="0"/>
              <w:ind w:right="40"/>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text;"&gt;o risco inerente ao contrato, conforme jurisprudência consolidada do STJ.&lt;/span&gt;&lt;/span&gt; &lt;span class="EOP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 color: #1a202c;"&gt;&amp;#160;&lt;/span&gt;&lt;/p&gt;&lt;/div&gt;&lt;div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lang="PT-BR" xml:lang="PT-BR"&gt;</w:t>
              <w:tab/>
              <w:t>&lt;span class="TextRun SCXW34652929 BCX0" style="-webkit-user- drag: none; -webkit-tap-highlight-color: transparent; margin: 0px; padding: 0px; user-select: text; font-variant-numeric: normal; font-variant-east-asian: normal; font-variant-caps: small- caps; font-variant-alternates: normal; font-variant-position: normal; font-variant-emoji: normal; font-size: 12pt; line-height: 20.7px; font-family: &amp;quot;Times New Roman&amp;quot;, &amp;quot;Times New Roman_EmbeddedFont&amp;quot;, &amp;quot;Times New Roman_MSFontService&amp;quot;, serif; font-weight: bold;" lang="PT-BR" xml:lang="PT- BR"&gt;IV. Dispositivo e Tese&lt;/span&gt;</w:t>
              <w:tab/>
              <w:t>&lt;span class="EOP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lang="PT-BR" xml:lang="PT-BR"&gt;</w:t>
              <w:tab/>
              <w:t>&lt;span class="TextRun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xml:lang="PT-BR"&gt;6. Recurso conhecido e desprovido.&lt;/span&gt;</w:t>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ab/>
              <w:t>&lt;span class="TextRun SCXW34652929 BCX0" style="-webkit-user-drag: none; -webkit-tap-highlight-color: transparent; margin: 0px; padding: 0px; user-select: text; font-variant-ligatures: none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184" w:val="left" w:leader="none"/>
                <w:tab w:pos="3129" w:val="left" w:leader="none"/>
                <w:tab w:pos="6536" w:val="left" w:leader="none"/>
              </w:tabs>
              <w:spacing w:line="208" w:lineRule="auto" w:before="26"/>
              <w:ind w:right="75"/>
              <w:rPr>
                <w:sz w:val="20"/>
              </w:rPr>
            </w:pPr>
            <w:r>
              <w:rPr>
                <w:sz w:val="20"/>
              </w:rPr>
              <w:t>!important; font-size: 12pt; line-height: 20.7px; font-family: Aptos, Aptos_EmbeddedFont, Aptos_MSFontService, sans-serif;" lang="PT-BR" xml:lang="PT-BR"&gt;</w:t>
              <w:tab/>
              <w:t>&lt;span class="NormalTextRun SCXW34652929 BCX0" style="-webkit-user-drag: none; -webkit- tap-highlight-color: transparent; margin: 0px; padding: 0px; user-select: text;"&gt;&amp;#160;&lt;/span&gt;</w:t>
              <w:tab/>
              <w:t>&lt;/span&gt;</w:t>
              <w:tab/>
              <w:t>&lt;span class="EOP SCXW34652929 BCX0" style="- webkit-user-drag: none; -webkit-tap-highlight-color: transparent; margin: 0px; padding: </w:t>
            </w:r>
            <w:r>
              <w:rPr>
                <w:spacing w:val="-5"/>
                <w:sz w:val="20"/>
              </w:rPr>
              <w:t>0px; </w:t>
            </w:r>
            <w:r>
              <w:rPr>
                <w:sz w:val="20"/>
              </w:rPr>
              <w:t>user-select: text; font-size: 12pt; line-height: 20.7px; font-family: Aptos, Aptos_EmbeddedFont, Aptos_MSFontService, sans-serif;"&gt;&amp;#160;&lt;/span&gt;</w:t>
            </w:r>
          </w:p>
          <w:p>
            <w:pPr>
              <w:pStyle w:val="TableParagraph"/>
              <w:spacing w:line="208" w:lineRule="auto" w:before="0"/>
              <w:ind w:right="19"/>
              <w:rPr>
                <w:sz w:val="20"/>
              </w:rPr>
            </w:pPr>
            <w:r>
              <w:rPr>
                <w:sz w:val="20"/>
              </w:rPr>
              <w:t>&lt;/p&gt;&lt;/div&gt;&lt;div class="OutlineElement Ltr SCXW34652929 BCX0" style="-webkit-user- 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font-style: italic; line-height: 20.7px; font-family: &amp;quot;Times New Roman&amp;quot;, &amp;quot;Times New Roman_EmbeddedFont&amp;quot;, &amp;quot;Times New Roman_MSFontService&amp;quot;, serif; font-variant-ligatures: none</w:t>
            </w:r>
          </w:p>
          <w:p>
            <w:pPr>
              <w:pStyle w:val="TableParagraph"/>
              <w:tabs>
                <w:tab w:pos="2386" w:val="left" w:leader="none"/>
              </w:tabs>
              <w:spacing w:line="208" w:lineRule="auto" w:before="0"/>
              <w:ind w:right="40"/>
              <w:rPr>
                <w:sz w:val="20"/>
              </w:rPr>
            </w:pPr>
            <w:r>
              <w:rPr>
                <w:sz w:val="20"/>
              </w:rPr>
              <w:t>!important;" lang="PT-BR" xml:lang="PT-BR"&gt;Tese de julgamento:&lt;/span&gt; &lt;span class="TextRun SCXW34652929 BCX0" style="-webkit-user-drag: none; -webkit-tap- 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text;"&gt;Nos contratos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a cláusula que prevê o direito de regresso da&lt;/span&gt;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transparent;"&gt;faturizadora&lt;/span&gt; &lt;span class="NormalTextRun SCXW34652929 BCX0" style="-webkit-user-drag: none; -webkit-tap-highlight-color: transparent; margin: 0px; padding: 0px; user-select: text;"&gt;contra 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 transparent; margin: 0px; padding: 0px; user-select: text;"&gt;pelo inadimplemento dos títulos cedidos é nula, por contrariar a essência do risco da operação.&lt;/span&gt;&lt;/span&gt; &lt;span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 color: #1a202c;"&gt;&amp;#160;&lt;/span&gt; &lt;span class="TextRun SCXW34652929 BCX0" style="- webkit-user-drag: none; -webkit-tap-highlight-color: transparent; margin: 0px; padding: 0px; user-select: text; font-variant-ligatures: none !important; font-size: 12pt; line-height: 20.7px; font-family: Aptos, Aptos_EmbeddedFont, Aptos_MSFontService, sans-serif;" lang="PT- BR" xml:lang="PT-BR"&gt;</w:t>
              <w:tab/>
              <w:t>&lt;span class="NormalTextRun SCXW34652929 BCX0" style="- webkit-user-drag: none; -webkit-tap-highlight-color: transparent; margin: 0px; padding: 0px; user-select: text;"&gt;&amp;#160;&lt;/span&gt; &lt;/span&gt; &lt;span class="EOP SCXW34652929 BCX0" style="-webkit-user-drag: none; -webkit-tap-highlight-color: transparent; margin: 0px; padding: 0px; user-select: text; font-size: 12pt; line-height: 20.7px; font-family: Aptos, Aptos_EmbeddedFont, Aptos_MSFontService, sans-serif;"&gt;&amp;#160;&lt;/span&gt;&lt;/p&gt;&lt;/div&gt;&lt;div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 w:pos="2650" w:val="left" w:leader="none"/>
                <w:tab w:pos="3595" w:val="left" w:leader="none"/>
              </w:tabs>
              <w:spacing w:line="208" w:lineRule="auto" w:before="26"/>
              <w:ind w:right="40"/>
              <w:rPr>
                <w:sz w:val="20"/>
              </w:rPr>
            </w:pPr>
            <w:r>
              <w:rPr>
                <w:sz w:val="20"/>
              </w:rPr>
              <w:t>wrap: break-word; white-space-collapse: preserve; vertical-align: baseline; font-kerning: none; background-color: transparent; color: windowtext; text-align: justify;" lang="PT-BR" xml:lang="PT-BR"&gt;</w:t>
              <w:tab/>
              <w:t>&lt;span class="TextRun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w:t>
            </w:r>
            <w:r>
              <w:rPr>
                <w:sz w:val="20"/>
                <w:u w:val="single"/>
              </w:rPr>
              <w:t> </w:t>
              <w:tab/>
              <w:tab/>
            </w:r>
            <w:r>
              <w:rPr>
                <w:sz w:val="20"/>
              </w:rPr>
              <w:t>&lt;/span&gt;</w:t>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lang="PT-BR" xml:lang="PT-BR"&gt; &lt;span class="TextRun SCXW34652929 BCX0" style="-webkit-user- drag: none; -webkit-tap-highlight-color: transparent; margin: 0px; padding: 0px; user-select: text; font-size: 12pt; font-style: italic; line-height: 20.7px; font-family: &amp;quot;Times New Roman&amp;quot;, &amp;quot;Times New Roman_EmbeddedFont&amp;quot;, &amp;quot;Times New Roman_MSFontService&amp;quot;, serif; font-variant-ligatures: none !important;" lang="PT-BR" xml:lang="PT-BR"&gt;Jurisprudência relevante citada:&lt;/span&gt; &lt;span class="TextRun SCXW34652929 BCX0" style="-webkit-user-drag: none; -webkit-tap-highlight-color: transparent; margin: 0px; padding: 0px; user-select: text; color: #1a202c;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text;"&gt;STJ, REsp 1.726.161/SP, rel. Min.&lt;/span&gt;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w:t>
            </w:r>
          </w:p>
          <w:p>
            <w:pPr>
              <w:pStyle w:val="TableParagraph"/>
              <w:spacing w:line="208" w:lineRule="auto" w:before="0"/>
              <w:ind w:right="35"/>
              <w:jc w:val="both"/>
              <w:rPr>
                <w:sz w:val="20"/>
              </w:rPr>
            </w:pPr>
            <w:r>
              <w:rPr>
                <w:sz w:val="20"/>
              </w:rPr>
              <w:t>transparent;"&gt;Luis&lt;/span&gt; &lt;span class="NormalTextRun SCXW34652929 BCX0" style="- webkit-user-drag: none; -webkit-tap-highlight-color: transparent; margin: 0px; padding: 0px; user-select: text;"&gt;Felipe Salomão, j. 06.08.2019; STJ, REsp 1.909.459/SC, rel. Min.</w:t>
            </w:r>
          </w:p>
          <w:p>
            <w:pPr>
              <w:pStyle w:val="TableParagraph"/>
              <w:spacing w:line="208" w:lineRule="auto" w:before="0"/>
              <w:ind w:right="65"/>
              <w:rPr>
                <w:sz w:val="20"/>
              </w:rPr>
            </w:pPr>
            <w:r>
              <w:rPr>
                <w:sz w:val="20"/>
              </w:rPr>
              <w:t>Nancy Andrighi, j. 18.05.2021; STJ, REsp 2.106.765/CE, rel. Min. Nancy Andrighi, j. 12.03.2024; STJ,&lt;/span&gt;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transparent;"&gt;AgInt&lt;/span&gt; &lt;span class="NormalTextRun SCXW34652929 BCX0" style="-webkit-user-drag: none; -webkit-tap-highlight-color: transparent; margin: 0px; padding: 0px; user-select: text;"&gt;no&lt;/span&gt;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transparent;"&gt;AREsp&lt;/span&gt; &lt;span class="NormalTextRun SCXW34652929 BCX0" style="-webkit-user-drag: none; -webkit-tap-highlight-color: transparent; margin: 0px; padding: 0px; user-select: text;"&gt;2.182.647/SP, rel. Min. Maria Isabel Gallotti, j. 02.10.2023; STJ,&lt;/span&gt;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transparent;"&gt;AgInt&lt;/span&gt; &lt;span class="NormalTextRun SCXW34652929 BCX0" style="-webkit-user-drag: none; -webkit-tap-highlight-color: transparent; margin: 0px; padding: 0px; user-select: text;"&gt;no REsp 2.051.414/SP, rel. Min. Ricardo Villas Bôas&lt;/span&gt;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transparent;"&gt;Cueva&lt;/span&gt; &lt;span class="NormalTextRun SCXW34652929 BCX0" style="-webkit-user-drag: none; -webkit-tap-highlight-color: transparent; margin: 0px; padding: 0px; user-select: text;"&gt;, j. 11.12.2023&lt;/span&gt;&lt;/span&gt; &lt;span class="TextRun SCXW34652929 BCX0" style="-webkit-user-drag: none; -webkit-tap-highlight-color: transparent; margin: 0px; padding: 0px; user-select: text; font-size: 12pt; font-style: italic;</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991" w:val="left" w:leader="none"/>
              </w:tabs>
              <w:spacing w:line="208" w:lineRule="auto" w:before="26"/>
              <w:ind w:right="34"/>
              <w:rPr>
                <w:sz w:val="20"/>
              </w:rPr>
            </w:pPr>
            <w:r>
              <w:rPr>
                <w:sz w:val="20"/>
              </w:rPr>
              <w:t>line-height: 20.7px; font-family: &amp;quot;Times New Roman&amp;quot;, &amp;quot;Times New Roman_EmbeddedFont&amp;quot;, &amp;quot;Times New Roman_MSFontService&amp;quot;, serif; font-variant-ligatures: none !important;" lang="PT-BR" xml:lang="PT-BR"&gt;.&lt;/span&gt;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xml:lang="PT-BR"&gt;TJCE. Apelação Cível - 0221527-47.2021.8.06.0001, Relator Des. Marcos William Leite de Oliveira, 3ª Câmara Direito Privado, data de publicação: 30/04/2025; TJCE, Agravo de Instrumento nº 0623582-74.2019.8.06.0000, Relatora Desa. Maria de Fátima de Melo Loureiro, 2ª </w:t>
            </w:r>
            <w:r>
              <w:rPr>
                <w:spacing w:val="-3"/>
                <w:sz w:val="20"/>
              </w:rPr>
              <w:t>Câmara </w:t>
            </w:r>
            <w:r>
              <w:rPr>
                <w:sz w:val="20"/>
              </w:rPr>
              <w:t>Direito Privado, data de publicação: 23/10/2019.&lt;/span&gt; &lt;span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class="TextRun SCXW34652929 BCX0" style="-webkit-user-drag: none; -webkit-tap-highlight-color: transparent; margin: 0px; padding: 0px; user-select: text; font-variant-ligatures: none</w:t>
            </w:r>
          </w:p>
          <w:p>
            <w:pPr>
              <w:pStyle w:val="TableParagraph"/>
              <w:spacing w:line="208" w:lineRule="auto" w:before="0"/>
              <w:ind w:right="279"/>
              <w:rPr>
                <w:sz w:val="20"/>
              </w:rPr>
            </w:pPr>
            <w:r>
              <w:rPr>
                <w:sz w:val="20"/>
              </w:rPr>
              <w:t>!important; font-size: 12pt; line-height: 20.7px; font-family: Aptos, Aptos_EmbeddedFont, Aptos_MSFontService, sans-serif;" lang="PT-BR" xml:lang="PT-BR"&gt;&amp;#160;&lt;/span&gt;</w:t>
            </w:r>
          </w:p>
          <w:p>
            <w:pPr>
              <w:pStyle w:val="TableParagraph"/>
              <w:tabs>
                <w:tab w:pos="2240" w:val="left" w:leader="none"/>
              </w:tabs>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w:t>
              <w:tab/>
              <w:t>&lt;span style="font-family: Aptos, Aptos_EmbeddedFont, Aptos_MSFontService, sans-serif; font-size: 12pt; background-color: transparent; color: windowtext;"&gt;&amp;#160;&lt;/span&gt; &lt;/p&gt;&lt;/div&gt;&lt;div class="OutlineElement Ltr SCXW34652929</w:t>
            </w:r>
          </w:p>
          <w:p>
            <w:pPr>
              <w:pStyle w:val="TableParagraph"/>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68"/>
              <w:rPr>
                <w:sz w:val="20"/>
              </w:rPr>
            </w:pPr>
            <w:r>
              <w:rPr>
                <w:sz w:val="20"/>
              </w:rPr>
              <w:t>font-weight: bold; font-variant-ligatures: none !important;" lang="PT-BR" xml:lang="PT- BR"&gt;ACÓRDÃO&lt;/span&gt; &lt;span class="TextRun SCXW34652929 BCX0" style="-webkit- user-drag: none; -webkit-tap-highlight-color: transparent; margin: 0px; padding: 0px; user- select: text; font-size: 12pt; line-height: 20.7px; font-family: &amp;quot;Times New Roman&amp;quot;, &amp;quot;Times New Roman_EmbeddedFont&amp;quot;, &amp;quot;Times New Roman_MSFontService&amp;quot;, serif; font-variant-ligatures: none !important;" lang="PT-BR" xml:lang="PT-BR"&gt;: Vistos, relatados e discutidos estes autos, acorda a do Tribunal de Justiça do Estado do Ceará, por unanimidade, em CONHECER do recurso para&lt;/span&gt;</w:t>
            </w:r>
          </w:p>
          <w:p>
            <w:pPr>
              <w:pStyle w:val="TableParagraph"/>
              <w:spacing w:line="208" w:lineRule="auto" w:before="0"/>
              <w:ind w:right="42"/>
              <w:rPr>
                <w:sz w:val="20"/>
              </w:rPr>
            </w:pPr>
            <w:r>
              <w:rPr>
                <w:sz w:val="20"/>
              </w:rPr>
              <w:t>&lt;span class="TextRun SCXW34652929 BCX0" style="-webkit-user-drag: none; -webkit- tap-highlight-color: transparent; margin: 0px; padding: 0px; user-select: text; font-size: 12pt; line-height: 20.7px; font-family: &amp;quot;Times New Roman&amp;quot;, &amp;quot;Times New Roman_EmbeddedFont&amp;quot;, &amp;quot;Times New Roman_MSFontService&amp;quot;, serif; font-weight: bold; font-variant-ligatures: none !important;" lang="PT-BR" xml:lang="PT- BR"&gt;NEGAR-LHE PROVIMENTO&lt;/span&gt; &lt;span class="TextRun SCXW34652929 BCX0"</w:t>
            </w:r>
          </w:p>
          <w:p>
            <w:pPr>
              <w:pStyle w:val="TableParagraph"/>
              <w:spacing w:line="208" w:lineRule="auto" w:before="0"/>
              <w:ind w:right="64"/>
              <w:rPr>
                <w:sz w:val="20"/>
              </w:rPr>
            </w:pPr>
            <w:r>
              <w:rPr>
                <w:sz w:val="20"/>
              </w:rPr>
              <w:t>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nos termos do voto do relator.&lt;/span&gt; &lt;span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991" w:val="left" w:leader="none"/>
              </w:tabs>
              <w:spacing w:line="208" w:lineRule="auto" w:before="26"/>
              <w:ind w:right="142"/>
              <w:rPr>
                <w:sz w:val="20"/>
              </w:rPr>
            </w:pPr>
            <w:r>
              <w:rPr>
                <w:sz w:val="20"/>
              </w:rPr>
              <w:t>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w:t>
            </w:r>
            <w:r>
              <w:rPr>
                <w:spacing w:val="-3"/>
                <w:sz w:val="20"/>
              </w:rPr>
              <w:t>color: </w:t>
            </w:r>
            <w:r>
              <w:rPr>
                <w:sz w:val="20"/>
              </w:rPr>
              <w:t>windowtext; text-align: justify;" lang="PT-BR" xml:lang="PT-BR"&gt;</w:t>
              <w:tab/>
              <w:t>&lt;span class="TextRun SCXW34652929 BCX0" style="-webkit-user-drag: none; -webkit-tap-highlight-color: transparent; margin: 0px; padding: 0px; user-select: text; font-variant-ligatures: none</w:t>
            </w:r>
          </w:p>
          <w:p>
            <w:pPr>
              <w:pStyle w:val="TableParagraph"/>
              <w:spacing w:line="208" w:lineRule="auto" w:before="0"/>
              <w:ind w:right="279"/>
              <w:rPr>
                <w:sz w:val="20"/>
              </w:rPr>
            </w:pPr>
            <w:r>
              <w:rPr>
                <w:sz w:val="20"/>
              </w:rPr>
              <w:t>!important; font-size: 12pt; line-height: 20.7px; font-family: Aptos, Aptos_EmbeddedFont, Aptos_MSFontService, sans-serif;" lang="PT-BR" xml:lang="PT-BR"&gt;&amp;#160;&lt;/span&gt;</w:t>
            </w:r>
          </w:p>
          <w:p>
            <w:pPr>
              <w:pStyle w:val="TableParagraph"/>
              <w:tabs>
                <w:tab w:pos="5991" w:val="left" w:leader="none"/>
              </w:tabs>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w:t>
            </w:r>
          </w:p>
          <w:p>
            <w:pPr>
              <w:pStyle w:val="TableParagraph"/>
              <w:tabs>
                <w:tab w:pos="1982" w:val="left" w:leader="none"/>
                <w:tab w:pos="2819" w:val="left" w:leader="none"/>
              </w:tabs>
              <w:spacing w:line="208" w:lineRule="auto" w:before="0"/>
              <w:ind w:right="37"/>
              <w:rPr>
                <w:sz w:val="20"/>
              </w:rPr>
            </w:pPr>
            <w:r>
              <w:rPr>
                <w:sz w:val="20"/>
              </w:rPr>
              <w:t>font-variant-ligatures: none !important;" lang="PT-BR" xml:lang="PT-BR"&gt;Fortaleza, data da assinatura digital.&lt;/span&gt;</w:t>
              <w:tab/>
              <w:t>&lt;span class="EOP SCXW34652929 BCX0" style="-webkit- user-drag: none; -webkit-tap-highlight-color: transparent; margin: 0px; padding: 0px; user- 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lang="PT-BR" xml:lang="PT-BR"&gt;</w:t>
              <w:tab/>
              <w:t>&lt;span class="EOP SCXW34652929 BCX0" style="-webkit-user-drag: none; -webkit-tap-highlight-color: transparent; margin: 0px; padding: 0px; user-select: text; font-size: 12pt; line-height: 20.7px; font-family: Aptos, Aptos_EmbeddedFont, Aptos_MSFontService, sans-serif;"&gt;&amp;#160;&lt;/span&gt;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 word; white-space-collapse: preserve; vertical-align: baseline; font-kerning: none; background-color: transparent; color: windowtext; text-align: center;" lang="PT-BR" xml:lang="PT-BR"&gt;</w:t>
              <w:tab/>
              <w:t>&lt;span class="TextRun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 font-weight: bold; font-variant-ligatures: none</w:t>
            </w:r>
          </w:p>
          <w:p>
            <w:pPr>
              <w:pStyle w:val="TableParagraph"/>
              <w:tabs>
                <w:tab w:pos="1840" w:val="left" w:leader="none"/>
              </w:tabs>
              <w:spacing w:line="208" w:lineRule="auto" w:before="0"/>
              <w:ind w:right="40"/>
              <w:rPr>
                <w:sz w:val="20"/>
              </w:rPr>
            </w:pPr>
            <w:r>
              <w:rPr>
                <w:sz w:val="20"/>
              </w:rPr>
              <w:t>!important;" lang="PT-BR" xml:lang="PT-BR"&gt;MARIA REGINA OLIVEIRA CÂMARA&lt;/span&gt;</w:t>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 w:pos="5595" w:val="left" w:leader="none"/>
                <w:tab w:pos="6036" w:val="left" w:leader="none"/>
                <w:tab w:pos="6974" w:val="left" w:leader="none"/>
              </w:tabs>
              <w:spacing w:line="208" w:lineRule="auto" w:before="26"/>
              <w:ind w:right="68"/>
              <w:rPr>
                <w:sz w:val="20"/>
              </w:rPr>
            </w:pPr>
            <w:r>
              <w:rPr>
                <w:sz w:val="20"/>
              </w:rPr>
              <w:t>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center;" lang="PT-BR" xml:lang="PT-BR"&gt;</w:t>
              <w:tab/>
              <w:t>&lt;span class="TextRun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w:t>
            </w:r>
            <w:r>
              <w:rPr>
                <w:spacing w:val="-2"/>
                <w:sz w:val="20"/>
              </w:rPr>
              <w:t>lang="PT-BR" </w:t>
            </w:r>
            <w:r>
              <w:rPr>
                <w:sz w:val="20"/>
              </w:rPr>
              <w:t>xml:lang="PT-BR"&gt;Desembargadora Presidente do Órgão Julgador&lt;/span&gt;</w:t>
              <w:tab/>
              <w:t>&lt;span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class="EOP SCXW34652929 BCX0" style="-webkit-user-drag: none; -webkit-tap-highlight-color: transparent; margin: 0px; padding: 0px; user-select: text; font-size: 12pt; line-height: 20.7px;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font-weight: bold; font-variant-ligatures: none !important;" lang="PT-BR" xml:lang="PT- BR"&gt;FRANCISCO LUCÍDIO DE QUEIROZ JÚNIOR&lt;/span&gt;</w:t>
              <w:tab/>
              <w:t>&lt;span class="EOP</w:t>
            </w:r>
          </w:p>
          <w:p>
            <w:pPr>
              <w:pStyle w:val="TableParagraph"/>
              <w:tabs>
                <w:tab w:pos="1629" w:val="left" w:leader="none"/>
                <w:tab w:pos="6036" w:val="left" w:leader="none"/>
              </w:tabs>
              <w:spacing w:line="208" w:lineRule="auto" w:before="0"/>
              <w:ind w:right="40"/>
              <w:rPr>
                <w:sz w:val="20"/>
              </w:rPr>
            </w:pPr>
            <w:r>
              <w:rPr>
                <w:sz w:val="20"/>
              </w:rPr>
              <w:t>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xml:lang="PT-BR"&gt;Desembargador Relator&lt;/span&gt;</w:t>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s>
              <w:spacing w:line="208" w:lineRule="auto" w:before="26"/>
              <w:ind w:right="37"/>
              <w:rPr>
                <w:sz w:val="20"/>
              </w:rPr>
            </w:pPr>
            <w:r>
              <w:rPr>
                <w:sz w:val="20"/>
              </w:rPr>
              <w:t>wrap: break-word; white-space-collapse: preserve; vertical-align: baseline; font-kerning: none; background-color: transparent; color: windowtext; text-align: center;" lang="PT-BR" xml:lang="PT-BR"&gt;</w:t>
              <w:tab/>
              <w:t>&lt;span class="EOP SCXW34652929 BCX0" style="-webkit-user-drag: none; -webkit-tap-highlight-color: transparent; margin: 0px; padding: 0px; user-select: text; font-size: 12pt; line-height: 27px; font-family: Aptos, Aptos_EmbeddedFont, Aptos_MSFontService, sans-serif;"&gt;&amp;#160;&lt;/span&gt;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 word; white-space-collapse: preserve; vertical-align: baseline; font-kerning: none; background-color: transparent; color: windowtext; text-align: center;" lang="PT-BR" xml:lang="PT-BR"&gt;</w:t>
              <w:tab/>
              <w:t>&lt;span class="EOP SCXW34652929 BCX0" style="-webkit-user-drag: none; -webkit-tap-highlight-color: transparent; margin: 0px; padding: 0px; user-select: text; font-size: 12pt; line-height: 27px; font-family: Aptos, Aptos_EmbeddedFont, Aptos_MSFontService, sans-serif;"&gt;&amp;#160;&lt;/span&gt;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 word; white-space-collapse: preserve; vertical-align: baseline; font-kerning: none; background-color: transparent; color: windowtext; text-align: center;" lang="PT-BR" xml:lang="PT-BR"&gt;</w:t>
              <w:tab/>
              <w:t>&lt;span class="TextRun SCXW34652929 BCX0" style="-webkit-user- 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w:t>
            </w:r>
          </w:p>
          <w:p>
            <w:pPr>
              <w:pStyle w:val="TableParagraph"/>
              <w:tabs>
                <w:tab w:pos="6224" w:val="left" w:leader="none"/>
              </w:tabs>
              <w:spacing w:line="208" w:lineRule="auto" w:before="0"/>
              <w:ind w:right="42"/>
              <w:rPr>
                <w:sz w:val="20"/>
              </w:rPr>
            </w:pPr>
            <w:r>
              <w:rPr>
                <w:sz w:val="20"/>
              </w:rPr>
              <w:t>!important;" lang="PT-BR" xml:lang="PT-BR"&gt;RELATÓRIO&lt;/span&gt;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xml:lang="PT-BR"&gt;Cuida-se de&lt;/span&gt;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w:t>
            </w:r>
          </w:p>
          <w:p>
            <w:pPr>
              <w:pStyle w:val="TableParagraph"/>
              <w:spacing w:line="208" w:lineRule="auto" w:before="0"/>
              <w:ind w:right="17"/>
              <w:rPr>
                <w:sz w:val="20"/>
              </w:rPr>
            </w:pPr>
            <w:r>
              <w:rPr>
                <w:sz w:val="20"/>
              </w:rPr>
              <w:t>xml:lang="PT-BR"&gt;Apelação Cível&lt;/span&gt; &lt;span class="TextRun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 font-variant-ligatures: none !important;" lang="PT-BR" xml:lang="PT-BR"&gt;, interposta por&lt;/span&gt;   &lt;span class="TextRun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 font-weight: bold; font-variant-ligatures: none</w:t>
            </w:r>
          </w:p>
          <w:p>
            <w:pPr>
              <w:pStyle w:val="TableParagraph"/>
              <w:spacing w:line="208" w:lineRule="auto" w:before="0"/>
              <w:ind w:right="105"/>
              <w:rPr>
                <w:sz w:val="20"/>
              </w:rPr>
            </w:pPr>
            <w:r>
              <w:rPr>
                <w:sz w:val="20"/>
              </w:rPr>
              <w:t>!important;" lang="PT-BR" xml:lang="PT-BR"&gt;Firma Securitizadora S/A, FB Securitizadora S/A e FM Securitizadora S/A&lt;/span&gt; &lt;span class="TextRun SCXW34652929 BCX0" style="-webkit-user-drag: none; -webkit-tap-highlight-color: transparent; margin: 0px; padding: 0px; user-select: text; font-size: 12pt; line-height: 27px; font-family: &amp;quot;Times New Roman&amp;quot;, &amp;quot;Times New Roman_EmbeddedFont&amp;quot;,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8"/>
              <w:rPr>
                <w:sz w:val="20"/>
              </w:rPr>
            </w:pPr>
            <w:r>
              <w:rPr>
                <w:sz w:val="20"/>
              </w:rPr>
              <w:t>Roman_MSFontService&amp;quot;, serif; font-variant-ligatures: none !important;" lang="PT-BR" xml:lang="PT-BR"&gt;, visando reformar a sentença de id. 27108859 proferida pelo juízo da 6ª Vara Cível da Comarca de Fortaleza, ao julgar a&lt;/span&gt;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 xml:lang="PT- BR"&gt;Ação de Execução de Título Extrajudicial&lt;/span&gt;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ajuizada pelas apelantes contra&lt;/span&gt; &lt;span class="TextRun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 font-weight: bold; font-variant-ligatures: none</w:t>
            </w:r>
          </w:p>
          <w:p>
            <w:pPr>
              <w:pStyle w:val="TableParagraph"/>
              <w:tabs>
                <w:tab w:pos="3890" w:val="left" w:leader="none"/>
                <w:tab w:pos="5665" w:val="left" w:leader="none"/>
                <w:tab w:pos="6892" w:val="left" w:leader="none"/>
                <w:tab w:pos="7242" w:val="left" w:leader="none"/>
              </w:tabs>
              <w:spacing w:line="208" w:lineRule="auto" w:before="0"/>
              <w:ind w:right="40"/>
              <w:rPr>
                <w:sz w:val="20"/>
              </w:rPr>
            </w:pPr>
            <w:r>
              <w:rPr>
                <w:sz w:val="20"/>
              </w:rPr>
              <w:t>!important;" lang="PT-BR" xml:lang="PT-BR"&gt; &lt;span class="NormalTextRun SCXW34652929 BCX0" style="-webkit-user-drag: none; -webkit-tap-highlight-color: transparent; margin: 0px; padding: 0px; user-select: text;"&gt;Móveis Belo Indústria e Comércio Ltda, Adelaide Alvares Belo Bernardo, Gracinda Belo&lt;/span&gt;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transparent;"&gt;Strahl&lt;/span&gt; &lt;span class="NormalTextRun SCXW34652929 BCX0" style="-webkit-user-drag: none; -webkit- tap-highlight-color: transparent; margin: 0px; padding: 0px; user-select: text;"&gt;e Rosana Cristina Belo de Freitas&lt;/span&gt;&lt;/span&gt;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xml:lang="PT-BR"&gt;.&lt;/span&gt; &lt;span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xml:lang="PT-BR"&gt;Na sentença, proferida pelo juízo da 6ª Vara Cível da Comarca de Fortaleza, entendeu-se pela extinção do processo de execução, com fundamento na ausência de certeza e liquidez dos títulos executados, nos termos do art. 783 do CPC, caracterizando a operação como fomento mercantil (&lt;/span&gt;</w:t>
              <w:tab/>
              <w:t>&lt;span class="TextRun SCXW34652929 BCX0" style="-webkit-user-drag: none; -webkit-tap-highlight-color: transparent; margin: 0px; padding: 0px; user-select: text; font-size: 12pt; font-style: italic; line-height: 27px; font-family: &amp;quot;Times New Roman&amp;quot;, &amp;quot;Times New Roman_EmbeddedFont&amp;quot;, &amp;quot;Times New Roman_MSFontService&amp;quot;, serif; font-variant-ligatures: none !important;" lang="PT-BR" xml:lang="PT-BR"&gt;</w:t>
              <w:tab/>
              <w:t>&lt;span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w:t>
              <w:tab/>
              <w:t>&lt;/span&gt;</w:t>
            </w:r>
          </w:p>
          <w:p>
            <w:pPr>
              <w:pStyle w:val="TableParagraph"/>
              <w:spacing w:line="208" w:lineRule="auto" w:before="0"/>
              <w:ind w:right="42"/>
              <w:rPr>
                <w:sz w:val="20"/>
              </w:rPr>
            </w:pPr>
            <w:r>
              <w:rPr>
                <w:sz w:val="20"/>
              </w:rPr>
              <w:t>&lt;span class="TextRun SCXW34652929 BCX0" style="-webkit-user-drag: none; -webkit- 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e não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651" w:val="left" w:leader="none"/>
              </w:tabs>
              <w:spacing w:line="208" w:lineRule="auto" w:before="26"/>
              <w:ind w:right="42"/>
              <w:rPr>
                <w:sz w:val="20"/>
              </w:rPr>
            </w:pPr>
            <w:r>
              <w:rPr>
                <w:sz w:val="20"/>
              </w:rPr>
              <w:t>securitização de recebíveis, conforme defendido pelas exequentes, nos seguintes termos:&lt;/span&gt;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156"/>
              <w:rPr>
                <w:sz w:val="20"/>
              </w:rPr>
            </w:pPr>
            <w:r>
              <w:rPr>
                <w:sz w:val="20"/>
              </w:rPr>
              <w:t>&lt;span class="EOP SCXW34652929 BCX0" style="-webkit-user-drag: none; -webkit-tap- highlight-color: transparent; margin: 0px; padding: 0px; user-select: text; font-size: 12pt; line-height: 27px; font-family: Aptos, Aptos_EmbeddedFont, Aptos_MSFontService, sans- serif;"&gt;&amp;#160;&lt;/span&gt; &lt;/p&gt;&lt;/div&gt;&lt;div class="OutlineElement Ltr SCXW34652929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tabs>
                <w:tab w:pos="3176" w:val="left" w:leader="none"/>
              </w:tabs>
              <w:spacing w:line="208" w:lineRule="auto" w:before="0"/>
              <w:ind w:right="42"/>
              <w:rPr>
                <w:sz w:val="20"/>
              </w:rPr>
            </w:pPr>
            <w:r>
              <w:rPr>
                <w:sz w:val="20"/>
              </w:rPr>
              <w:t>&lt;span class="TextRun SCXW34652929 BCX0" style="-webkit-user-drag: none; -webkit- tap-highlight-color: transparent; margin: 0px; padding: 0px; user-select: text; font-size: </w:t>
            </w:r>
            <w:r>
              <w:rPr>
                <w:spacing w:val="-4"/>
                <w:sz w:val="20"/>
              </w:rPr>
              <w:t>12pt; </w:t>
            </w:r>
            <w:r>
              <w:rPr>
                <w:sz w:val="20"/>
              </w:rPr>
              <w:t>line-height: 20.7px; font-family: &amp;quot;Liberation Serif&amp;quot;, &amp;quot;Liberation Serif_EmbeddedFont&amp;quot;, sans-serif; font-variant-ligatures: none !important;" lang="PT- BR" xml:lang="PT-BR"&gt;“&lt;/span&gt;</w:t>
              <w:tab/>
              <w:t>&lt;span class="TextRun SCXW34652929 BCX0" style="- webkit-user-drag: none; -webkit-tap-highlight-color: transparent; margin: 0px; padding: 0px; user-select: text; font-size: 12pt; font-style: italic; line-height: 20.7px; font-family: &amp;quot;Times New Roman&amp;quot;, &amp;quot;Times New Roman_EmbeddedFont&amp;quot;, &amp;quot;Times New Roman_MSFontService&amp;quot;, serif; font-variant-ligatures: none</w:t>
            </w:r>
          </w:p>
          <w:p>
            <w:pPr>
              <w:pStyle w:val="TableParagraph"/>
              <w:tabs>
                <w:tab w:pos="3764" w:val="left" w:leader="none"/>
                <w:tab w:pos="3797" w:val="left" w:leader="none"/>
                <w:tab w:pos="4346" w:val="left" w:leader="none"/>
                <w:tab w:pos="5219" w:val="left" w:leader="none"/>
              </w:tabs>
              <w:spacing w:line="208" w:lineRule="auto" w:before="0"/>
              <w:ind w:right="40"/>
              <w:rPr>
                <w:sz w:val="20"/>
              </w:rPr>
            </w:pPr>
            <w:r>
              <w:rPr>
                <w:sz w:val="20"/>
              </w:rPr>
              <w:t>!important;" lang="PT-BR" xml:lang="PT-BR"&gt;</w:t>
              <w:tab/>
              <w:t>&lt;span class="NormalTextRun SCXW34652929 BCX0" style="-webkit-user-drag: none; -webkit-tap-highlight-color: transparent; margin: 0px; padding: 0px; user-select: text;"&gt;Em que pese a denominação </w:t>
            </w:r>
            <w:r>
              <w:rPr>
                <w:spacing w:val="-8"/>
                <w:sz w:val="20"/>
              </w:rPr>
              <w:t>do </w:t>
            </w:r>
            <w:r>
              <w:rPr>
                <w:sz w:val="20"/>
              </w:rPr>
              <w:t>contrato em questão (Instrumento Particular de Contrato de Compromisso de Cessão de Crédito, Responsável Solidário e Outras Avenças), suas características realmente evidenciam nítida operação de&lt;/span&gt;</w:t>
              <w:tab/>
              <w:t>&lt;span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w:t>
              <w:tab/>
              <w:t>&lt;span class="NormalTextRun SCXW34652929 BCX0" style="-webkit-user-drag: none; -webkit-tap-highlight-color: transparent; margin: 0px; padding: 0px; user-select: text;"&gt;, a qual se aperfeiçoa mediante cessão de créditos. […]&lt;/span&gt;&lt;/span&gt;</w:t>
              <w:tab/>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font-style: italic; line-height: 20.7px; font-family: &amp;quot;Times New Roman&amp;quot;, &amp;quot;Times New Roman_EmbeddedFont&amp;quot;, &amp;quot;Times New Roman_MSFontService&amp;quot;, serif; font-variant-ligatures: none</w:t>
            </w:r>
          </w:p>
          <w:p>
            <w:pPr>
              <w:pStyle w:val="TableParagraph"/>
              <w:spacing w:line="208" w:lineRule="auto" w:before="0"/>
              <w:ind w:right="64"/>
              <w:rPr>
                <w:sz w:val="20"/>
              </w:rPr>
            </w:pPr>
            <w:r>
              <w:rPr>
                <w:sz w:val="20"/>
              </w:rPr>
              <w:t>!important;" lang="PT-BR" xml:lang="PT-BR"&gt;Por todo o exposto, verifica-se que o contrato ora executado não possui força executiva, ante a ausência de certeza e liquidez, nos termos do art. 783, do CPC.&lt;/span&gt; &lt;span class="EOP SCXW34652929 BCX0" style="-webkit-user-drag: none; -webkit-tap-highlight-color: transparent; margin: 0px; padding: 0px; user-select: text; font-size: 12pt; line-height: 20.7px; font-family: &amp;quot;Times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s>
              <w:spacing w:line="208" w:lineRule="auto" w:before="26"/>
              <w:ind w:right="40"/>
              <w:rPr>
                <w:sz w:val="20"/>
              </w:rPr>
            </w:pPr>
            <w:r>
              <w:rPr>
                <w:sz w:val="20"/>
              </w:rPr>
              <w:t>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w:t>
              <w:tab/>
              <w:t>&lt;span class="TextRun SCXW34652929 BCX0" style="-webkit-user-drag: none; -webkit-tap-highlight-color: transparent; margin: 0px; padding: 0px; user-select: text; font-size: 12pt; font-style: italic; line-height: 20.7px; font- family: &amp;quot;Times New Roman&amp;quot;, &amp;quot;Times New Roman_EmbeddedFont&amp;quot;, &amp;quot;Times New Roman_MSFontService&amp;quot;, serif; font-variant-ligatures: none</w:t>
            </w:r>
          </w:p>
          <w:p>
            <w:pPr>
              <w:pStyle w:val="TableParagraph"/>
              <w:tabs>
                <w:tab w:pos="3890" w:val="left" w:leader="none"/>
                <w:tab w:pos="6177" w:val="left" w:leader="none"/>
              </w:tabs>
              <w:spacing w:line="208" w:lineRule="auto" w:before="0"/>
              <w:ind w:right="40"/>
              <w:rPr>
                <w:sz w:val="20"/>
              </w:rPr>
            </w:pPr>
            <w:r>
              <w:rPr>
                <w:sz w:val="20"/>
              </w:rPr>
              <w:t>!important;" lang="PT-BR" xml:lang="PT-BR"&gt;Assim, outro caminho não há senão o do indeferimento da inicial, mediante a extinção da execução.&lt;/span&gt;</w:t>
              <w:tab/>
              <w:t>&lt;span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font-style: italic; line-height: 20.7px; font-family: &amp;quot;Times New Roman&amp;quot;, &amp;quot;Times New Roman_EmbeddedFont&amp;quot;, &amp;quot;Times New Roman_MSFontService&amp;quot;, serif; font-variant-ligatures: none !important;" lang="PT-BR" xml:lang="PT-BR"&gt;Pelo exposto, hei por bem, com fulcro no art. 321, parágrafo único c/c 330, IV e 924, I do CPC, julgar por sentença extinto o processo de execução, pelo INDEFERIMENTO DA PETIÇÃO INICIAL, haja vista a falta de certeza e liquidez do título&lt;/span&gt;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xml:lang="PT-BR"&gt;”.&lt;/span&gt; &lt;span class="EOP SCXW34652929 BCX0" style="-webkit- user-drag: none; -webkit-tap-highlight-color: transparent; margin: 0px; padding: 0px; user- 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class="EOP SCXW34652929 BCX0" style="-webkit-user-drag: none; -webkit-tap-highlight-color: transparent; margin: 0px; padding: 0px; user-select: text; font-size: 12pt; line-height: 27px; font-family: Aptos, Aptos_EmbeddedFont, Aptos_MSFontService, sans-serif;"&gt;&amp;#160;&lt;/span&gt;</w:t>
            </w:r>
          </w:p>
          <w:p>
            <w:pPr>
              <w:pStyle w:val="TableParagraph"/>
              <w:spacing w:line="208" w:lineRule="auto" w:before="0"/>
              <w:ind w:right="17"/>
              <w:rPr>
                <w:sz w:val="20"/>
              </w:rPr>
            </w:pPr>
            <w:r>
              <w:rPr>
                <w:sz w:val="20"/>
              </w:rPr>
              <w:t>&lt;/p&gt;&lt;/div&gt;&lt;div class="OutlineElement Ltr SCXW34652929 BCX0" style="-webkit-user- 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padding: 0px; user-select: text; overflow-wrap: break-word; white-space-collapse: preserve; vertical-align: baseline; font- kerning: none; background-color: transparent; color: windowtext; text-align: justify; text- indent: 75px;" lang="PT-BR" xml:lang="PT-BR"&gt; &lt;span class="TextRun SCXW34652929 BCX0" style="-webkit-user-drag: none; -webkit-tap-highlight-color: transparent; margin: 0px;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8"/>
              <w:rPr>
                <w:sz w:val="20"/>
              </w:rPr>
            </w:pPr>
            <w:r>
              <w:rPr>
                <w:sz w:val="20"/>
              </w:rPr>
              <w:t>padding: 0px; user-select: text; font-size: 12pt; line-height: 27px; font-family: &amp;quot;Times New Roman&amp;quot;, &amp;quot;Times New Roman_EmbeddedFont&amp;quot;, &amp;quot;Times New Roman_MSFontService&amp;quot;, serif; font-variant-ligatures: none !important;" </w:t>
            </w:r>
            <w:r>
              <w:rPr>
                <w:spacing w:val="-2"/>
                <w:sz w:val="20"/>
              </w:rPr>
              <w:t>lang="PT-BR" </w:t>
            </w:r>
            <w:r>
              <w:rPr>
                <w:sz w:val="20"/>
              </w:rPr>
              <w:t>xml:lang="PT-BR"&gt;Inconformadas, as autoras interpuseram recurso de apelação (id.</w:t>
            </w:r>
          </w:p>
          <w:p>
            <w:pPr>
              <w:pStyle w:val="TableParagraph"/>
              <w:spacing w:line="190" w:lineRule="exact" w:before="0"/>
              <w:rPr>
                <w:sz w:val="20"/>
              </w:rPr>
            </w:pPr>
            <w:r>
              <w:rPr>
                <w:sz w:val="20"/>
              </w:rPr>
              <w:t>27108868), alegam que a decisão merece ser reformada, defendendo que a&lt;/span&gt;</w:t>
            </w:r>
          </w:p>
          <w:p>
            <w:pPr>
              <w:pStyle w:val="TableParagraph"/>
              <w:spacing w:line="208" w:lineRule="auto" w:before="10"/>
              <w:ind w:right="34"/>
              <w:rPr>
                <w:sz w:val="20"/>
              </w:rPr>
            </w:pPr>
            <w:r>
              <w:rPr>
                <w:sz w:val="20"/>
              </w:rPr>
              <w:t>&lt;span class="TextRun SCXW34652929 BCX0" style="-webkit-user-drag: none; -webkit- tap-highlight-color: transparent; margin: 0px; padding: 0px; user-select: text; color: #1a202c; font-size: 12pt; line-height: 27px; font-family: &amp;quot;Times New Roman&amp;quot;, &amp;quot;Times New Roman_EmbeddedFont&amp;quot;, &amp;quot;Times New Roman_MSFontService&amp;quot;, serif; font-variant-ligatures: none !important;" lang="PT-BR" xml:lang="PT-BR"&gt;sentença incorreu em nulidade, por afronta aos princípios da não surpresa, da congruência e do contraditório, já que, ao proferir decisão acerca dos embargos de declaração, adotou fundamentos novos, sem prévia manifestação das partes. Quanto ao mérito,&lt;/span&gt; &lt;span class="TextRun SCXW34652929 BCX0" </w:t>
            </w:r>
            <w:r>
              <w:rPr>
                <w:spacing w:val="-3"/>
                <w:sz w:val="20"/>
              </w:rPr>
              <w:t>style="- </w:t>
            </w:r>
            <w:r>
              <w:rPr>
                <w:sz w:val="20"/>
              </w:rPr>
              <w:t>webkit-user-drag: none; -webkit-tap-highlight-color: transparent; margin: 0px; padding: 0px; user-select: text; color: #1a202c; font-size: 12pt; line-height: 27px; font-family: &amp;quot;Times New Roman&amp;quot;, &amp;quot;Times New Roman_EmbeddedFont&amp;quot;, &amp;quot;Times New Roman_MSFontService&amp;quot;, serif; font-weight: bold; font-variant-ligatures: none</w:t>
            </w:r>
          </w:p>
          <w:p>
            <w:pPr>
              <w:pStyle w:val="TableParagraph"/>
              <w:spacing w:line="208" w:lineRule="auto" w:before="0"/>
              <w:ind w:right="153"/>
              <w:rPr>
                <w:sz w:val="20"/>
              </w:rPr>
            </w:pPr>
            <w:r>
              <w:rPr>
                <w:sz w:val="20"/>
              </w:rPr>
              <w:t>!important;" lang="PT-BR" xml:lang="PT-BR"&gt;as&lt;/span&gt;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 xml:lang="PT- BR"&gt;autoras sustentam que são, na verdade, companhias securitizadoras, e que a operação realizada não se trata de uma simples antecipação de recebíveis característica do&lt;/span&gt; &lt;span class="TextRun SCXW34652929 BCX0" style="-webkit-user-drag: none; -webkit-tap-highlight-color: transparent; margin: 0px; padding: 0px; user-select: </w:t>
            </w:r>
            <w:r>
              <w:rPr>
                <w:spacing w:val="-4"/>
                <w:sz w:val="20"/>
              </w:rPr>
              <w:t>text; </w:t>
            </w:r>
            <w:r>
              <w:rPr>
                <w:sz w:val="20"/>
              </w:rPr>
              <w:t>font-size: 12pt; font-style: italic; line-height: 27px; font-family: &amp;quot;Times New Roman&amp;quot;, &amp;quot;Times New Roman_EmbeddedFont&amp;quot;, &amp;quot;Times New Roman_MSFontService&amp;quot;, serif; font-weight: bold; font-variant-ligatures: none</w:t>
            </w:r>
          </w:p>
          <w:p>
            <w:pPr>
              <w:pStyle w:val="TableParagraph"/>
              <w:tabs>
                <w:tab w:pos="4346" w:val="left" w:leader="none"/>
              </w:tabs>
              <w:spacing w:line="208" w:lineRule="auto" w:before="0"/>
              <w:ind w:right="34"/>
              <w:rPr>
                <w:sz w:val="20"/>
              </w:rPr>
            </w:pPr>
            <w:r>
              <w:rPr>
                <w:sz w:val="20"/>
              </w:rPr>
              <w:t>!important;" lang="PT-BR" xml:lang="PT-BR"&gt;</w:t>
              <w:tab/>
              <w:t>&lt;span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 xml:lang="PT- BR"&gt;, mas sim de uma complexa operação de securitização de créditos, que envolve a aquisição de ativos creditórios e sua conversão em títulos mobiliários, lastreados por direitos de crédito.&lt;/span&gt; &lt;span class="TextRun SCXW34652929 BCX0" </w:t>
            </w:r>
            <w:r>
              <w:rPr>
                <w:spacing w:val="-2"/>
                <w:sz w:val="20"/>
              </w:rPr>
              <w:t>style="-webkit- </w:t>
            </w:r>
            <w:r>
              <w:rPr>
                <w:sz w:val="20"/>
              </w:rPr>
              <w:t>user-drag: none; -webkit-tap-highlight-color: transparent; margin: 0px; padding: 0px; user- select: text; font-size: 12pt; line-height: 27px; font-family: &amp;quot;Times New Roman&amp;quot;, &amp;quot;Times New Roman_EmbeddedFont&amp;quot;, &amp;quot;Times New Roman_MSFontService&amp;quot;, serif; font-variant-ligatures: none !important;" lang="PT-BR" xml:lang="PT-BR"&gt;As recorrentes enfatizam que os títulos possuem força executiva, e a cláusula de coobrigação e recompra presente nos contratos é válida e essencial para a segurança da operação. Ao final, pedem a reforma total da sentença, para que seja reconhecida a natureza executiva dos contratos de cessão de crédito firmados, com o consequente prosseguimento da execução.&lt;/span&gt; &lt;span class="EOP SCXW34652929</w:t>
            </w:r>
          </w:p>
          <w:p>
            <w:pPr>
              <w:pStyle w:val="TableParagraph"/>
              <w:tabs>
                <w:tab w:pos="3890"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097" w:val="left" w:leader="none"/>
                <w:tab w:pos="3890" w:val="left" w:leader="none"/>
                <w:tab w:pos="6409" w:val="left" w:leader="none"/>
                <w:tab w:pos="7581" w:val="left" w:leader="none"/>
              </w:tabs>
              <w:spacing w:line="208" w:lineRule="auto" w:before="26"/>
              <w:ind w:right="21"/>
              <w:rPr>
                <w:sz w:val="20"/>
              </w:rPr>
            </w:pPr>
            <w:r>
              <w:rPr>
                <w:sz w:val="20"/>
              </w:rPr>
              <w:t>xml:lang="PT-BR"&gt;Sem contrarrazões, dada a ausência de citação do polo demandado.&lt;/span&gt;</w:t>
              <w:tab/>
              <w:t>&lt;span class="EOP SCXW34652929 BCX0" style="-webkit-user- 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xml:lang="PT-BR"&gt;Deixei de remeter os autos à apreciação da douta Procuradoria-Geral de Justiça por se tratar de causa exclusivamente patrimonial.&lt;/span&gt;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w:t>
            </w:r>
          </w:p>
          <w:p>
            <w:pPr>
              <w:pStyle w:val="TableParagraph"/>
              <w:tabs>
                <w:tab w:pos="1763" w:val="left" w:leader="none"/>
                <w:tab w:pos="2017" w:val="left" w:leader="none"/>
                <w:tab w:pos="5991" w:val="left" w:leader="none"/>
                <w:tab w:pos="6036" w:val="left" w:leader="none"/>
              </w:tabs>
              <w:spacing w:line="208" w:lineRule="auto" w:before="0"/>
              <w:ind w:right="42"/>
              <w:rPr>
                <w:sz w:val="20"/>
              </w:rPr>
            </w:pPr>
            <w:r>
              <w:rPr>
                <w:sz w:val="20"/>
              </w:rPr>
              <w:t>font-variant-ligatures: none !important;" lang="PT-BR" xml:lang="PT-BR"&gt;É o relatório.&lt;/span&gt;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lang="PT-BR" xml:lang="PT-BR"&gt;</w:t>
              <w:tab/>
              <w:t>&lt;span class="EOP SCXW34652929 BCX0" style="-webkit-user-drag: none; -webkit-tap-highlight-color: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 xml:lang="PT- BR"&gt;VOTO&lt;/span&gt;</w:t>
              <w:tab/>
              <w:t>&lt;span class="EOP SCXW34652929 BCX0" style="-webkit-user-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890" w:val="left" w:leader="none"/>
              </w:tabs>
              <w:spacing w:line="208" w:lineRule="auto" w:before="26"/>
              <w:ind w:right="40"/>
              <w:rPr>
                <w:sz w:val="20"/>
              </w:rPr>
            </w:pPr>
            <w:r>
              <w:rPr>
                <w:sz w:val="20"/>
              </w:rPr>
              <w:t>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class="EOP SCXW34652929 BCX0" style="-webkit-user-drag: none; -webkit-tap-highlight-color: transparent; margin: 0px; padding: 0px; user-select: text; font-size: 12pt; line-height: 27px; font-family: Aptos, Aptos_EmbeddedFont, Aptos_MSFontService, sans-serif;"&gt;&amp;#160;&lt;/span&gt;</w:t>
            </w:r>
          </w:p>
          <w:p>
            <w:pPr>
              <w:pStyle w:val="TableParagraph"/>
              <w:tabs>
                <w:tab w:pos="4546" w:val="left" w:leader="none"/>
              </w:tabs>
              <w:spacing w:line="208" w:lineRule="auto" w:before="0"/>
              <w:ind w:right="17"/>
              <w:rPr>
                <w:sz w:val="20"/>
              </w:rPr>
            </w:pPr>
            <w:r>
              <w:rPr>
                <w:sz w:val="20"/>
              </w:rPr>
              <w:t>&lt;/p&gt;&lt;/div&gt;&lt;div class="OutlineElement Ltr SCXW34652929 BCX0" style="-webkit-user- 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padding: 0px; user-select: </w:t>
            </w:r>
            <w:r>
              <w:rPr>
                <w:spacing w:val="-4"/>
                <w:sz w:val="20"/>
              </w:rPr>
              <w:t>text; </w:t>
            </w:r>
            <w:r>
              <w:rPr>
                <w:sz w:val="20"/>
              </w:rPr>
              <w:t>overflow-wrap: break-word; white-space-collapse: preserve; vertical-align: baseline; font- kerning: none; background-color: transparent; color: windowtext; text-align: justify; text- indent: 37px;" lang="PT-BR" xml:lang="PT-BR"&gt;</w:t>
              <w:tab/>
              <w:t>&lt;span class="TextRun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 font-weight: bold; font-variant-ligatures: none</w:t>
            </w:r>
          </w:p>
          <w:p>
            <w:pPr>
              <w:pStyle w:val="TableParagraph"/>
              <w:tabs>
                <w:tab w:pos="2074" w:val="left" w:leader="none"/>
                <w:tab w:pos="3890" w:val="left" w:leader="none"/>
              </w:tabs>
              <w:spacing w:line="208" w:lineRule="auto" w:before="0"/>
              <w:ind w:right="40"/>
              <w:rPr>
                <w:sz w:val="20"/>
              </w:rPr>
            </w:pPr>
            <w:r>
              <w:rPr>
                <w:sz w:val="20"/>
              </w:rPr>
              <w:t>!important;" lang="PT-BR" xml:lang="PT-BR"&gt;1. Juízo de admissibilidade e preliminares&lt;/span&gt;</w:t>
              <w:tab/>
              <w:t>&lt;span class="EOP SCXW34652929 BCX0" style="-webkit-user- 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xml:lang="PT-BR"&gt;O recurso é adequado, tempestivo, cabível e foi interposto por quem detinha legítimo interesse, de modo que estão presentes os pressupostos de admissibilidade recursal.&lt;/span&gt; &lt;span class="EOP SCXW34652929 BCX0" style="- 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xml:lang="PT-BR"&gt;Acerca da questão invocada da violação aos princípios da não- surpresa, da congruência e do contraditório, compreendo que não é possível reconhecer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 w:pos="5365" w:val="left" w:leader="none"/>
              </w:tabs>
              <w:spacing w:line="208" w:lineRule="auto" w:before="26"/>
              <w:ind w:right="31"/>
              <w:rPr>
                <w:sz w:val="20"/>
              </w:rPr>
            </w:pPr>
            <w:r>
              <w:rPr>
                <w:sz w:val="20"/>
              </w:rPr>
              <w:t>quaisquer desses vícios na sentença impugnada.&lt;/span&gt;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xml:lang="PT-BR"&gt;O argumento apresentado pela apelante é de que, ao julgar os embargos de declaração, o juízo de origem utilizou-se de novos argumentos, sobre os quais não foi dado à recorrente se manifestar, notadamente sobre os argumentos de que “&lt;/span&gt; &lt;span class="TextRun SCXW34652929 BCX0" style="-webkit-user-drag: none; -webkit-tap-highlight-color: transparent; margin: 0px; padding: 0px; user-select: text; font-size: 12pt; font-style: italic;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text;"&gt;a) a securitização seria "análoga" ao&lt;/span&gt;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text;"&gt;e, por isso, as recorrentes assumiriam, ainda assim, os riscos do negócio jurídico; e que b) por ser uma "instituição não financeira", seria lhes vedado o uso da cláusula de recompra&lt;/span&gt;&lt;/span&gt;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xml:lang="PT-BR"&gt;”.&lt;/span&gt; </w:t>
            </w:r>
            <w:r>
              <w:rPr>
                <w:spacing w:val="-4"/>
                <w:sz w:val="20"/>
              </w:rPr>
              <w:t>&lt;span </w:t>
            </w:r>
            <w:r>
              <w:rPr>
                <w:sz w:val="20"/>
              </w:rPr>
              <w:t>class="EOP SCXW34652929 BCX0" style="-webkit-user-drag: none; -webkit-tap-highlight- 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xml:lang="PT-BR"&gt;Contudo, observo que nas razões de Embargos de Declaração (id. 27108862), as embargantes expuseram, de maneira exaustiva, as razões da diferenciação entre as atividades de&lt;/span&gt;   &lt;span class="TextRun SCXW34652929 BCX0" style="-webkit-user-drag: none; -webkit-tap-highlight-color: transparent; margin: 0px; padding: 0px; user-select: text; font-size: 12pt; font-style: italic; line-height: 27px; font-family: &amp;quot;Times New Roman&amp;quot;, &amp;quot;Times New Roman_EmbeddedFont&amp;quot;, &amp;quot;Times New Roman_MSFontService&amp;quot;, serif; font-variant-ligatures: none !important;" lang="PT-BR" xml:lang="PT-BR"&gt;</w:t>
              <w:tab/>
              <w:t>&lt;span class="NormalTextRun SpellingErrorV2Themed SCXW34652929 BCX0" style="-webkit-user-drag: none; -webkit-tap-highlight-color: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8"/>
              <w:rPr>
                <w:sz w:val="20"/>
              </w:rPr>
            </w:pPr>
            <w:r>
              <w:rPr>
                <w:sz w:val="20"/>
              </w:rPr>
              <w:t>transparent; margin: 0px; padding: 0px; user-select: text; background-position: 0px 100%; background-repeat: repeat-x; background-image: url(&amp;quot;data; border-bottom: 1px solid transparent;"&gt;factoring&lt;/span&gt; &lt;/span&gt;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xml:lang="PT-BR"&gt;e de securitização, como forma de impugnar a sentença embargada.</w:t>
            </w:r>
          </w:p>
          <w:p>
            <w:pPr>
              <w:pStyle w:val="TableParagraph"/>
              <w:tabs>
                <w:tab w:pos="7581" w:val="left" w:leader="none"/>
              </w:tabs>
              <w:spacing w:line="208" w:lineRule="auto" w:before="0"/>
              <w:ind w:right="21"/>
              <w:rPr>
                <w:sz w:val="20"/>
              </w:rPr>
            </w:pPr>
            <w:r>
              <w:rPr>
                <w:sz w:val="20"/>
              </w:rPr>
              <w:t>Desse modo, a sentença que julgou os embargos de declaração limitou-se a analisar e dar solução aos argumentos opostos pelas autoras. Ao contrário do afirmado pelas apelantes, não se trata de apresentação de fundamento novo sobre os quais não foi dado às partes se manifestar, mas de prestação da tutela. Preliminar afastada&lt;/span&gt; &lt;span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class="EOP SCXW34652929 BCX0" style="-webkit-user-drag: none; -webkit-tap-highlight- 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37px;" lang="PT-BR" xml:lang="PT-BR"&gt;</w:t>
              <w:tab/>
            </w:r>
            <w:r>
              <w:rPr>
                <w:spacing w:val="-4"/>
                <w:sz w:val="20"/>
              </w:rPr>
              <w:t>&lt;span </w:t>
            </w:r>
            <w:r>
              <w:rPr>
                <w:sz w:val="20"/>
              </w:rPr>
              <w:t>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w:t>
            </w:r>
          </w:p>
          <w:p>
            <w:pPr>
              <w:pStyle w:val="TableParagraph"/>
              <w:tabs>
                <w:tab w:pos="2995" w:val="left" w:leader="none"/>
              </w:tabs>
              <w:spacing w:line="208" w:lineRule="auto" w:before="0"/>
              <w:ind w:right="40"/>
              <w:rPr>
                <w:sz w:val="20"/>
              </w:rPr>
            </w:pPr>
            <w:r>
              <w:rPr>
                <w:sz w:val="20"/>
              </w:rPr>
              <w:t>font-weight: bold; font-variant-ligatures: none !important;" lang="PT-BR" xml:lang="PT- BR"&gt;2. Mérito recursal&lt;/span&gt;</w:t>
              <w:tab/>
              <w:t>&lt;span class="EOP SCXW34652929 BCX0" style="- 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text;"&gt;A questão em discussão consiste em analisar o acerto da sentença de primeiro grau ao indeferir a petição inicial da Execução de Título Extrajudicial, baseando- se na proibição de cláusula de regresso contra 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0"/>
              <w:rPr>
                <w:sz w:val="20"/>
              </w:rPr>
            </w:pPr>
            <w:r>
              <w:rPr>
                <w:sz w:val="20"/>
              </w:rPr>
              <w:t>transparent; margin: 0px; padding: 0px; user-select: text;"&gt;pelo inadimplemento dos títulos transferidos.&lt;/span&gt;&lt;/span&gt; &lt;span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text;"&gt;A defesa das recorrentes, em síntese, é que elas operam como FIDC (Fundo de Investimento em Direitos Creditórios) e não como&lt;/span&gt;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o que afastaria a aplicação do entendimento do STJ sobre o tema.&lt;/span&gt;&lt;/span&gt; &lt;span class="EOP SCXW34652929 BCX0" style="-webkit-user-drag: none; -webkit-tap-highlight- 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text;"&gt;Os Fundos de Investimento em Direitos Creditórios (FIDCs) são veículos de investimento coletivo, criados pela Resolução CMN n.º 2.907/2001 e regulamentados pela Comissão de Valores Mobiliários (CVM), especialmente pela Instrução CVM n.º 356/2001 (complementada </w:t>
            </w:r>
            <w:r>
              <w:rPr>
                <w:spacing w:val="-3"/>
                <w:sz w:val="20"/>
              </w:rPr>
              <w:t>pelas </w:t>
            </w:r>
            <w:r>
              <w:rPr>
                <w:sz w:val="20"/>
              </w:rPr>
              <w:t>regras gerais da ICVM555/2014 para fundos estruturados). Sua finalidade é captar</w:t>
            </w:r>
          </w:p>
          <w:p>
            <w:pPr>
              <w:pStyle w:val="TableParagraph"/>
              <w:spacing w:line="208" w:lineRule="auto" w:before="0"/>
              <w:ind w:right="20"/>
              <w:rPr>
                <w:sz w:val="20"/>
              </w:rPr>
            </w:pPr>
            <w:r>
              <w:rPr>
                <w:sz w:val="20"/>
              </w:rPr>
              <w:t>recursos de investidores (cotistas) para aplicar, predominantemente, em direitos creditórios de diversas origens (financeira, comercial, industrial,&lt;/span&gt;  &lt;span class="NormalTextRun AdvancedProofingIssueV2Themed SCXW34652929 BCX0"</w:t>
            </w:r>
          </w:p>
          <w:p>
            <w:pPr>
              <w:pStyle w:val="TableParagraph"/>
              <w:spacing w:line="208" w:lineRule="auto" w:before="0"/>
              <w:ind w:right="661"/>
              <w:rPr>
                <w:sz w:val="20"/>
              </w:rPr>
            </w:pPr>
            <w:r>
              <w:rPr>
                <w:sz w:val="20"/>
              </w:rPr>
              <w:t>style="-webkit-user-drag: none; -webkit-tap-highlight-color: transparent; margin: </w:t>
            </w:r>
            <w:r>
              <w:rPr>
                <w:spacing w:val="-4"/>
                <w:sz w:val="20"/>
              </w:rPr>
              <w:t>0px; </w:t>
            </w:r>
            <w:r>
              <w:rPr>
                <w:sz w:val="20"/>
              </w:rPr>
              <w:t>padding: 0px; user-select: text; background-position: 0px 100%; background-repeat: repeat-x; background-image: url(&amp;quot;data; border-bottom: 1px solid transparent;"&gt;serviços, etc.&lt;/span&gt;  &lt;span class="NormalTextRun</w:t>
            </w:r>
            <w:r>
              <w:rPr>
                <w:spacing w:val="6"/>
                <w:sz w:val="20"/>
              </w:rPr>
              <w:t> </w:t>
            </w:r>
            <w:r>
              <w:rPr>
                <w:spacing w:val="-2"/>
                <w:sz w:val="20"/>
              </w:rPr>
              <w:t>SCXW34652929</w:t>
            </w:r>
          </w:p>
          <w:p>
            <w:pPr>
              <w:pStyle w:val="TableParagraph"/>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text;"&gt;).&lt;/span&gt;&lt;/span&gt; &lt;span class="EOP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 w:pos="6176" w:val="left" w:leader="none"/>
                <w:tab w:pos="6831" w:val="left" w:leader="none"/>
              </w:tabs>
              <w:spacing w:line="208" w:lineRule="auto" w:before="26"/>
              <w:ind w:right="20"/>
              <w:rPr>
                <w:sz w:val="20"/>
              </w:rPr>
            </w:pPr>
            <w:r>
              <w:rPr>
                <w:sz w:val="20"/>
              </w:rPr>
              <w:t>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w:t>
              <w:tab/>
              <w:t>&lt;span class="NormalTextRun SCXW34652929 BCX0" style="- webkit-user-drag: none; -webkit-tap-highlight-color: transparent; margin: 0px; padding: 0px; user-select: text;"&gt;A principal forma de atuação do FIDC é a securitização de recebíveis. Nesse processo, o fundo adquire um fluxo de caixa futuro (os direitos creditórios) e o </w:t>
            </w:r>
            <w:r>
              <w:rPr>
                <w:spacing w:val="-3"/>
                <w:sz w:val="20"/>
              </w:rPr>
              <w:t>utiliza </w:t>
            </w:r>
            <w:r>
              <w:rPr>
                <w:sz w:val="20"/>
              </w:rPr>
              <w:t>como lastro para emitir valores mobiliários suas cotas que são distribuídas aos investidores. Isso transforma créditos, muitas vezes ilíquidos, em ativos negociáveis no mercado de capitais, pulverizando o risco de crédito entre os cotistas e conferindo liquidez imediata aos cedentes (originadores) dos créditos. A aquisição desses direitos se formaliza por endosso (conforme o título) ou cessão civil de crédito (&lt;/span&gt;</w:t>
              <w:tab/>
              <w:t>&lt;span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transparent;"&gt;Arts&lt;/span&gt;</w:t>
              <w:tab/>
              <w:t>&lt;span class="NormalTextRun SCXW34652929 BCX0" style="-webkit-user-drag: none; -webkit- tap-highlight-color: transparent; margin: 0px; padding: 0px; user-select: text;"&gt;. 286-298 do Código Civil), podendo ser pro soluto (FIDC assume o risco de inadimplência) ou pro solvendo (cedente retém coobrigação/risco, dentro das regras da CVM).&lt;/span&gt; &lt;/span&gt;</w:t>
            </w:r>
          </w:p>
          <w:p>
            <w:pPr>
              <w:pStyle w:val="TableParagraph"/>
              <w:spacing w:line="208" w:lineRule="auto" w:before="0"/>
              <w:ind w:right="132"/>
              <w:rPr>
                <w:sz w:val="20"/>
              </w:rPr>
            </w:pPr>
            <w:r>
              <w:rPr>
                <w:sz w:val="20"/>
              </w:rPr>
              <w:t>&lt;span class="EOP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w:t>
            </w:r>
            <w:r>
              <w:rPr>
                <w:spacing w:val="-4"/>
                <w:sz w:val="20"/>
              </w:rPr>
              <w:t>&lt;span </w:t>
            </w:r>
            <w:r>
              <w:rPr>
                <w:sz w:val="20"/>
              </w:rPr>
              <w:t>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text;"&gt;Como entidade regulada pela CVM, o FIDC opera no mercado financeiro (segmento de capitais)</w:t>
            </w:r>
          </w:p>
          <w:p>
            <w:pPr>
              <w:pStyle w:val="TableParagraph"/>
              <w:spacing w:line="189" w:lineRule="exact" w:before="0"/>
              <w:rPr>
                <w:sz w:val="20"/>
              </w:rPr>
            </w:pPr>
            <w:r>
              <w:rPr>
                <w:sz w:val="20"/>
              </w:rPr>
              <w:t>e possui uma estrutura formal que inclui: Um administrador credenciado pela CVM;&lt;/span&gt;</w:t>
            </w:r>
          </w:p>
          <w:p>
            <w:pPr>
              <w:pStyle w:val="TableParagraph"/>
              <w:spacing w:line="208" w:lineRule="auto" w:before="8"/>
              <w:ind w:right="31"/>
              <w:rPr>
                <w:sz w:val="20"/>
              </w:rPr>
            </w:pPr>
            <w:r>
              <w:rPr>
                <w:sz w:val="20"/>
              </w:rPr>
              <w:t>&lt;span class="NormalTextRun ContextualSpellingAndGrammarErrorV2Themed SCXW34652929 BCX0" style="-webkit-user-drag: none; -webkit-tap-highlight-color: transparent; margin: 0px; padding: 0px; user-select: text; background-position: 0px 100%; background-repeat: repeat-x; background-image: url(&amp;quot;data; border-bottom: 1px solid transparent;"&gt;Cotistas&lt;/span&gt; &lt;span class="NormalTextRun SCXW34652929 BCX0" style="-webkit-user-drag: none; -webkit-tap-highlight-color: transparent; margin: 0px; padding: 0px; user-select: text;"&gt;, que detêm frações ideais do patrimônio do fundo (cotas); um custodiante credenciado pela CVM, responsável pela guarda dos ativos. Essa estrutura, aliada a normas de compliance (como avaliação por agência de rating), busca conferir maior segurança jurídica e precisão na precificação dos ativos.&lt;/span&gt;&lt;/span&gt;</w:t>
            </w:r>
          </w:p>
          <w:p>
            <w:pPr>
              <w:pStyle w:val="TableParagraph"/>
              <w:spacing w:line="208" w:lineRule="auto" w:before="0"/>
              <w:ind w:right="164"/>
              <w:rPr>
                <w:sz w:val="20"/>
              </w:rPr>
            </w:pPr>
            <w:r>
              <w:rPr>
                <w:sz w:val="20"/>
              </w:rPr>
              <w:t>&lt;span class="EOP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2"/>
              <w:rPr>
                <w:sz w:val="20"/>
              </w:rPr>
            </w:pPr>
            <w:r>
              <w:rPr>
                <w:sz w:val="20"/>
              </w:rPr>
              <w:t>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xml:lang="PT-BR"&gt;Atuando como instrumento do mercado de capitais, o FIDC funciona como um condomínio (aberto ou fechado) que agrupa capital de diversos investidores (cotistas) via emissão de cotas.</w:t>
            </w:r>
          </w:p>
          <w:p>
            <w:pPr>
              <w:pStyle w:val="TableParagraph"/>
              <w:spacing w:line="208" w:lineRule="auto" w:before="0"/>
              <w:ind w:right="81"/>
              <w:rPr>
                <w:sz w:val="20"/>
              </w:rPr>
            </w:pPr>
            <w:r>
              <w:rPr>
                <w:sz w:val="20"/>
              </w:rPr>
              <w:t>Esses recursos são majoritariamente investidos em direitos creditórios, com o propósito central de gerar rendimentos para os cotistas através da gestão ativa da carteira. Por ser um veículo de investimento coletivo e não uma empresa, possui uma estrutura regulada e sofisticada, que inclui administrador, gestor, custodiante e auditor, com critérios de aquisição de ativos definidos em sua política de investimento.&lt;/span&gt; &lt;span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text;"&gt;A&lt;/span&gt;</w:t>
            </w:r>
          </w:p>
          <w:p>
            <w:pPr>
              <w:pStyle w:val="TableParagraph"/>
              <w:spacing w:line="208" w:lineRule="auto" w:before="0"/>
              <w:ind w:right="32"/>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transparent;"&gt;Factoring&lt;/span&gt; &lt;span class="NormalTextRun SCXW34652929 BCX0" style="-webkit-user-drag: none; -webkit-tap-highlight-color: transparent; margin: 0px; padding: 0px; user-select: text;"&gt;, por sua vez, é uma empresa comercial (sociedade empresária, como Ltda ou S.A.) com uma estrutura empresarial mais simples, que a do FIDC. Ela opera utilizando capital próprio ou recursos de terceiros (empréstimos). Seu objetivo combina a busca por lucro, obtido pela compra de recebíveis com deságio (diferença entre valor de face e valor pago), com a prestação crucial de serviços de fomento à empresa cedente (&lt;/span&gt;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 transparent; margin: 0px; padding: 0px; user-select: text;"&gt;), como administração de </w:t>
            </w:r>
            <w:r>
              <w:rPr>
                <w:spacing w:val="-3"/>
                <w:sz w:val="20"/>
              </w:rPr>
              <w:t>contas </w:t>
            </w:r>
            <w:r>
              <w:rPr>
                <w:sz w:val="20"/>
              </w:rPr>
              <w:t>a receber, análise de crédito e cobrança.&lt;/span&gt;&lt;/span&gt; &lt;span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890" w:val="left" w:leader="none"/>
                <w:tab w:pos="6062" w:val="left" w:leader="none"/>
                <w:tab w:pos="7581" w:val="left" w:leader="none"/>
              </w:tabs>
              <w:spacing w:line="208" w:lineRule="auto" w:before="26"/>
              <w:ind w:right="21"/>
              <w:rPr>
                <w:sz w:val="20"/>
              </w:rPr>
            </w:pPr>
            <w:r>
              <w:rPr>
                <w:sz w:val="20"/>
              </w:rPr>
              <w:t>font-variant-ligatures: none !important;" lang="PT-BR" xml:lang="PT-BR"&gt; &lt;span class="NormalTextRun SCXW34652929 BCX0" style="-webkit-user-drag: none; -webkit- tap-highlight-color: transparent; margin: 0px; padding: 0px; user-select: text;"&gt;Podemos concluir, então, que os FIDCs são regulamentados pela Comissão de Valores Mobiliários (CVM), que editou a Instrução Normativa 356/2001, e são constituídos sob a forma de condomínios abertos ou fechados (art. 3º, I, da IN 356/2001 da CVM), atuando no </w:t>
            </w:r>
            <w:r>
              <w:rPr>
                <w:spacing w:val="-3"/>
                <w:sz w:val="20"/>
              </w:rPr>
              <w:t>mercado </w:t>
            </w:r>
            <w:r>
              <w:rPr>
                <w:sz w:val="20"/>
              </w:rPr>
              <w:t>de capitais e são utilizados para a captação de recursos. As empresas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por sua </w:t>
            </w:r>
            <w:r>
              <w:rPr>
                <w:spacing w:val="-5"/>
                <w:sz w:val="20"/>
              </w:rPr>
              <w:t>vez, </w:t>
            </w:r>
            <w:r>
              <w:rPr>
                <w:sz w:val="20"/>
              </w:rPr>
              <w:t>são sociedades empresárias que não exercem qualquer interferência no mercado financeiro.&lt;/span&gt;&lt;/span&gt; &lt;span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xml:lang="PT-BR"&gt;Nessa linha, colaciono aresto do STJ:&lt;/span&gt;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class="EOP SCXW34652929 BCX0" style="-webkit-user-drag: none; -webkit-tap-highlight- 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33"/>
              <w:rPr>
                <w:sz w:val="20"/>
              </w:rPr>
            </w:pPr>
            <w:r>
              <w:rPr>
                <w:sz w:val="20"/>
              </w:rPr>
              <w:t>font-variant-ligatures: none !important;" lang="PT-BR" xml:lang="PT-BR"&gt; &lt;span class="NormalTextRun SCXW34652929 BCX0" style="-webkit-user-drag: none; -webkit- tap-highlight-color: transparent; margin: 0px; padding: 0px; user-select: text;"&gt;RECURSO ESPECIAL. FUNDO DE INVESTIMENTO EM DIREITOS CREDITÓRIOS. MERCADO DE CAPITAIS. VALOR MOBILIÁRIO. DEFINIÇÃO LEGAL QUE SE AJUSTA À DINÂMICA DO MERCADO. SECURITIZAÇÃO DE RECEBÍVEIS. CESSÃO DE CRÉDITO EMPREGADO COMO LASTRO NA EMISSÃO DE TÍTULOS OU VALORES MOBILIÁRIOS. PACTUAÇÃO ACESSÓRIA DE FIANÇA. POSSIBILIDADE. CONFUSÃO ENTRE AS ATIVIDADES</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93"/>
              <w:rPr>
                <w:sz w:val="20"/>
              </w:rPr>
            </w:pPr>
            <w:r>
              <w:rPr>
                <w:sz w:val="20"/>
              </w:rPr>
              <w:t>DESEMPENHADAS POR ESCRITÓRIOS DE FACTORING E PELOS FIDCs. DESCABIMENTO. CESSÃO DE CRÉDITO PROSOLVENDO. VIABILIDADE. 1. Com a</w:t>
            </w:r>
          </w:p>
          <w:p>
            <w:pPr>
              <w:pStyle w:val="TableParagraph"/>
              <w:spacing w:line="208" w:lineRule="auto" w:before="0"/>
              <w:ind w:right="17"/>
              <w:rPr>
                <w:sz w:val="20"/>
              </w:rPr>
            </w:pPr>
            <w:r>
              <w:rPr>
                <w:sz w:val="20"/>
              </w:rPr>
              <w:t>edição da MP n. 1.637/1998, convertida na Lei n. 10.198/2001, houve a introdução no ordenamento jurídico de conceituação próxima à do direito americano, estabelecendo que se constituem valores mobiliários os títulos ou contratos de investimento coletivo que gerem direito de participação, de parceria ou de remuneração, inclusive resultante de prestação de serviços, cujos rendimentos advenham do esforço do empreendedor ou de terceiros. A definição de valor mobiliário se ajusta à dinâmica do mercado, pois abrange os negócios oferecidos ao público, em que o investidor aplica seus recursos na expectativa de obter lucro em empreendimento administrado pelo ofertante ou por terceiro. 2. Os Fundos de Investimento em Direito Creditório - FIDCs foram criados por deliberação do CMN, conforme Resolução n. 2.907/2001, que estabelece, no art. 1º, I, a autorização para a constituição e o funcionamento, nos termos da regulamentação a ser estabelecida pela CVM, de fundos de investimento destinados preponderantemente à aplicação em direitos creditórios e em títulos representativos desses direitos, originários de operações realizadas nos segmentos financeiro, comercial, industrial, imobiliário, de hipotecas, de arrendamento mercantil e de prestação de serviços, bem como nas demais modalidades de investimento admitidas na referida regulamentação. 3. Portanto, o FIDC, de modo diverso das atividades desempenhadas pelos escritórios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opera no mercado financeiro (vertente mercado de capitais) mediante a securitização de recebíveis, por meio da qual determinado fluxo de caixa futuro é utilizado como lastro para a emissão de valores mobiliários colocados à disposição de investidores. Consoante a legislação e a normatização infralegal de regência, um FIDC pode adquirir direitos creditórios por meio </w:t>
            </w:r>
            <w:r>
              <w:rPr>
                <w:spacing w:val="-8"/>
                <w:sz w:val="20"/>
              </w:rPr>
              <w:t>de </w:t>
            </w:r>
            <w:r>
              <w:rPr>
                <w:sz w:val="20"/>
              </w:rPr>
              <w:t>dois atos formais: o endosso, cuja disciplina depende do título de crédito adquirido, e a cessão civil ordinária de crédito, disciplinada nos&lt;/span&gt;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transparent;"&gt;arts&lt;/span&gt; &lt;span class="NormalTextRun SCXW34652929 BCX0" style="-webkit-user-drag: none; -webkit-tap-highlight-color: transparent; margin: 0px; padding: 0px; user-select: text;"&gt;. 286-298 do CC, pro soluto ou pro solvendo. 4. Foi apurado pelas instâncias ordinárias que&lt;/span&gt; &lt;span class="NormalTextRun ContextualSpellingAndGrammarErrorV2Themed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40"/>
              <w:rPr>
                <w:sz w:val="20"/>
              </w:rPr>
            </w:pPr>
            <w:r>
              <w:rPr>
                <w:sz w:val="20"/>
              </w:rPr>
              <w:t>repeat-x; background-image: url(&amp;quot;data; border-bottom: 1px solid transparent;"&gt;trata- se&lt;/span&gt; &lt;span class="NormalTextRun SCXW34652929 BCX0" style="-webkit-user- drag: none; -webkit-tap-highlight-color: transparent; margin: 0px; padding: 0px; user-select: text;"&gt;de cessão de crédito pro solvendo em que a recorrida figura como fiadora (devedora solidária, nos moldes do art. 828 do CC) na cessão de crédito realizada pela sociedade empresária de que é sócia. O art. 296 do CC estabelece que, se houver pactuação, o cedente pode ser responsável ao cessionário pela solvência do devedor. 5. Recurso especial provido.&lt;/span&gt;&lt;/span&gt; &lt;span class="EOP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text;"&gt;(REsp n. 1.726.161/SP, relator Ministro&lt;/span&gt; &lt;span class="NormalTextRun SpellingErrorV2Themed SCXW34652929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7"/>
              <w:rPr>
                <w:sz w:val="20"/>
              </w:rPr>
            </w:pPr>
            <w:r>
              <w:rPr>
                <w:sz w:val="20"/>
              </w:rPr>
              <w:t>user-drag: none; -webkit-tap-highlight-color: transparent; margin: 0px; padding: 0px; user- select: text; background-position: 0px 100%; background-repeat: repeat-x; background- image: url(&amp;quot;data; border-bottom: 1px solid transparent;"&gt;Luis&lt;/span&gt; &lt;span class="NormalTextRun SCXW34652929 BCX0" style="-webkit-user-drag: none; -webkit- tap-highlight-color: transparent; margin: 0px; padding: 0px; user-select: text;"&gt;Felipe Salomão, Quarta Turma, julgado em 6/8/2019,&lt;/span&gt;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transparent;"&gt;DJe&lt;/span&gt; &lt;span class="NormalTextRun SCXW34652929 BCX0" style="-webkit-user-drag: none; -webkit-tap-highlight-color: transparent; margin: 0px; padding: 0px; user-select: text;"&gt;de 3/9/2019.)&lt;/span&gt;&lt;/span&gt;</w:t>
            </w:r>
          </w:p>
          <w:p>
            <w:pPr>
              <w:pStyle w:val="TableParagraph"/>
              <w:spacing w:line="208" w:lineRule="auto" w:before="0"/>
              <w:ind w:right="164"/>
              <w:rPr>
                <w:sz w:val="20"/>
              </w:rPr>
            </w:pPr>
            <w:r>
              <w:rPr>
                <w:sz w:val="20"/>
              </w:rPr>
              <w:t>&lt;span class="EOP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296"/>
              <w:rPr>
                <w:sz w:val="20"/>
              </w:rPr>
            </w:pPr>
            <w:r>
              <w:rPr>
                <w:sz w:val="20"/>
              </w:rPr>
              <w:t>font-variant-ligatures: none !important;" lang="PT-BR" xml:lang="PT-BR"&gt; &lt;span class="NormalTextRun SCXW34652929 BCX0" style="-webkit-user-drag: none; -webkit- tap-highlight-color: transparent; margin: 0px; padding: 0px; user-select: text;"&gt;CIVIL. RECURSO ESPECIAL. EMBARGOS À EXECUÇÃO. FUNDODE INVESTIMENTO EM DIREITOS CREDITÓRIOS. CESSÃO DE CRÉDITO PRO SOLVENDO. CLÁUSULA CONTRATUAL QUE ESTIPULA A RESPONSABILIDADE DO CEDENTE PELA</w:t>
            </w:r>
          </w:p>
          <w:p>
            <w:pPr>
              <w:pStyle w:val="TableParagraph"/>
              <w:spacing w:line="208" w:lineRule="auto" w:before="0"/>
              <w:ind w:right="21"/>
              <w:rPr>
                <w:sz w:val="20"/>
              </w:rPr>
            </w:pPr>
            <w:r>
              <w:rPr>
                <w:sz w:val="20"/>
              </w:rPr>
              <w:t>SOLVÊNCIA DO DEVEDOR. VALIDADE. 1. Embargos à execução opostos em 12/07/2016, dos quais foi extraído o presente recurso especial interposto em 10/01/2019 e atribuído ao gabinete em02/12/2020. 2. O propósito recursal é dizer sobre a validade da cláusula contratual inserida em contrato de cessão de crédito celebrado com um FIDIC que consagra a responsabilidade do cedente pela solvência do devedor. 3. Os FIDCs são regulamentados pela Comissão de Valores Mobiliários (CVM), que editou a Instrução Normativa 356/2001, e são constituídos sob a forma de condomínios abertos ou fechados (art. 3º, I, da IN 356/2001 da CVM), sem personalidade jurídica. Eles atuam no mercado </w:t>
            </w:r>
            <w:r>
              <w:rPr>
                <w:spacing w:val="-8"/>
                <w:sz w:val="20"/>
              </w:rPr>
              <w:t>de </w:t>
            </w:r>
            <w:r>
              <w:rPr>
                <w:sz w:val="20"/>
              </w:rPr>
              <w:t>capitais e são utilizados para a captação de recursos. As empresas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por sua </w:t>
            </w:r>
            <w:r>
              <w:rPr>
                <w:spacing w:val="-5"/>
                <w:sz w:val="20"/>
              </w:rPr>
              <w:t>vez, </w:t>
            </w:r>
            <w:r>
              <w:rPr>
                <w:sz w:val="20"/>
              </w:rPr>
              <w:t>são sociedades empresárias que não exercem qualquer interferência no mercado financeiro. 4. A aquisição de direitos creditórios pelos FIDCs pode se dar de duas formas: por meio (i) de cessão civil de crédito, em conformidade às normas consagradas no Código Civil; ou (&lt;/span&gt;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transparent;"&gt;ii&lt;/span&gt; &lt;span class="NormalTextRun SCXW34652929 BCX0" style="-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5"/>
              <w:rPr>
                <w:sz w:val="20"/>
              </w:rPr>
            </w:pPr>
            <w:r>
              <w:rPr>
                <w:sz w:val="20"/>
              </w:rPr>
              <w:t>webkit-user-drag: none; -webkit-tap-highlight-color: transparent; margin: 0px; padding: </w:t>
            </w:r>
            <w:r>
              <w:rPr>
                <w:spacing w:val="-5"/>
                <w:sz w:val="20"/>
              </w:rPr>
              <w:t>0px; </w:t>
            </w:r>
            <w:r>
              <w:rPr>
                <w:sz w:val="20"/>
              </w:rPr>
              <w:t>user-select: text;"&gt;) de endosso, ato típico do regime cambial. 5.&lt;/span&gt;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transparent;"&gt;Oart&lt;/span&gt; &lt;span class="NormalTextRun SCXW34652929 BCX0" style="-webkit-user-drag: none; -webkit- tap-highlight-color: transparent; margin: 0px; padding: 0px; user-select: text;"&gt;. 2º, XV, da IN CVM 356/2001 prevê expressamente o conceito de coobrigação. É certo que tal previsão foi incluída na&lt;/span&gt; &lt;span class="NormalTextRun ContextualSpellingAndGrammarErrorV2Themed SCXW34652929 BCX0" style="-webkit- user-drag: none; -webkit-tap-highlight-color: transparent; margin: 0px; padding: 0px; user- select: text; background-position: 0px 100%; background-repeat: repeat-x; background- image: url(&amp;quot;data; border-bottom: 1px solid transparent;"&gt;normativa coma&lt;/span&gt;</w:t>
            </w:r>
          </w:p>
          <w:p>
            <w:pPr>
              <w:pStyle w:val="TableParagraph"/>
              <w:spacing w:line="208" w:lineRule="auto" w:before="0"/>
              <w:ind w:right="54"/>
              <w:rPr>
                <w:sz w:val="20"/>
              </w:rPr>
            </w:pPr>
            <w:r>
              <w:rPr>
                <w:sz w:val="20"/>
              </w:rPr>
              <w:t>&lt;span class="NormalTextRun SCXW34652929 BCX0" style="-webkit-user-drag: none; - webkit-tap-highlight-color: transparent; margin: 0px; padding: 0px; user-select: text;"&gt;finalidade de referendar a higidez da cláusula constante de contrato de cessão de crédito convencionado com um FIDC, por meio da qual o cedente garante a solvência do devedor. Não só, não há, no ordenamento jurídico brasileiro, previsão legal que vede os FIDCs de estipular a responsabilidade do cedente pelo pagamento do débito em caso de inadimplemento do devedor e, segundo dispõe o art. 296 do CC/02, o cedente ficará incumbido do pagamento da dívida se houver previsão contratual nesse sentido. 6. É válida, assim, a cláusula contratual por meio da qual o cedente garante a solvência do devedor originário. 7. Recurso especial conhecido e provido.&lt;/span&gt;&lt;/span&gt; &lt;span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w:t>
            </w:r>
            <w:r>
              <w:rPr>
                <w:spacing w:val="-4"/>
                <w:sz w:val="20"/>
              </w:rPr>
              <w:t>&lt;span </w:t>
            </w:r>
            <w:r>
              <w:rPr>
                <w:sz w:val="20"/>
              </w:rPr>
              <w:t>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text;"&gt;(REsp n.</w:t>
            </w:r>
          </w:p>
          <w:p>
            <w:pPr>
              <w:pStyle w:val="TableParagraph"/>
              <w:tabs>
                <w:tab w:pos="3890" w:val="left" w:leader="none"/>
              </w:tabs>
              <w:spacing w:line="208" w:lineRule="auto" w:before="0"/>
              <w:ind w:right="17"/>
              <w:rPr>
                <w:sz w:val="20"/>
              </w:rPr>
            </w:pPr>
            <w:r>
              <w:rPr>
                <w:sz w:val="20"/>
              </w:rPr>
              <w:t>1.909.459/SC, relatora Ministra Nancy Andrighi, Terceira Turma, julgado em 18/5/2021,&lt;/span&gt;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transparent;"&gt;DJe&lt;/span&gt; &lt;span class="NormalTextRun SCXW34652929 BCX0" style="- webkit-user-drag: none; -webkit-tap-highlight-color: transparent; margin: 0px; padding: 0px; user-select: text;"&gt;de 20/5/2021.)&lt;/span&gt;&lt;/span&gt; &lt;span class="EOP SCXW34652929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class="EOP SCXW34652929 BCX0" style="-webkit-user-drag: none; -webkit-tap-highlight-color: transparent; margin: 0px; padding: 0px; user-select: text; font-size: 12pt; line-height: 27px; font-family: Aptos, Aptos_EmbeddedFont, Aptos_MSFontService, sans-serif;"&gt;&amp;#160;&lt;/span&gt;</w:t>
            </w:r>
          </w:p>
          <w:p>
            <w:pPr>
              <w:pStyle w:val="TableParagraph"/>
              <w:spacing w:line="208" w:lineRule="auto" w:before="0"/>
              <w:ind w:right="57"/>
              <w:rPr>
                <w:sz w:val="20"/>
              </w:rPr>
            </w:pPr>
            <w:r>
              <w:rPr>
                <w:sz w:val="20"/>
              </w:rPr>
              <w:t>&lt;/p&gt;&lt;/div&gt;&lt;div class="OutlineElement Ltr SCXW34652929 BCX0" style="-webkit-user- drag: none; -webkit-tap-highlight-color: transparent; margin: 0px; padding: 0px; user-select: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852" w:val="left" w:leader="none"/>
                <w:tab w:pos="4546" w:val="left" w:leader="none"/>
              </w:tabs>
              <w:spacing w:line="208" w:lineRule="auto" w:before="26"/>
              <w:ind w:right="17"/>
              <w:rPr>
                <w:sz w:val="20"/>
              </w:rPr>
            </w:pPr>
            <w:r>
              <w:rPr>
                <w:sz w:val="20"/>
              </w:rPr>
              <w:t>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padding: 0px; user-select: </w:t>
            </w:r>
            <w:r>
              <w:rPr>
                <w:spacing w:val="-4"/>
                <w:sz w:val="20"/>
              </w:rPr>
              <w:t>text; </w:t>
            </w:r>
            <w:r>
              <w:rPr>
                <w:sz w:val="20"/>
              </w:rPr>
              <w:t>overflow-wrap: break-word; white-space-collapse: preserve; vertical-align: baseline; font- kerning: none; background-color: transparent; color: windowtext; text-align: justify; text- indent: 75px;" lang="PT-BR" xml:lang="PT-BR"&gt;</w:t>
              <w:tab/>
              <w:t>&lt;span class="TextRun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 font-variant-ligatures: none !important;" lang="PT-BR" xml:lang="PT-BR"&gt;Ademais, a própria operação de securitização encontra sua regulamentação na Resolução CVM nº 60/2021, que dispõe sobre as companhias securitizadoras registradas na CVM, bem como sobre as emissões públicas de títulos de securitização. Em seu art. 3º, a Resolução determina que as companhias securitizadoras devem requerer o registro na CVM, para poderem operar no setor, em uma das duas categorias possíveis.&lt;/span&gt;</w:t>
              <w:tab/>
              <w:t>&lt;span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text;"&gt;Com isso, entendo que foi acertada a posição adotada pelo douto Magistrado de origem, no sentido de que as empresas autoras, independentemente da nomenclatura utilizada, não podem ser consideradas&lt;/span&gt;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transparent;"&gt;FIDC’s&lt;/span&gt; &lt;span class="NormalTextRun SCXW34652929 BCX0" style="-webkit-user-drag: none; -webkit-tap-highlight-color: transparent; margin: 0px; padding: 0px; user-select: text;"&gt;/securitizadoras, uma vez que não atuam no mercado de capitais e seu capital advém exclusivamente dos seus sócios.</w:t>
            </w:r>
          </w:p>
          <w:p>
            <w:pPr>
              <w:pStyle w:val="TableParagraph"/>
              <w:spacing w:line="208" w:lineRule="auto" w:before="0"/>
              <w:ind w:right="123"/>
              <w:rPr>
                <w:sz w:val="20"/>
              </w:rPr>
            </w:pPr>
            <w:r>
              <w:rPr>
                <w:sz w:val="20"/>
              </w:rPr>
              <w:t>Além disso, as entidades não têm como propósito central gerar rendimentos para os cotistas por meio da gestão ativa da carteira, não contando sequer com o registro perante a CVM. Desse modo, é patente que a atividade desenvolvida pelas apelantes&lt;/span&gt;</w:t>
            </w:r>
          </w:p>
          <w:p>
            <w:pPr>
              <w:pStyle w:val="TableParagraph"/>
              <w:spacing w:line="208" w:lineRule="auto" w:before="0"/>
              <w:ind w:right="77"/>
              <w:rPr>
                <w:sz w:val="20"/>
              </w:rPr>
            </w:pPr>
            <w:r>
              <w:rPr>
                <w:sz w:val="20"/>
              </w:rPr>
              <w:t>&lt;span class="NormalTextRun ContextualSpellingAndGrammarErrorV2Themed SCXW34652929 BCX0" style="-webkit-user-drag: none; -webkit-tap-highlight-color: transparent; margin: 0px; padding: 0px; user-select: text; background-position: 0px 100%; background-repeat: repeat-x; background-image: url(&amp;quot;data; border-bottom: 1px solid transparent;"&gt;volta-se&lt;/span&gt; &lt;span class="NormalTextRun SCXW34652929 BCX0" style="-webkit-user-drag: none; -webkit-tap-highlight-color: transparent; margin: 0px; padding: 0px; user-select: text;"&gt;a buscar lucro por meio da compra de recebíveis com deságio, ou seja, pela diferença entre o valor de face e o valor efetivamente pago, característica central das&lt;/span&gt;&lt;/span&gt; &lt;span class="TextRun SCXW34652929 BCX0" style="-webkit-user-drag: none; -webkit-tap-highlight-color: transparent; margin: 0px; padding: 0px; user-select: text; font-size: 12pt; font-style: italic; line-height: 27px; font- family: &amp;quot;Times New Roman&amp;quot;, &amp;quot;Times New Roman_EmbeddedFont&amp;quot;, &amp;quot;Times New Roman_MSFontService&amp;quot;, serif; font-variant-ligatures: none</w:t>
            </w:r>
          </w:p>
          <w:p>
            <w:pPr>
              <w:pStyle w:val="TableParagraph"/>
              <w:tabs>
                <w:tab w:pos="4346" w:val="left" w:leader="none"/>
                <w:tab w:pos="5319" w:val="left" w:leader="none"/>
              </w:tabs>
              <w:spacing w:line="208" w:lineRule="auto" w:before="0"/>
              <w:ind w:right="183"/>
              <w:rPr>
                <w:sz w:val="20"/>
              </w:rPr>
            </w:pPr>
            <w:r>
              <w:rPr>
                <w:sz w:val="20"/>
              </w:rPr>
              <w:t>!important;" lang="PT-BR" xml:lang="PT-BR"&gt;</w:t>
              <w:tab/>
              <w:t>&lt;span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transparent;"&gt;factorings&lt;/span&gt;</w:t>
              <w:tab/>
              <w:t>&lt;span class="NormalTextRun SCXW34652929 BCX0" style="-webkit-user-drag: none; -webkit-tap-highlight-color: transparent; margin: 0px; padding: 0px; user-select: text;"&gt;,&lt;/span&gt; &lt;/span&gt; &lt;span class="TextRun SCXW34652929 BCX0" style="-webkit-user-drag: none; -webkit-tap-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32"/>
              <w:rPr>
                <w:sz w:val="20"/>
              </w:rPr>
            </w:pPr>
            <w:r>
              <w:rPr>
                <w:sz w:val="20"/>
              </w:rPr>
              <w:t>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xml:lang="PT-BR"&gt;a despeito do verniz de operação de securitização que tenda ser dado.&lt;/span&gt; &lt;span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w:t>
            </w:r>
            <w:r>
              <w:rPr>
                <w:spacing w:val="-4"/>
                <w:sz w:val="20"/>
              </w:rPr>
              <w:t>&lt;span </w:t>
            </w:r>
            <w:r>
              <w:rPr>
                <w:sz w:val="20"/>
              </w:rPr>
              <w:t>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text;"&gt;Nesse</w:t>
            </w:r>
          </w:p>
          <w:p>
            <w:pPr>
              <w:pStyle w:val="TableParagraph"/>
              <w:spacing w:line="208" w:lineRule="auto" w:before="0"/>
              <w:ind w:right="30"/>
              <w:rPr>
                <w:sz w:val="20"/>
              </w:rPr>
            </w:pPr>
            <w:r>
              <w:rPr>
                <w:sz w:val="20"/>
              </w:rPr>
              <w:t>contexto, não identifico na operação das apelantes a securitização de recebíveis no </w:t>
            </w:r>
            <w:r>
              <w:rPr>
                <w:spacing w:val="-3"/>
                <w:sz w:val="20"/>
              </w:rPr>
              <w:t>âmbito </w:t>
            </w:r>
            <w:r>
              <w:rPr>
                <w:sz w:val="20"/>
              </w:rPr>
              <w:t>do mercado financeiro, onde fluxos de caixa viram lastro para valores mobiliários distribuídos a investidores. Por essas razões anteriormente mencionadas, elas não podem ser&lt;/span&gt;  &lt;span class="NormalTextRun ContextualSpellingAndGrammarErrorV2Themed SCXW34652929 BCX0" style="-webkit- user-drag: none; -webkit-tap-highlight-color: transparent; margin: 0px; padding: 0px; user- select: text; background-position: 0px 100%; background-repeat: repeat-x; background- image: url(&amp;quot;data; border-bottom: 1px solid transparent;"&gt;caracterizada&lt;/span&gt;</w:t>
            </w:r>
          </w:p>
          <w:p>
            <w:pPr>
              <w:pStyle w:val="TableParagraph"/>
              <w:tabs>
                <w:tab w:pos="6781" w:val="left" w:leader="none"/>
              </w:tabs>
              <w:spacing w:line="208" w:lineRule="auto" w:before="0"/>
              <w:ind w:right="99"/>
              <w:rPr>
                <w:sz w:val="20"/>
              </w:rPr>
            </w:pPr>
            <w:r>
              <w:rPr>
                <w:sz w:val="20"/>
              </w:rPr>
              <w:t>&lt;span class="NormalTextRun SCXW34652929 BCX0" style="-webkit-user-drag: none; - webkit-tap-highlight-color: transparent; margin: 0px; padding: 0px; user-select: text;"&gt;como FIDC, mas sim como empresas de&lt;/span&gt;&lt;/span&gt; &lt;span class="TextRun SCXW34652929 BCX0" style="-webkit-user-drag: none; -webkit-tap-highlight-color: transparent; margin: 0px; padding: 0px; user-select: text; font-size: 12pt; font-style: italic; line-height: 27px; font-family: &amp;quot;Times New Roman&amp;quot;, &amp;quot;Times New Roman_EmbeddedFont&amp;quot;, &amp;quot;Times New Roman_MSFontService&amp;quot;, serif; font-variant-ligatures: none !important;" lang="PT-BR" xml:lang="PT-BR"&gt;</w:t>
              <w:tab/>
              <w:t>&lt;span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&lt;/span&gt;</w:t>
            </w:r>
          </w:p>
          <w:p>
            <w:pPr>
              <w:pStyle w:val="TableParagraph"/>
              <w:spacing w:line="208" w:lineRule="auto" w:before="0"/>
              <w:ind w:right="42"/>
              <w:rPr>
                <w:sz w:val="20"/>
              </w:rPr>
            </w:pPr>
            <w:r>
              <w:rPr>
                <w:sz w:val="20"/>
              </w:rPr>
              <w:t>&lt;span class="TextRun SCXW34652929 BCX0" style="-webkit-user-drag: none; -webkit- tap-highlight-color: transparent; margin: 0px; padding: 0px; user-select: text; font-size: </w:t>
            </w:r>
            <w:r>
              <w:rPr>
                <w:spacing w:val="-4"/>
                <w:sz w:val="20"/>
              </w:rPr>
              <w:t>12pt; </w:t>
            </w:r>
            <w:r>
              <w:rPr>
                <w:sz w:val="20"/>
              </w:rPr>
              <w:t>line-height: 27px; font-family: &amp;quot;Times New Roman&amp;quot;, &amp;quot;Times New Roman_EmbeddedFont&amp;quot;, &amp;quot;Times New Roman_MSFontService&amp;quot;, serif; font-variant-ligatures: none !important;" lang="PT-BR" xml:lang="PT-BR"&gt;.&lt;/span&gt; &lt;span class="EOP SCXW34652929 BCX0" style="-webkit-user-drag: none; -webkit-tap-highlight- 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xml:lang="PT-BR"&gt;Reitera-se, ainda, que o contrato em discussão se fundamenta na atividade típica de fomento mercantil (&lt;/span&gt; &lt;span class="TextRun SCXW34652929 BCX0" style="-webkit-user-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82" w:val="left" w:leader="none"/>
              </w:tabs>
              <w:spacing w:line="208" w:lineRule="auto" w:before="26"/>
              <w:ind w:right="68"/>
              <w:rPr>
                <w:sz w:val="20"/>
              </w:rPr>
            </w:pPr>
            <w:r>
              <w:rPr>
                <w:sz w:val="20"/>
              </w:rPr>
              <w:t>drag: none; -webkit-tap-highlight-color: transparent; margin: 0px; padding: 0px; user-select: text; font-size: 12pt; font-style: italic; line-height: 27px; font-family: &amp;quot;Times New Roman&amp;quot;, &amp;quot;Times New Roman_EmbeddedFont&amp;quot;, &amp;quot;Times New Roman_MSFontService&amp;quot;, serif; font-variant-ligatures: none !important;" </w:t>
            </w:r>
            <w:r>
              <w:rPr>
                <w:spacing w:val="-2"/>
                <w:sz w:val="20"/>
              </w:rPr>
              <w:t>lang="PT-BR" </w:t>
            </w:r>
            <w:r>
              <w:rPr>
                <w:sz w:val="20"/>
              </w:rPr>
              <w:t>xml:lang="PT-BR"&gt;</w:t>
              <w:tab/>
              <w:t>&lt;span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transparent;"&gt;factoring&lt;/span&gt; &lt;/span&gt;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w:t>
            </w:r>
            <w:r>
              <w:rPr>
                <w:spacing w:val="-2"/>
                <w:sz w:val="20"/>
              </w:rPr>
              <w:t>lang="PT-BR" </w:t>
            </w:r>
            <w:r>
              <w:rPr>
                <w:sz w:val="20"/>
              </w:rPr>
              <w:t>xml:lang="PT-BR"&gt;), realizada por uma sociedade empresária dessa natureza.&lt;/span&gt;</w:t>
            </w:r>
          </w:p>
          <w:p>
            <w:pPr>
              <w:pStyle w:val="TableParagraph"/>
              <w:spacing w:line="208" w:lineRule="auto" w:before="0"/>
              <w:ind w:right="132"/>
              <w:rPr>
                <w:sz w:val="20"/>
              </w:rPr>
            </w:pPr>
            <w:r>
              <w:rPr>
                <w:sz w:val="20"/>
              </w:rPr>
              <w:t>&lt;span class="EOP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 &lt;span class="TextRun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 &lt;span class="NormalTextRun SCXW34652929 BCX0" style="-webkit-user-drag: none; -webkit- tap-highlight-color: transparent; margin: 0px; padding: 0px; user-select: text;"&gt;Em razão disso, a&lt;/span&gt; &lt;span class="NormalTextRun SpellingErrorV2Themed SCXW34652929</w:t>
            </w:r>
          </w:p>
          <w:p>
            <w:pPr>
              <w:pStyle w:val="TableParagraph"/>
              <w:spacing w:line="208" w:lineRule="auto" w:before="0"/>
              <w:rPr>
                <w:sz w:val="20"/>
              </w:rPr>
            </w:pPr>
            <w:r>
              <w:rPr>
                <w:sz w:val="20"/>
              </w:rPr>
              <w:t>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17"/>
              <w:rPr>
                <w:sz w:val="20"/>
              </w:rPr>
            </w:pPr>
            <w:r>
              <w:rPr>
                <w:sz w:val="20"/>
              </w:rPr>
              <w:t>repeat-x; background-image: url(&amp;quot;data; border-bottom: 1px solid transparent;"&gt;faturizadora&lt;/span&gt; &lt;span class="NormalTextRun SCXW34652929 BCX0" style="-webkit-user-drag: none; -webkit-tap-highlight-color: transparent; margin: 0px; padding: 0px; user-select: text;"&gt;não possui direito de regresso contra a&lt;/span&gt;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transparent;"&gt;faturizada&lt;/span&gt; &lt;span class="NormalTextRun SCXW34652929 BCX0" style="-webkit-user-drag: none; -webkit- tap-highlight-color: transparent; margin: 0px; padding: 0px; user-select: text;"&gt;sob alegação de inadimplemento dos títulos transferidos, porque esse risco é da essência do contrato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17"/>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 sendo nula a cláusula de recompra que retira da empresa de&lt;/span&gt;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transparent;"&gt;factoring&lt;/span&gt; &lt;span class="NormalTextRun SCXW34652929 BCX0" style="-webkit-user-drag: none; -webkit-tap-highlight-color: transparent; margin: 0px; padding: 0px; user-select: text;"&gt;os riscos inerentes a esse tipo de contrato, nos termos da consolidada jurisprudência do STJ.&lt;/span&gt;&lt;/span&gt; &lt;span class="EOP SCXW34652929 BCX0" style="-webkit-user-drag: none; -webkit-tap-highlight-color: transparent; margin: </w:t>
            </w:r>
            <w:r>
              <w:rPr>
                <w:spacing w:val="-5"/>
                <w:sz w:val="20"/>
              </w:rPr>
              <w:t>0px; </w:t>
            </w:r>
            <w:r>
              <w:rPr>
                <w:sz w:val="20"/>
              </w:rPr>
              <w:t>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581" w:val="left" w:leader="none"/>
              </w:tabs>
              <w:spacing w:line="208" w:lineRule="auto" w:before="26"/>
              <w:ind w:right="21"/>
              <w:rPr>
                <w:sz w:val="20"/>
              </w:rPr>
            </w:pPr>
            <w:r>
              <w:rPr>
                <w:sz w:val="20"/>
              </w:rPr>
              <w:t>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xml:lang="PT-BR"&gt;Nesse velejar, colaciono alguns precedentes do Tribunal da Cidadania:&lt;/span&gt; &lt;span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class="EOP SCXW34652929 BCX0" style="-webkit-user-drag: none; -webkit-tap-highlight- 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296"/>
              <w:rPr>
                <w:sz w:val="20"/>
              </w:rPr>
            </w:pPr>
            <w:r>
              <w:rPr>
                <w:sz w:val="20"/>
              </w:rPr>
              <w:t>font-variant-ligatures: none !important;" lang="PT-BR" xml:lang="PT-BR"&gt; &lt;span class="NormalTextRun SCXW34652929 BCX0" style="-webkit-user-drag: none; -webkit- tap-highlight-color: transparent; margin: 0px; padding: 0px; user-select: text;"&gt;AGRAVO INTERNO. AGRAVO EM RECURSO ESPECIAL. AÇÃO DECLARATÓRIA. NOTA PROMISSÓRIA. FOMENTO MERCANTIL. INADIMPLEMENTO DE TÍTULOS TRANSFERIDOS. DIREITO DE REGRESSO. NÃO CABIMENTO. RISCO QUE É DA ESSÊNCIA DO CONTRATO DE FACTORING. 1. A&lt;/span&gt; &lt;span</w:t>
            </w:r>
          </w:p>
          <w:p>
            <w:pPr>
              <w:pStyle w:val="TableParagraph"/>
              <w:spacing w:line="208" w:lineRule="auto" w:before="0"/>
              <w:ind w:right="17"/>
              <w:rPr>
                <w:sz w:val="20"/>
              </w:rPr>
            </w:pPr>
            <w:r>
              <w:rPr>
                <w:sz w:val="20"/>
              </w:rPr>
              <w:t>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transparent;"&gt;faturizadora&lt;/span&gt; &lt;span class="NormalTextRun SCXW34652929 BCX0" style="-webkit-user-drag: none; -webkit- tap-highlight-color: transparent; margin: 0px; padding: 0px; user-select: text;"&gt;não tem direito de regresso contra 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 transparent; margin: 0px; padding: 0px; user-select: text;"&gt;sob alegação de inadimplemento dos títulos transferidos, porque esse risco é da essência do contrato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298"/>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 2. Agravo interno a que se nega provimento. (&lt;/span&gt;</w:t>
            </w:r>
          </w:p>
          <w:p>
            <w:pPr>
              <w:pStyle w:val="TableParagraph"/>
              <w:spacing w:line="208" w:lineRule="auto" w:before="0"/>
              <w:ind w:right="75"/>
              <w:rPr>
                <w:sz w:val="20"/>
              </w:rPr>
            </w:pPr>
            <w:r>
              <w:rPr>
                <w:sz w:val="20"/>
              </w:rPr>
              <w:t>&lt;span class="NormalTextRun SpellingErrorV2Themed SCXW34652929 BCX0" style="- webkit-user-drag: none; -webkit-tap-highlight-color: transparent; margin: 0px; padding: 0px;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20"/>
              <w:rPr>
                <w:sz w:val="20"/>
              </w:rPr>
            </w:pPr>
            <w:r>
              <w:rPr>
                <w:sz w:val="20"/>
              </w:rPr>
              <w:t>user-select: text; background-position: 0px 100%; background-repeat: repeat-x; background-image: url(&amp;quot;data; border-bottom: 1px solid transparent;"&gt;AgInt&lt;/span&gt;</w:t>
            </w:r>
          </w:p>
          <w:p>
            <w:pPr>
              <w:pStyle w:val="TableParagraph"/>
              <w:spacing w:line="208" w:lineRule="auto" w:before="0"/>
              <w:ind w:right="17"/>
              <w:rPr>
                <w:sz w:val="20"/>
              </w:rPr>
            </w:pPr>
            <w:r>
              <w:rPr>
                <w:sz w:val="20"/>
              </w:rPr>
              <w:t>&lt;span class="NormalTextRun SCXW34652929 BCX0" style="-webkit-user-drag: none; - webkit-tap-highlight-color: transparent; margin: 0px; padding: 0px; user-select: text;"&gt;no&lt;/span&gt; &lt;span class="NormalTextRun SpellingErrorV2Themed SCXW34652929 BCX0" style="-webkit-user-drag: none; -webkit-tap-highlight-color: transparent; margin: 0px; padding: 0px; user-select: text; background-position: 0px 100%; background-repeat:</w:t>
            </w:r>
          </w:p>
          <w:p>
            <w:pPr>
              <w:pStyle w:val="TableParagraph"/>
              <w:spacing w:line="208" w:lineRule="auto" w:before="0"/>
              <w:ind w:right="186"/>
              <w:rPr>
                <w:sz w:val="20"/>
              </w:rPr>
            </w:pPr>
            <w:r>
              <w:rPr>
                <w:sz w:val="20"/>
              </w:rPr>
              <w:t>repeat-x; background-image: url(&amp;quot;data; border-bottom: 1px solid transparent;"&gt;AREsp&lt;/span&gt; &lt;span class="NormalTextRun SCXW34652929 BCX0" style="-webkit-user-drag: none; -webkit-tap-highlight-color: transparent; margin: 0px; padding: 0px; user-select: text;"&gt;n. 2.182.647/SP, relatora Ministra Maria Isabel Gallotti, Quarta Turma, julgado em 2.10.2023,&lt;/span&gt;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transparent;"&gt;DJe&lt;/span&gt; &lt;span class="NormalTextRun SCXW34652929 BCX0" style="-webkit-user-drag: none; -webkit-tap-highlight-color: transparent; margin: 0px; padding: 0px; user-select: text;"&gt;de 5.10.2023.)&lt;/span&gt;&lt;/span&gt;</w:t>
            </w:r>
          </w:p>
          <w:p>
            <w:pPr>
              <w:pStyle w:val="TableParagraph"/>
              <w:spacing w:line="208" w:lineRule="auto" w:before="0"/>
              <w:ind w:right="164"/>
              <w:rPr>
                <w:sz w:val="20"/>
              </w:rPr>
            </w:pPr>
            <w:r>
              <w:rPr>
                <w:sz w:val="20"/>
              </w:rPr>
              <w:t>&lt;span class="EOP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89"/>
              <w:rPr>
                <w:sz w:val="20"/>
              </w:rPr>
            </w:pPr>
            <w:r>
              <w:rPr>
                <w:sz w:val="20"/>
              </w:rPr>
              <w:t>font-variant-ligatures: none !important;" lang="PT-BR" xml:lang="PT-BR"&gt; &lt;span class="NormalTextRun SCXW34652929 BCX0" style="-webkit-user-drag: none; -webkit- tap-highlight-color: transparent; margin: 0px; padding: 0px; user-select: text;"&gt;AGRAVO INTERNO NO AGRAVO EM RECURSO ESPECIAL. PROCESSUAL CIVIL. RECONSIDERAÇÃO DA DECISÃO DA PRESIDÊNCIA. VIOLAÇÃO AO ART. 373, I, DO CPC. AUSÊNCIA DE PREQUESTIONAMENTO. SÚMULAS 282 E 356 DO STF. CONTRATO DE FACTORING. RESPONSABILIDADE DO CEDENTE. CLÁUSULA DE RECOMPRA. IMPOSSIBILIDADE. CONSONÂNCIA DO ACÓRDÃO RECORRIDO COM </w:t>
            </w:r>
            <w:r>
              <w:rPr>
                <w:spacing w:val="-18"/>
                <w:sz w:val="20"/>
              </w:rPr>
              <w:t>A </w:t>
            </w:r>
            <w:r>
              <w:rPr>
                <w:sz w:val="20"/>
              </w:rPr>
              <w:t>JURISPRUDÊNCIA DESTA CORTE. SÚMULA 83/STJ. AGRAVO INTERNO PROVIDO. AGRAVO EM RECURSO ESPECIAL CONHECIDO PARA NEGAR PROVIMENTO AO</w:t>
            </w:r>
          </w:p>
          <w:p>
            <w:pPr>
              <w:pStyle w:val="TableParagraph"/>
              <w:spacing w:line="208" w:lineRule="auto" w:before="0"/>
              <w:rPr>
                <w:sz w:val="20"/>
              </w:rPr>
            </w:pPr>
            <w:r>
              <w:rPr>
                <w:sz w:val="20"/>
              </w:rPr>
              <w:t>RECURSO ESPECIAL. 1. Não enseja a interposição de recurso especial matéria que não tenha sido debatida no acórdão recorrido e sobre a qual não tenham sido opostos embargos de declaração, a fim de suprir eventual omissão. Ausente o indispensável prequestionamento, aplicam-se, por analogia, as Súmulas 282 e 356 do STF. 2.</w:t>
            </w:r>
            <w:r>
              <w:rPr>
                <w:spacing w:val="6"/>
                <w:sz w:val="20"/>
              </w:rPr>
              <w:t> </w:t>
            </w:r>
            <w:r>
              <w:rPr>
                <w:spacing w:val="-3"/>
                <w:sz w:val="20"/>
              </w:rPr>
              <w:t>A&lt;/span&gt;</w:t>
            </w:r>
          </w:p>
          <w:p>
            <w:pPr>
              <w:pStyle w:val="TableParagraph"/>
              <w:spacing w:line="208" w:lineRule="auto" w:before="0"/>
              <w:ind w:right="67"/>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transparent;"&gt;faturizadora&lt;/span&gt; &lt;span class="NormalTextRun SCXW34652929 </w:t>
            </w:r>
            <w:r>
              <w:rPr>
                <w:spacing w:val="-4"/>
                <w:sz w:val="20"/>
              </w:rPr>
              <w:t>BCX0" </w:t>
            </w:r>
            <w:r>
              <w:rPr>
                <w:sz w:val="20"/>
              </w:rPr>
              <w:t>style="-webkit-user-drag: none; -webkit-tap-highlight-color: transparent; margin: 0px; padding: 0px; user-select: text;"&gt;não tem direito de regresso contra a&lt;/span&gt; &lt;span class="NormalTextRun SpellingErrorV2Themed SCXW34652929 BCX0" style="-webkit- user-drag: none; -webkit-tap-highlight-color: transparent; margin: 0px; padding: 0px; user-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
              <w:rPr>
                <w:sz w:val="20"/>
              </w:rPr>
            </w:pPr>
            <w:r>
              <w:rPr>
                <w:sz w:val="20"/>
              </w:rPr>
              <w:t>select: text; background-position: 0px 100%; background-repeat: repeat-x; background- image: url(&amp;quot;data; border-bottom: 1px solid transparent;"&gt;faturizada&lt;/span&gt; &lt;span class="NormalTextRun SCXW34652929 BCX0" style="-webkit-user-drag: none; -webkit- tap-highlight-color: transparent; margin: 0px; padding: 0px; user-select: text;"&gt;sob alegação de inadimplemento dos títulos transferidos, porque esse risco é da essência do contrato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63"/>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 Precedentes. 3. Segundo a jurisprudência desta Corte, 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transparent;"&gt;faturizada&lt;/span&gt; &lt;span class="NormalTextRun SCXW34652929 BCX0" style="-webkit-user-drag: none; -webkit-tap-highlight-color: transparent; margin: 0px; padding: 0px; user-select: text;"&gt;não responde pelo simples inadimplemento de títulos transferidos, salvo se der causa ao inadimplemento do devedor, sendo nula a cláusula de recompra que retira da empresa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text;"&gt;os riscos inerentes a esse tipo de contrato. 4. O entendimento adotado no acórdão recorrido coincide com a jurisprudência assente desta Corte Superior, circunstância que atrai a incidência da Súmula 83/STJ. 5. Agravo interno provido para conhecer do agravo e negar provimento ao recurso especial.&lt;/span&gt;&lt;/span&gt; &lt;span class="EOP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w:t>
            </w:r>
          </w:p>
          <w:p>
            <w:pPr>
              <w:pStyle w:val="TableParagraph"/>
              <w:spacing w:line="208" w:lineRule="auto" w:before="0"/>
              <w:ind w:right="40"/>
              <w:rPr>
                <w:sz w:val="20"/>
              </w:rPr>
            </w:pPr>
            <w:r>
              <w:rPr>
                <w:sz w:val="20"/>
              </w:rPr>
              <w:t>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transparent;"&gt;AgInt&lt;/span&gt; &lt;span class="NormalTextRun SCXW34652929 BCX0" style="-webkit-user-drag: none; -webkit-tap-highlight-color: transparent; margin: 0px; padding: 0px; user-select: text;"&gt;no&lt;/span&gt;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transparent;"&gt;AREsp&lt;/span&gt; &lt;span class="NormalTextRun SCXW34652929 BCX0" style="-webkit-user-drag: none; -webkit-tap-highlight-color: transparent; margin: 0px; padding: 0px; user-select: text;"&gt;n. 2.368.404/ES, relator Ministro Raul Araújo, Quarta Turma, julgado em 18.9.2023,&lt;/span&gt;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transparent;"&gt;DJe&lt;/span&gt; &lt;span class="NormalTextRun SCXW34652929 BCX0" style="-webkit-user-drag: none; -webkit-tap-highlight-color: transparent; margin: 0px; padding: 0px; user-select: text;"&gt;de 22.9.2023.)&lt;/span&gt;&lt;/span&gt;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64"/>
              <w:rPr>
                <w:sz w:val="20"/>
              </w:rPr>
            </w:pPr>
            <w:r>
              <w:rPr>
                <w:sz w:val="20"/>
              </w:rPr>
              <w:t>&lt;span class="EOP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100"/>
              <w:rPr>
                <w:sz w:val="20"/>
              </w:rPr>
            </w:pPr>
            <w:r>
              <w:rPr>
                <w:sz w:val="20"/>
              </w:rPr>
              <w:t>font-variant-ligatures: none !important;" lang="PT-BR" xml:lang="PT-BR"&gt; &lt;span class="NormalTextRun SCXW34652929 BCX0" style="-webkit-user-drag: none; -webkit- tap-highlight-color: transparent; margin: 0px; padding: 0px; user-select: text;"&gt;PROCESSUAL CIVIL E EMPRESARIAL. AGRAVO INTERNO NO RECURSO ESPECIAL. EMBARGOS À EXECUÇÃO. CONTRATO DE FACTORING. RESPONSABILIDADE DA FATURIZADA PELA SOLVÊNCIA DOS CRÉDITOS CEDIDOS À FATURIZADORA. IMPOSSIBILIDADE. PREVISÃO EM CLÁUSULA CONTRATUAL, COM EMISSÃO DE NOTA PROMISSÓRIA DESTINADA A GARANTIR O CRÉDITO CEDIDO. NULIDADE. AVAL APOSTO NA NOTA PROMISSÓRIA. INSUBSISTÊNCIA. VÍCIOS NO TÍTULO. REEXAME DO CONJUNTO IMPOSSIBILIDADE. SÚMULA 7/STJ. 1.</w:t>
            </w:r>
          </w:p>
          <w:p>
            <w:pPr>
              <w:pStyle w:val="TableParagraph"/>
              <w:spacing w:line="208" w:lineRule="auto" w:before="0"/>
              <w:ind w:right="186"/>
              <w:rPr>
                <w:sz w:val="20"/>
              </w:rPr>
            </w:pPr>
            <w:r>
              <w:rPr>
                <w:sz w:val="20"/>
              </w:rPr>
              <w:t>Ação de embargos à execução. FÁTICO-PROBATÓRIO. 2. É pacífico na jurisprudência desta Corte que 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transparent;"&gt;faturizada&lt;/span&gt; &lt;span class="NormalTextRun SCXW34652929 BCX0" style="-webkit-user-drag: none; -webkit-tap-highlight-color: transparent; margin: 0px; padding: 0px; user-select: text;"&gt;não responde pelo simples inadimplemento dos títulos cedidos, salvo se der causa à inadimplência do devedor, sob pena de retirar da&lt;/span&gt;</w:t>
            </w:r>
          </w:p>
          <w:p>
            <w:pPr>
              <w:pStyle w:val="TableParagraph"/>
              <w:spacing w:line="208" w:lineRule="auto" w:before="0"/>
              <w:ind w:right="20"/>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transparent;"&gt;faturizadora&lt;/span&gt; &lt;span class="NormalTextRun SCXW34652929 BCX0" style="-webkit-user-drag: none; -webkit-tap-highlight-color: transparent; margin: 0px; padding: 0px; user-select: text;"&gt;o risco inerente aos contratos dessa natureza. 3. Segundo a jurisprudência dominante do STJ, considerando a impossibilidade de a&lt;/span&gt;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transparent;"&gt;faturizada&lt;/span&gt; &lt;span class="NormalTextRun SCXW34652929 BCX0" style="-webkit-user-drag: none; -webkit- tap-highlight-color: transparent; margin: 0px; padding: 0px; user-select: text;"&gt;/cedente responder pela insolvência dos créditos cedidos, é de se reconhecer a nulidade da disposição contratual nesse sentido, o que compromete a própria existência de eventuais títulos de créditos emitidos com o fim de garantir a operação de fomento mercantil, sendo, de igual modo, insubsistente o aval ali inserido. 4. Diante do cenário fático delimitado pelo acórdão recorrido, avaliar a caracterização ou não de vícios de existência dos títulos cedidos demandaria o reexame do conjunto fático-probatório dos autos, o que é vedado, em sede de recurso especial, por força da Súmula 7/STJ. 5. Hipótese em que, diante do mero inadimplemento do título cedido, o Tribunal de&lt;/span&gt;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7"/>
              <w:rPr>
                <w:sz w:val="20"/>
              </w:rPr>
            </w:pPr>
            <w:r>
              <w:rPr>
                <w:sz w:val="20"/>
              </w:rPr>
              <w:t>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transparent;"&gt;origemdecidiu&lt;/span&gt;</w:t>
            </w:r>
          </w:p>
          <w:p>
            <w:pPr>
              <w:pStyle w:val="TableParagraph"/>
              <w:spacing w:line="208" w:lineRule="auto" w:before="0"/>
              <w:ind w:right="24"/>
              <w:rPr>
                <w:sz w:val="20"/>
              </w:rPr>
            </w:pPr>
            <w:r>
              <w:rPr>
                <w:sz w:val="20"/>
              </w:rPr>
              <w:t>&lt;span class="NormalTextRun SCXW34652929 BCX0" style="-webkit-user-drag: none; - webkit-tap-highlight-color: transparent; margin: 0px; padding: 0px; user-select: text;"&gt;pela possibilidade do direito de regresso da&lt;/span&gt;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transparent;"&gt;faturizadora&lt;/span&gt; &lt;span class="NormalTextRun SCXW34652929 BCX0" style="-webkit-user-drag: none; -webkit-tap-highlight-color: transparent; margin: 0px; padding: 0px; user-select: text;"&gt;contra o&lt;/span&gt;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transparent;"&gt;faturizado&lt;/span&gt; &lt;span class="NormalTextRun SCXW34652929 BCX0" style="-webkit-user-drag: none; -webkit- tap-highlight-color: transparent; margin: 0px; padding: 0px; user-select: text;"&gt;e o recorrente (avalista), reconhecendo a validade da cláusula contratual nesse sentido, da nota promissória destinada a garantir o crédito cedido e do aval nela aposto, contrariando, assim, a jurisprudência desta Corte. 6. Agravo interno não provido.&lt;/span&gt;&lt;/span&gt; </w:t>
            </w:r>
            <w:r>
              <w:rPr>
                <w:spacing w:val="-4"/>
                <w:sz w:val="20"/>
              </w:rPr>
              <w:t>&lt;span </w:t>
            </w:r>
            <w:r>
              <w:rPr>
                <w:sz w:val="20"/>
              </w:rPr>
              <w:t>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296"/>
              <w:rPr>
                <w:sz w:val="20"/>
              </w:rPr>
            </w:pPr>
            <w:r>
              <w:rPr>
                <w:sz w:val="20"/>
              </w:rPr>
              <w:t>font-variant-ligatures: none !important;" lang="PT-BR" xml:lang="PT-BR"&gt; &lt;span class="NormalTextRun SCXW34652929 BCX0" style="-webkit-user-drag: none; </w:t>
            </w:r>
            <w:r>
              <w:rPr>
                <w:spacing w:val="-3"/>
                <w:sz w:val="20"/>
              </w:rPr>
              <w:t>-webkit- </w:t>
            </w:r>
            <w:r>
              <w:rPr>
                <w:sz w:val="20"/>
              </w:rPr>
              <w:t>tap-highlight-color: transparent; margin: 0px; padding: 0px; user-select: text;"&gt;(&lt;/span&gt;</w:t>
            </w:r>
          </w:p>
          <w:p>
            <w:pPr>
              <w:pStyle w:val="TableParagraph"/>
              <w:spacing w:line="208" w:lineRule="auto" w:before="0"/>
              <w:ind w:right="75"/>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transparent;"&gt;AgInt&lt;/span&gt;</w:t>
            </w:r>
          </w:p>
          <w:p>
            <w:pPr>
              <w:pStyle w:val="TableParagraph"/>
              <w:spacing w:line="208" w:lineRule="auto" w:before="0"/>
              <w:ind w:right="75"/>
              <w:rPr>
                <w:sz w:val="20"/>
              </w:rPr>
            </w:pPr>
            <w:r>
              <w:rPr>
                <w:sz w:val="20"/>
              </w:rPr>
              <w:t>&lt;span class="NormalTextRun SCXW34652929 BCX0" style="-webkit-user-drag: none; - webkit-tap-highlight-color: transparent; margin: 0px; padding: 0px; user-select: text;"&gt;nos&lt;/span&gt;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transparent;"&gt;EDcl&lt;/span&gt; &lt;span class="NormalTextRun SCXW34652929 BCX0" style="-webkit-user-drag: none; -webkit-tap-highlight-color: transparent; margin: 0px; padding: 0px; user-select: text;"&gt;no REsp n. 1.997.728/SP, relatora Ministra Nancy Andrighi, Terceira Turma, julgado em 10.10.2022,&lt;/span&gt;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transparent;"&gt;DJe&lt;/span&gt; &lt;span class="NormalTextRun SCXW34652929 BCX0" style="-webkit-user-drag: none; -webkit-tap-highlight-color: transparent; margin: 0px; padding: 0px; user-select: text;"&gt;de</w:t>
            </w:r>
            <w:r>
              <w:rPr>
                <w:spacing w:val="-17"/>
                <w:sz w:val="20"/>
              </w:rPr>
              <w:t> </w:t>
            </w:r>
            <w:r>
              <w:rPr>
                <w:sz w:val="20"/>
              </w:rPr>
              <w:t>13.10.2022.)&lt;/span&gt;&lt;/span&gt;</w:t>
            </w:r>
          </w:p>
          <w:p>
            <w:pPr>
              <w:pStyle w:val="TableParagraph"/>
              <w:spacing w:line="208" w:lineRule="auto" w:before="0"/>
              <w:ind w:right="164"/>
              <w:rPr>
                <w:sz w:val="20"/>
              </w:rPr>
            </w:pPr>
            <w:r>
              <w:rPr>
                <w:sz w:val="20"/>
              </w:rPr>
              <w:t>&lt;span class="EOP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43"/>
              <w:rPr>
                <w:sz w:val="20"/>
              </w:rPr>
            </w:pPr>
            <w:r>
              <w:rPr>
                <w:sz w:val="20"/>
              </w:rPr>
              <w:t>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19"/>
              <w:rPr>
                <w:sz w:val="20"/>
              </w:rPr>
            </w:pPr>
            <w:r>
              <w:rPr>
                <w:sz w:val="20"/>
              </w:rPr>
              <w:t>&lt;span class="EOP SCXW34652929 BCX0" style="-webkit-user-drag: none; -webkit-tap- highlight-color: transparent; margin: 0px; padding: 0px; user-select: text; font-size: 12pt; line-height: 20.7px; font-family: Aptos, Aptos_EmbeddedFont, Aptos_MSFontService, </w:t>
            </w:r>
            <w:r>
              <w:rPr>
                <w:spacing w:val="-4"/>
                <w:sz w:val="20"/>
              </w:rPr>
              <w:t>sans- </w:t>
            </w:r>
            <w:r>
              <w:rPr>
                <w:sz w:val="20"/>
              </w:rPr>
              <w:t>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122"/>
              <w:rPr>
                <w:sz w:val="20"/>
              </w:rPr>
            </w:pPr>
            <w:r>
              <w:rPr>
                <w:sz w:val="20"/>
              </w:rPr>
              <w:t>font-variant-ligatures: none !important;" lang="PT-BR" xml:lang="PT-BR"&gt; &lt;span class="NormalTextRun SCXW34652929 BCX0" style="-webkit-user-drag: none; -webkit- tap-highlight-color: transparent; margin: 0px; padding: 0px; user-select: text;"&gt;RECURSO ESPECIAL. EMBARGOS À EXECUÇÃO. NEGATIVA DE PRESTAÇÃO JURISDICIONAL. AUSÊNCIA. EXECUÇÃO DE TÍTULO EXTRAJUDICIAL. CONTRATO DE CONFISSÃO DE DÍVIDA CUJO FUNDAMENTO É A AQUISIÇÃO DE TÍTULO EM OPERAÇÃO DE FOMENTO MERCANTIL. FACTORING. AUSÊNCIA DE DIREITO DE REGRESSO. RISCO DA ATIVIDADE MERCANTIL. INVALIDADE. RECURSO ESPECIAL</w:t>
            </w:r>
          </w:p>
          <w:p>
            <w:pPr>
              <w:pStyle w:val="TableParagraph"/>
              <w:spacing w:line="208" w:lineRule="auto" w:before="0"/>
              <w:ind w:right="75"/>
              <w:rPr>
                <w:sz w:val="20"/>
              </w:rPr>
            </w:pPr>
            <w:r>
              <w:rPr>
                <w:sz w:val="20"/>
              </w:rPr>
              <w:t>DESPROVIDO. 1. Embargos à execução, opostos em 12/6/2019, dos quais foi extraído o presente recurso especial, interposto em 31/5/2023 e concluso ao gabinete em 28/11/2023. 2. O propósito recursal consiste em decidir se é válido o instrumento de confissão de dívida decorrente de contrato de fomento mercantil (&lt;/span&gt;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3. Não há ofensa aos&lt;/span&gt;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transparent;"&gt;arts&lt;/span&gt; &lt;span class="NormalTextRun SCXW34652929 BCX0" style="- webkit-user-drag: none; -webkit-tap-highlight-color: transparent; margin: 0px; padding: 0px; user-select: text;"&gt;. 489 e 1.022 do CPC quando o Tribunal de origem examina, de forma fundamentada, a questão submetida à apreciação judicial e na medida necessária para o deslinde da controvérsia, ainda que&lt;/span&gt;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transparent;"&gt;emsentido&lt;/span&gt; &lt;span class="NormalTextRun SCXW34652929 BCX0" style="-webkit-user-drag: none; -webkit-tap-highlight-color: transparent; margin: 0px; padding: 0px; user-select: text;"&gt;contrário à pretensão da parte.</w:t>
            </w:r>
          </w:p>
          <w:p>
            <w:pPr>
              <w:pStyle w:val="TableParagraph"/>
              <w:spacing w:line="208" w:lineRule="auto" w:before="0"/>
              <w:ind w:right="-1"/>
              <w:rPr>
                <w:sz w:val="20"/>
              </w:rPr>
            </w:pPr>
            <w:r>
              <w:rPr>
                <w:sz w:val="20"/>
              </w:rPr>
              <w:t>4. O&lt;/span&gt; &lt;span class="NormalTextRun SpellingErrorV2Themed SCXW34652929 BCX0" style="-webkit-user-drag: none; -webkit-tap-highlight-color: transparent; margin: 0px; padding: 0px; user-select: text; background-position: 0px 100%; background-repeat:</w:t>
            </w:r>
          </w:p>
          <w:p>
            <w:pPr>
              <w:pStyle w:val="TableParagraph"/>
              <w:spacing w:line="208" w:lineRule="auto" w:before="0"/>
              <w:ind w:right="75"/>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text;"&gt;(faturização ou fomento mercantil) pode ser definido, em linhas gerais, como a operação mercantil por meio da qual determinada empresa (&lt;/span&gt;</w:t>
            </w:r>
          </w:p>
          <w:p>
            <w:pPr>
              <w:pStyle w:val="TableParagraph"/>
              <w:spacing w:line="208" w:lineRule="auto" w:before="0"/>
              <w:ind w:right="75"/>
              <w:rPr>
                <w:sz w:val="20"/>
              </w:rPr>
            </w:pPr>
            <w:r>
              <w:rPr>
                <w:sz w:val="20"/>
              </w:rPr>
              <w:t>&lt;span class="NormalTextRun SpellingErrorV2Themed SCXW34652929 BCX0" style="- webkit-user-drag: none; -webkit-tap-highlight-color: transparent; margin: 0px; padding: 0px; user-select: text; background-position: 0px 100%; background-repeat: repeat-x; background-image: url(&amp;quot;data; border-bottom: 1px solid transparent;"&gt;faturizadora&lt;/span&gt; &lt;span class="NormalTextRun SCXW34652929 BCX0" style="-webkit-user-drag: none; -webkit-tap-highlight-color: transparent; margin: 0px; padding: 0px; user-select: text;"&gt;) compra os direitos creditórios de outra (&lt;/span&gt; &lt;span class="NormalTextRun SpellingErrorV2Themed SCXW34652929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7"/>
              <w:rPr>
                <w:sz w:val="20"/>
              </w:rPr>
            </w:pPr>
            <w:r>
              <w:rPr>
                <w:sz w:val="20"/>
              </w:rPr>
              <w:t>user-drag: none; -webkit-tap-highlight-color: transparent; margin: 0px; padding: 0px; user- select: text; background-position: 0px 100%; background-repeat: repeat-x; background- image: url(&amp;quot;data; border-bottom: 1px solid transparent;"&gt;faturizada&lt;/span&gt; &lt;span class="NormalTextRun SCXW34652929 BCX0" style="-webkit-user-drag: none; -webkit- tap-highlight-color: transparent; margin: 0px; padding: 0px; user-select: text;"&gt;), mediante pagamento antecipado de valor inferior ao montante adquirido. 5. Nessa operação, 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transparent;"&gt;faturizada&lt;/span&gt; &lt;span class="NormalTextRun SCXW34652929 BCX0" style="-webkit-user-drag: none; -webkit-tap-highlight-color: transparent; margin: 0px; padding: 0px; user-select: text;"&gt;apenas responde pela existência do crédito no momento da cessão, enquanto 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transparent;"&gt;faturizadora&lt;/span&gt; &lt;span class="NormalTextRun SCXW34652929 </w:t>
            </w:r>
            <w:r>
              <w:rPr>
                <w:spacing w:val="-4"/>
                <w:sz w:val="20"/>
              </w:rPr>
              <w:t>BCX0" </w:t>
            </w:r>
            <w:r>
              <w:rPr>
                <w:sz w:val="20"/>
              </w:rPr>
              <w:t>style="-webkit-user-drag: none; -webkit-tap-highlight-color: transparent; margin: 0px; padding: 0px; user-select: text;"&gt;assume o risco - intrínseco à atividade desenvolvida - da solvabilidade dos títulos cedidos. A jurisprudência desta Corte é firme no sentido de que 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transparent;"&gt;faturizadora&lt;/span&gt; &lt;span class="NormalTextRun SCXW34652929 </w:t>
            </w:r>
            <w:r>
              <w:rPr>
                <w:spacing w:val="-4"/>
                <w:sz w:val="20"/>
              </w:rPr>
              <w:t>BCX0" </w:t>
            </w:r>
            <w:r>
              <w:rPr>
                <w:sz w:val="20"/>
              </w:rPr>
              <w:t>style="-webkit-user-drag: none; -webkit-tap-highlight-color: transparent; margin: 0px; padding: 0px; user-select: text;"&gt;não tem direito de regresso contra a&lt;/span&gt;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transparent;"&gt;faturizada&lt;/span&gt; &lt;span class="NormalTextRun SCXW34652929 BCX0" style="-webkit-user-drag: none; -webkit- tap-highlight-color: transparent; margin: 0px; padding: 0px; user-select: text;"&gt;em razão de inadimplemento dos títulos transferidos, visto que tal risco é da essência do contrato de&lt;/span&gt; &lt;span class="NormalTextRun SpellingErrorV2Themed SCXW34652929</w:t>
            </w:r>
          </w:p>
          <w:p>
            <w:pPr>
              <w:pStyle w:val="TableParagraph"/>
              <w:spacing w:line="208" w:lineRule="auto" w:before="0"/>
              <w:rPr>
                <w:sz w:val="20"/>
              </w:rPr>
            </w:pPr>
            <w:r>
              <w:rPr>
                <w:sz w:val="20"/>
              </w:rPr>
              <w:t>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40"/>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 6. Nos contratos de fomento mercantil, devem ser consideradas nulas (I) eventuais cláusulas de recompra dos créditos vencidos e de responsabilização da&lt;/span&gt;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transparent;"&gt;faturizada&lt;/span&gt; &lt;span class="NormalTextRun SCXW34652929 BCX0" style="-webkit-user-drag: none; -webkit-tap-highlight-color: transparent; margin: 0px; padding: 0px; user-select: text;"&gt;pela solvência dos valores transferidos; (II) eventuais títulos de créditos emitidos com o fim de garantir a solvência dos créditos cedidos no bojo de operação de&lt;/span&gt;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transparent;"&gt;factoring&lt;/span&gt; &lt;span class="NormalTextRun SCXW34652929 BCX0" style="-webkit-user-drag: none; -webkit-tap-highlight-color: transparent; margin: 0px; padding: 0px; user-select: text;"&gt;; e (III) eventual fiança ou aval aposto na cártula garantidora. 7. Na hipótese sob julgamento, o instrumento de confissão de dívida tem como fundamento a prévia operação de fomento mercantil estabelecida entre as partes. Trata-se de título executivo inválido, uma vez que a origem do débito corresponde à dívida não sujeita a direito de regresso. Deve ser mantido o acórdão estadual que declarou a invalidade do título executivo e extinguiu o processo de execução. 8. Recurso especial conhecido e desprovido.&lt;/span&gt;&lt;/span&gt; &lt;span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s>
              <w:spacing w:line="208" w:lineRule="auto" w:before="26"/>
              <w:ind w:right="17"/>
              <w:rPr>
                <w:sz w:val="20"/>
              </w:rPr>
            </w:pPr>
            <w:r>
              <w:rPr>
                <w:sz w:val="20"/>
              </w:rPr>
              <w:t>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text;"&gt;(REsp n. 2.106.765/CE, relatora Ministra Nancy Andrighi, Terceira Turma, julgado em 12/3/2024,&lt;/span&gt;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transparent;"&gt;DJe&lt;/span&gt; &lt;span class="NormalTextRun SCXW34652929 BCX0" style="- webkit-user-drag: none; -webkit-tap-highlight-color: transparent; margin: 0px; padding: 0px; user-select: text;"&gt;de 15/3/2024.)&lt;/span&gt;&lt;/span&gt; &lt;span class="EOP SCXW34652929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 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w:t>
              <w:tab/>
              <w:t>&lt;span class="EOP SCXW34652929 BCX0" style="- webkit-user-drag: none; -webkit-tap-highlight-color: transparent; margin: 0px; padding: 0px; user-select: text; font-size: 12pt; line-height: 20.7px; font-family: Aptos, Aptos_EmbeddedFont, Aptos_MSFontService, sans-serif;"&gt;&amp;#160;&lt;/span&gt;</w:t>
            </w:r>
          </w:p>
          <w:p>
            <w:pPr>
              <w:pStyle w:val="TableParagraph"/>
              <w:spacing w:line="208" w:lineRule="auto" w:before="0"/>
              <w:ind w:right="64"/>
              <w:rPr>
                <w:sz w:val="20"/>
              </w:rPr>
            </w:pPr>
            <w:r>
              <w:rPr>
                <w:sz w:val="20"/>
              </w:rPr>
              <w:t>&lt;/p&gt;&lt;/div&gt;&lt;div class="OutlineElement Ltr SCXW34652929 BCX0" style="-webkit-user- 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151px; padding: 0px; user- 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w:t>
            </w:r>
            <w:r>
              <w:rPr>
                <w:spacing w:val="-2"/>
                <w:sz w:val="20"/>
              </w:rPr>
              <w:t>lang="PT-BR" </w:t>
            </w:r>
            <w:r>
              <w:rPr>
                <w:sz w:val="20"/>
              </w:rPr>
              <w:t>xml:lang="PT-BR"&gt; &lt;span class="NormalTextRun SCXW34652929 BCX0" style="-webkit- user-drag: none; -webkit-tap-highlight-color: transparent; margin: 0px; padding: 0px; user- select: text;"&gt;AGRAVO INTERNO NO RECURSO ESPECIAL. TÍTULOEXECUTIVO EXTRAJUDICIAL. CONTRATO DE FACTORING. RECONHECIMENTO. LIQUIDEZ.</w:t>
            </w:r>
          </w:p>
          <w:p>
            <w:pPr>
              <w:pStyle w:val="TableParagraph"/>
              <w:spacing w:line="208" w:lineRule="auto" w:before="0"/>
              <w:ind w:right="133"/>
              <w:rPr>
                <w:sz w:val="20"/>
              </w:rPr>
            </w:pPr>
            <w:r>
              <w:rPr>
                <w:sz w:val="20"/>
              </w:rPr>
              <w:t>AUSÊNCIA. MODIFICAÇÃO. SÚMULAS&lt;/span&gt;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transparent;"&gt;NºS&lt;/span&gt; &lt;span class="NormalTextRun SCXW34652929 BCX0" style="-webkit-user-drag: none; -webkit-tap-highlight-color: transparent; margin: 0px; padding: 0px; user-select: text;"&gt;5 E 7/STJ. INADIMPLEMENTO DO DEVEDOR. AÇÃO DE REGRESSO. DESCABIMENTO. SÚMULA Nº 83/STJ. 1.</w:t>
            </w:r>
          </w:p>
          <w:p>
            <w:pPr>
              <w:pStyle w:val="TableParagraph"/>
              <w:spacing w:line="208" w:lineRule="auto" w:before="0"/>
              <w:ind w:right="55"/>
              <w:rPr>
                <w:sz w:val="20"/>
              </w:rPr>
            </w:pPr>
            <w:r>
              <w:rPr>
                <w:sz w:val="20"/>
              </w:rPr>
              <w:t>A&lt;/span&gt; &lt;span class="NormalTextRun SpellingErrorV2Themed SCXW34652929 </w:t>
            </w:r>
            <w:r>
              <w:rPr>
                <w:spacing w:val="-4"/>
                <w:sz w:val="20"/>
              </w:rPr>
              <w:t>BCX0" </w:t>
            </w:r>
            <w:r>
              <w:rPr>
                <w:sz w:val="20"/>
              </w:rPr>
              <w:t>style="-webkit-user-drag: none; -webkit-tap-highlight-color: transparent; margin: 0px; padding: 0px; user-select: text; background-position: 0px 100%; background-repeat:</w:t>
            </w:r>
          </w:p>
          <w:p>
            <w:pPr>
              <w:pStyle w:val="TableParagraph"/>
              <w:spacing w:line="208" w:lineRule="auto" w:before="0"/>
              <w:ind w:right="67"/>
              <w:rPr>
                <w:sz w:val="20"/>
              </w:rPr>
            </w:pPr>
            <w:r>
              <w:rPr>
                <w:sz w:val="20"/>
              </w:rPr>
              <w:t>repeat-x; background-image: url(&amp;quot;data; border-bottom: 1px solid transparent;"&gt;faturizadora&lt;/span&gt; &lt;span class="NormalTextRun SCXW34652929 BCX0" style="-webkit-user-drag: none; -webkit-tap-highlight-color: transparent; margin: 0px; padding: 0px; user-select: text;"&gt;não detém o direito de buscar ressarcimento da&lt;/span&gt;</w:t>
            </w:r>
          </w:p>
          <w:p>
            <w:pPr>
              <w:pStyle w:val="TableParagraph"/>
              <w:spacing w:line="205" w:lineRule="exact" w:before="0"/>
              <w:rPr>
                <w:sz w:val="20"/>
              </w:rPr>
            </w:pPr>
            <w:r>
              <w:rPr>
                <w:sz w:val="20"/>
              </w:rPr>
              <w:t>&lt;span class="NormalTextRun SpellingErrorV2Themed SCXW34652929 BCX0" style="-</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0"/>
              <w:rPr>
                <w:sz w:val="20"/>
              </w:rPr>
            </w:pPr>
            <w:r>
              <w:rPr>
                <w:sz w:val="20"/>
              </w:rPr>
              <w:t>webkit-user-drag: none; -webkit-tap-highlight-color: transparent; margin: 0px; padding: 0px; user-select: text; background-position: 0px 100%; background-repeat: repeat-x; background-image: url(&amp;quot;data; border-bottom: 1px solid transparent;"&gt;faturizada&lt;/span&gt; &lt;span class="NormalTextRun SCXW34652929 BCX0" style="-webkit-user-drag: none; -webkit-tap-highlight-color: transparent; margin: 0px; padding: 0px; user-select: text;"&gt;com base na alegação de não pagamento dos títulos cedidos, pois esse risco é integrante do contrato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incompatível com o direito de regresso. Precedentes. 2.&lt;/span&gt;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transparent;"&gt;Orecurso&lt;/span&gt; &lt;span class="NormalTextRun SCXW34652929 BCX0" style="-webkit-user-drag: none; -webkit- tap-highlight-color: transparent; margin: 0px; padding: 0px; user-select: text;"&gt;especial é inviável quando a modificação do acórdão recorrido demanda reinterpretação de cláusulas contratuais e reexame do conjunto fático-probatório dos autos, conforme&lt;/span&gt;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transparent;"&gt;dispõemas&lt;/span&gt; &lt;span class="NormalTextRun SCXW34652929 BCX0" style="-webkit-user-drag: none; -webkit- tap-highlight-color: transparent; margin: 0px; padding: 0px; user-select: text;"&gt;Súmulas&lt;/span&gt;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transparent;"&gt;nºs&lt;/span&gt; &lt;span class="NormalTextRun SCXW34652929 BCX0" style="- webkit-user-drag: none; -webkit-tap-highlight-color: transparent; margin: 0px; padding: 0px; user-select: text;"&gt;5 e 7/STJ, respectivamente. 3. Na hipótese, rever a conclusão da Corte de origem quanto à natureza do contrato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text;"&gt;celebrado entre as partes é providência que esbarra no óbice das Súmulas&lt;/span&gt;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transparent;"&gt;nºs&lt;/span&gt; &lt;span class="NormalTextRun SCXW34652929 BCX0" style="-webkit-user-drag: none; -webkit-tap-highlight-color: transparent; margin: 0px; padding: 0px; user-select: text;"&gt;5 e 7/STJ. 4. Agravo interno </w:t>
            </w:r>
            <w:r>
              <w:rPr>
                <w:spacing w:val="-5"/>
                <w:sz w:val="20"/>
              </w:rPr>
              <w:t>não </w:t>
            </w:r>
            <w:r>
              <w:rPr>
                <w:sz w:val="20"/>
              </w:rPr>
              <w:t>provido.&lt;/span&gt;&lt;/span&gt; &lt;span class="EOP SCXW34652929 BCX0" style="-webkit-user- 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 &lt;span class="TextRun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 &lt;span class="NormalTextRun SCXW34652929 BCX0" style="-webkit- user-drag: none; -webkit-tap-highlight-color: transparent; margin: 0px; padding: 0px; user- select: text;"&gt;(&lt;/span&gt; &lt;span class="NormalTextRun SpellingErrorV2Themed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
              <w:rPr>
                <w:sz w:val="20"/>
              </w:rPr>
            </w:pPr>
            <w:r>
              <w:rPr>
                <w:sz w:val="20"/>
              </w:rPr>
              <w:t>SCXW34652929 BCX0" style="-webkit-user-drag: none; -webkit-tap-highlight-color: transparent; margin: 0px; padding: 0px; user-select: text; background-position: 0px 100%; background-repeat: repeat-x; background-image: url(&amp;quot;data; border-bottom: 1px solid transparent;"&gt;AgInt&lt;/span&gt; &lt;span class="NormalTextRun SCXW34652929 BCX0" style="-webkit-user-drag: none; -webkit-tap-highlight-color: transparent; margin: 0px; padding: 0px; user-select: text;"&gt;no REsp n. 2.051.414/SP, relator Ministro Ricardo Villas Bôas&lt;/span&gt;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3890" w:val="left" w:leader="none"/>
              </w:tabs>
              <w:spacing w:line="208" w:lineRule="auto" w:before="0"/>
              <w:ind w:right="40"/>
              <w:rPr>
                <w:sz w:val="20"/>
              </w:rPr>
            </w:pPr>
            <w:r>
              <w:rPr>
                <w:sz w:val="20"/>
              </w:rPr>
              <w:t>repeat-x; background-image: url(&amp;quot;data; border-bottom: 1px solid transparent;"&gt;Cueva&lt;/span&gt; &lt;span class="NormalTextRun SCXW34652929 BCX0" style="-webkit-user-drag: none; -webkit-tap-highlight-color: transparent; margin: 0px; padding: 0px; user-select: text;"&gt;, Terceira Turma, julgado em 11/12/2023,&lt;/span&gt;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transparent;"&gt;DJe&lt;/span&gt; &lt;span class="NormalTextRun SCXW34652929 BCX0" style="-webkit-user-drag: none; -webkit- tap-highlight-color: transparent; margin: 0px; padding: 0px; user-select: text;"&gt;de 15/12/2023.)&lt;/span&gt;&lt;/span&gt; &lt;span class="EOP SCXW34652929 BCX0" style="-webkit- user-drag: none; -webkit-tap-highlight-color: transparent; margin: 0px; padding: 0px; user- 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xml:lang="PT-BR"&gt;Em igual sentido posicionou-se este Tribunal de Justiça:&lt;/span&gt;</w:t>
            </w:r>
          </w:p>
          <w:p>
            <w:pPr>
              <w:pStyle w:val="TableParagraph"/>
              <w:tabs>
                <w:tab w:pos="7581" w:val="left" w:leader="none"/>
              </w:tabs>
              <w:spacing w:line="208" w:lineRule="auto" w:before="0"/>
              <w:ind w:right="21"/>
              <w:rPr>
                <w:sz w:val="20"/>
              </w:rPr>
            </w:pPr>
            <w:r>
              <w:rPr>
                <w:sz w:val="20"/>
              </w:rPr>
              <w:t>&lt;span class="EOP SCXW34652929 BCX0" style="-webkit-user-drag: none; -webkit-tap- 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class="EOP SCXW34652929 BCX0" style="-webkit-user-drag: none; -webkit-tap-highlight- 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 &lt;span class="TextRun SCXW34652929 BCX0" style="-webkit-user-drag: none; -webkit-tap- highlight-color: transparent; margin: 0px; padding: 0px; user-select: text; font-size: 12pt; line-height: 20.7px; font-family: &amp;quot;Times New Roman&amp;quot;, &amp;quot;Times New Roman_EmbeddedFont&amp;quot;, &amp;quot;Times New Roman_MSFontService&amp;quot;, serif;</w:t>
            </w:r>
          </w:p>
          <w:p>
            <w:pPr>
              <w:pStyle w:val="TableParagraph"/>
              <w:spacing w:line="208" w:lineRule="auto" w:before="0"/>
              <w:ind w:right="296"/>
              <w:rPr>
                <w:sz w:val="20"/>
              </w:rPr>
            </w:pPr>
            <w:r>
              <w:rPr>
                <w:sz w:val="20"/>
              </w:rPr>
              <w:t>font-variant-ligatures: none !important;" lang="PT-BR" xml:lang="PT-BR"&gt; &lt;span class="NormalTextRun SCXW34652929 BCX0" style="-webkit-user-drag: none; </w:t>
            </w:r>
            <w:r>
              <w:rPr>
                <w:spacing w:val="-3"/>
                <w:sz w:val="20"/>
              </w:rPr>
              <w:t>-webkit- </w:t>
            </w:r>
            <w:r>
              <w:rPr>
                <w:sz w:val="20"/>
              </w:rPr>
              <w:t>tap-highlight-color: transparent; margin: 0px; padding: 0px; user-select: text;"&gt;DIREITO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26"/>
              <w:rPr>
                <w:sz w:val="20"/>
              </w:rPr>
            </w:pPr>
            <w:r>
              <w:rPr>
                <w:sz w:val="20"/>
              </w:rPr>
              <w:t>PROCESSUAL CIVIL. APELAÇÃO CÍVEL. EXECUÇÃO DE TÍTULO EXTRAJUDICIAL. ATIVIDADE DE FACTORING. DIREITO DE REGRESSO PELO INADIMPLEMENTO. IMPOSSIBILIDADE. RECURSO CONHECIDO E NÃO PROVIDO. I. CASO EM EXAME 1.</w:t>
            </w:r>
          </w:p>
          <w:p>
            <w:pPr>
              <w:pStyle w:val="TableParagraph"/>
              <w:spacing w:line="208" w:lineRule="auto" w:before="0"/>
              <w:ind w:right="17"/>
              <w:rPr>
                <w:sz w:val="20"/>
              </w:rPr>
            </w:pPr>
            <w:r>
              <w:rPr>
                <w:sz w:val="20"/>
              </w:rPr>
              <w:t>Recurso de Apelação Cível interposto contra sentença da 6ª Vara Cível da Comarca de Fortaleza/CE, que, nos autos de Execução de Título Extrajudicial, indeferiu a petição inicial e extinguiu o processo sem resolução do mérito, com fundamento na ausência de título executivo, reconhecendo tratar-se de contrato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com cláusula vedada de regresso. A exequente, inconformada, alega que sua atuação difere da de empresa de fomento mercantil, por ser securitizadora de créditos, e sustenta que os títulos executados seriam fraudulentos, emitidos pelas rés. II. QUESTÃO EM DISCUSSÃO 2. Há uma questão em discussão: (i) determinar se a empresa apelante se qualifica como securitizadora ou como empresa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para fins de aferição da legalidade da cláusula de regresso. III. RAZÕES DE DECIDIR 3. A caracterização da empresa apelante como FIDC - Fundo de Investimento em Direitos Creditórios - não se sustenta,&lt;/span&gt; &lt;span class="NormalTextRun ContextualSpellingAndGrammarErrorV2Themed SCXW34652929 BCX0" style="-webkit- user-drag: none; -webkit-tap-highlight-color: transparent; margin: 0px; padding: 0px; user- select: text; background-position: 0px 100%; background-repeat: repeat-x; background- image: url(&amp;quot;data; border-bottom: 1px solid transparent;"&gt;pois&lt;/span&gt; &lt;span class="NormalTextRun SCXW34652929 BCX0" style="-webkit-user-drag: none; -webkit- tap-highlight-color: transparent; margin: 0px; padding: 0px; user-select: text;"&gt;a recorrente não atua no mercado de capitais, tampouco possui estrutura regulada conforme as normas da CVM, atuando com capital próprio, o que é típico das sociedades empresárias de fomento mercantil. 4. A operação sub judice evidencia atividade típica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consistente na aquisição de recebíveis com deságio, sem qualquer evidência de securitização de ativos ou emissão de valores mobiliários a investidores. 5. Conforme a jurisprudência consolidada do STJ, a empresa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text;"&gt;não possui direito de regresso contra a&lt;/span&gt;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110"/>
              <w:rPr>
                <w:sz w:val="20"/>
              </w:rPr>
            </w:pPr>
            <w:r>
              <w:rPr>
                <w:sz w:val="20"/>
              </w:rPr>
              <w:t>repeat-x; background-image: url(&amp;quot;data; border-bottom: 1px solid transparent;"&gt;faturizada&lt;/span&gt; &lt;span class="NormalTextRun SCXW34652929 BCX0" style="-webkit-user-drag: none; -webkit-tap-highlight-color: transparent; margin: 0px; padding: 0px; user-select: text;"&gt;por inadimplemento dos títulos transferidos, pois o risco do inadimplemento é da essência do contrato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sendo nulas cláusulas que estipulem o contrário. 6. A alegação de fraude na origem dos títulos não foi apresentada na petição inicial e, mesmo que o fosse, a via executiva é inadequada para apuração de vícios complexos como fraude, os quais demandam dilação probatória em sede de ação de conhecimento. IV. DISPOSITIVO E TESE 7. Recurso conhecido e desprovido. Tese de julgamento: (I) Nos contratos de&lt;/span&gt; &lt;span class="NormalTextRun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
              <w:rPr>
                <w:sz w:val="20"/>
              </w:rPr>
            </w:pPr>
            <w:r>
              <w:rPr>
                <w:sz w:val="20"/>
              </w:rPr>
              <w:t>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 SCXW34652929 BCX0" style="-webkit-user-drag: none; -webkit-tap-highlight-color: transparent; margin: 0px; padding: 0px; user-select: text;"&gt;, é nula a cláusula que prevê o direito de regresso da&lt;/span&gt;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transparent;"&gt;faturizadora&lt;/span&gt; &lt;span class="NormalTextRun SCXW34652929 BCX0" style="-webkit-user-drag: none; -webkit-tap-highlight-color: transparent; margin: 0px; padding: 0px; user-select: text;"&gt;contra 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 transparent; margin: 0px; padding: 0px; user-select: text;"&gt;pelo inadimplemento dos títulos cedidos, por contrariar a essência do risco da operação. (III) A existência de suposta fraude nos títulos cedidos exige dilação probatória e deve ser apurada por meio de ação de conhecimento, não se admitindo sua discussão na via executiva. Dispositivos relevantes citados: CPC/2015,&lt;/span&gt;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transparent;"&gt;arts&lt;/span&gt; &lt;span class="NormalTextRun SCXW34652929 BCX0" style="-webkit-user-drag: none; -webkit-tap-highlight-color: transparent; margin: 0px; padding: 0px; user-select: text;"&gt;. 485, I e IV; 924, I; CC/2002,&lt;/span&gt;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transparent;"&gt;arts&lt;/span&gt; &lt;span class="NormalTextRun SCXW34652929 BCX0" style="- webkit-user-drag: none; -webkit-tap-highlight-color: transparent; margin: 0px; padding: 0px; user-select: text;"&gt;. 286 a 298. Jurisprudência relevante citada: STJ, REsp 1.726.161/SP, rel. Min.&lt;/span&gt;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35"/>
              <w:rPr>
                <w:sz w:val="20"/>
              </w:rPr>
            </w:pPr>
            <w:r>
              <w:rPr>
                <w:sz w:val="20"/>
              </w:rPr>
              <w:t>repeat-x; background-image: url(&amp;quot;data; border-bottom: 1px solid transparent;"&gt;Luis&lt;/span&gt; &lt;span class="NormalTextRun SCXW34652929 BCX0" </w:t>
            </w:r>
            <w:r>
              <w:rPr>
                <w:spacing w:val="-3"/>
                <w:sz w:val="20"/>
              </w:rPr>
              <w:t>style="- </w:t>
            </w:r>
            <w:r>
              <w:rPr>
                <w:sz w:val="20"/>
              </w:rPr>
              <w:t>webkit-user-drag: none; -webkit-tap-highlight-color: transparent; margin: 0px; padding: 0px; user-select: text;"&gt;Felipe Salomão, j. 06.08.2019; STJ, REsp 1.909.459/SC, rel. Min.</w:t>
            </w:r>
          </w:p>
          <w:p>
            <w:pPr>
              <w:pStyle w:val="TableParagraph"/>
              <w:spacing w:line="208" w:lineRule="auto" w:before="0"/>
              <w:ind w:right="65"/>
              <w:rPr>
                <w:sz w:val="20"/>
              </w:rPr>
            </w:pPr>
            <w:r>
              <w:rPr>
                <w:sz w:val="20"/>
              </w:rPr>
              <w:t>Nancy Andrighi, j. 18.05.2021; STJ, REsp 2.106.765/CE, rel. Min. Nancy Andrighi, j. 12.03.2024; STJ,&lt;/span&gt;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transparent;"&gt;AgInt&lt;/span&gt; &lt;span class="NormalTextRun SCXW34652929 BCX0" style="-webkit-user-drag: none; -webkit-tap-highlight-color: transparent; margin: 0px; padding: 0px; user-select: text;"&gt;no&lt;/span&gt;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transparent;"&gt;AREsp&lt;/span&gt; &lt;span class="NormalTextRun SCXW34652929 BCX0" style="-webkit-user-drag: none; -webkit-tap-highlight-color: transparent; margin: 0px; padding: 0px; user-select: text;"&gt;2.182.647/SP, rel. Min. Maria Isabel Gallotti, j. 02.10.2023; STJ,&lt;/span&gt;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transparent;"&gt;AgInt&lt;/span&gt; &lt;span class="NormalTextRun SCXW34652929 BCX0" style="-webkit-user-drag: none; -webkit-tap-highlight-color: transparent; margin: 0px; padding: 0px; user-select: text;"&gt;no REsp 2.051.414/SP, rel. </w:t>
            </w:r>
            <w:r>
              <w:rPr>
                <w:spacing w:val="-5"/>
                <w:sz w:val="20"/>
              </w:rPr>
              <w:t>Min. </w:t>
            </w:r>
            <w:r>
              <w:rPr>
                <w:sz w:val="20"/>
              </w:rPr>
              <w:t>Ricardo Villas Bôas&lt;/span&gt;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transparent;"&gt;Cueva&lt;/span&gt; &lt;span class="NormalTextRun SCXW34652929 BCX0" style="-webkit-user-drag: none; -webkit-tap-highlight-color: transparent; margin: 0px;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64"/>
              <w:rPr>
                <w:sz w:val="20"/>
              </w:rPr>
            </w:pPr>
            <w:r>
              <w:rPr>
                <w:sz w:val="20"/>
              </w:rPr>
              <w:t>padding: 0px; user-select: text;"&gt;, j. 11.12.2023.&lt;/span&gt;&lt;/span&gt; &lt;span class="EOP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151px;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SCXW34652929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xml:lang="PT-BR"&gt;(Apelação Cível - 0221527-47.2021.8.06.0001, Rel. Desembargador(a) MARCOS WILLIAM LEITE DE</w:t>
            </w:r>
          </w:p>
          <w:p>
            <w:pPr>
              <w:pStyle w:val="TableParagraph"/>
              <w:tabs>
                <w:tab w:pos="3119" w:val="left" w:leader="none"/>
                <w:tab w:pos="3274" w:val="left" w:leader="none"/>
              </w:tabs>
              <w:spacing w:line="208" w:lineRule="auto" w:before="0"/>
              <w:ind w:right="40"/>
              <w:rPr>
                <w:sz w:val="20"/>
              </w:rPr>
            </w:pPr>
            <w:r>
              <w:rPr>
                <w:sz w:val="20"/>
              </w:rPr>
              <w:t>OLIVEIRA, 3ª Câmara Direito Privado, data do julgamento: 30/04/2025, data da publicação: 30/04/2025)&lt;/span&gt;</w:t>
              <w:tab/>
              <w:t>&lt;span class="EOP SCXW34652929 BCX0" style="- 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w:t>
              <w:tab/>
              <w:tab/>
              <w:t>&lt;span class="EOP SCXW34652929 BCX0" style="- webkit-user-drag: none; -webkit-tap-highlight-color: transparent; margin: 0px; padding: 0px; user-select: text; font-size: 12pt; line-height: 20.7px; font-family: Aptos, Aptos_EmbeddedFont, Aptos_MSFontService, sans-serif;"&gt;&amp;#160;&lt;/span&gt;</w:t>
            </w:r>
          </w:p>
          <w:p>
            <w:pPr>
              <w:pStyle w:val="TableParagraph"/>
              <w:spacing w:line="208" w:lineRule="auto" w:before="0"/>
              <w:ind w:right="64"/>
              <w:rPr>
                <w:sz w:val="20"/>
              </w:rPr>
            </w:pPr>
            <w:r>
              <w:rPr>
                <w:sz w:val="20"/>
              </w:rPr>
              <w:t>&lt;/p&gt;&lt;/div&gt;&lt;div class="OutlineElement Ltr SCXW34652929 BCX0" style="-webkit-user- 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 webkit-tap-highlight-color: transparent; margin: 0px 0px 8px 151px; padding: 0px; user- select: text; overflow-wrap: break-word; white-space-collapse: preserve; vertical-align: baseline; font-kerning: none; background-color: transparent; color: windowtext; text-align: justify;" lang="PT-BR" xml:lang="PT-BR"&gt; &lt;span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w:t>
            </w:r>
            <w:r>
              <w:rPr>
                <w:spacing w:val="-2"/>
                <w:sz w:val="20"/>
              </w:rPr>
              <w:t>lang="PT-BR" </w:t>
            </w:r>
            <w:r>
              <w:rPr>
                <w:sz w:val="20"/>
              </w:rPr>
              <w:t>xml:lang="PT-BR"&gt; &lt;span class="NormalTextRun SCXW34652929 BCX0" style="-webkit- user-drag: none; -webkit-tap-highlight-color: transparent; margin: 0px; padding: 0px; user- select: text;"&gt;AGRAVO DE INSTRUMENTO. EXECUÇÃO DE TÍTULO EXTRAJUDICIAL LASTREADA EM INSTRUMENTO PARTICULAR DE CONTRATO DE COMPROMISSO DE CESSÃO DE CRÉDITO, RESPONSÁVEL SOLIDÁRIO E OUTRAS AVENÇAS. AUSÊNCIA DE FORÇA EXECUTIVA - CESSÃO DE CRÉDITOS EM OPERAÇÃO DE FACTORING - INEXIGIBILIDADE DAS GARANTIAS DE SOLVABILIDADE E</w:t>
            </w:r>
            <w:r>
              <w:rPr>
                <w:spacing w:val="-16"/>
                <w:sz w:val="20"/>
              </w:rPr>
              <w:t> </w:t>
            </w:r>
            <w:r>
              <w:rPr>
                <w:sz w:val="20"/>
              </w:rPr>
              <w:t>RECOMPRA</w:t>
            </w:r>
          </w:p>
          <w:p>
            <w:pPr>
              <w:pStyle w:val="TableParagraph"/>
              <w:spacing w:line="208" w:lineRule="auto" w:before="0"/>
              <w:rPr>
                <w:sz w:val="20"/>
              </w:rPr>
            </w:pPr>
            <w:r>
              <w:rPr>
                <w:sz w:val="20"/>
              </w:rPr>
              <w:t>– RISCO DA FATURIZADORA. AUSÊNCIA DE OBRIGAÇÃO CERTA, LÍQUIDA E EXIGÍVEL EM FACE DA FATURIZADA E INTERVENIENTES GARANTIDORES. DOCUMENTO PARTICULAR SEM ASSINATURA DE DUAS TESTEMUNHAS.</w:t>
            </w:r>
            <w:r>
              <w:rPr>
                <w:spacing w:val="3"/>
                <w:sz w:val="20"/>
              </w:rPr>
              <w:t> </w:t>
            </w:r>
            <w:r>
              <w:rPr>
                <w:spacing w:val="-3"/>
                <w:sz w:val="20"/>
              </w:rPr>
              <w:t>RECURSO</w:t>
            </w:r>
          </w:p>
          <w:p>
            <w:pPr>
              <w:pStyle w:val="TableParagraph"/>
              <w:spacing w:line="208" w:lineRule="auto" w:before="0"/>
              <w:ind w:right="185"/>
              <w:rPr>
                <w:sz w:val="20"/>
              </w:rPr>
            </w:pPr>
            <w:r>
              <w:rPr>
                <w:sz w:val="20"/>
              </w:rPr>
              <w:t>CONHECIDO E IMPROVIDO. 1. Cinge-se a controvérsia recursal em analisar se a execução está ou não lastreada em título executivo extrajudicial, dotado de liquidez, certeza e exigibilidade. 2. Extrai-se da decisão adversada que o juiz a quo, analisando os documentos que instruíram a execução, entendeu que o negócio jurídico realizado entre as partes trata-se, em verdade, de operação de&lt;/span&gt;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transparent;"&gt;factoring&lt;/span&gt; &lt;span class="NormalTextRun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
              <w:rPr>
                <w:sz w:val="20"/>
              </w:rPr>
            </w:pPr>
            <w:r>
              <w:rPr>
                <w:sz w:val="20"/>
              </w:rPr>
              <w:t>SCXW34652929 BCX0" style="-webkit-user-drag: none; -webkit-tap-highlight-color: transparent; margin: 0px; padding: 0px; user-select: text;"&gt;, e, como tal, todo risco do negócio é assumido pela&lt;/span&gt; &lt;span class="NormalTextRun SpellingErrorV2Themed SCXW34652929 BCX0" style="-webkit-user-drag: none; -webkit-tap-highlight-color: transparent; margin: 0px; padding: 0px; user-select: text; background-position: 0px 100%; background-repeat: repeat-x; background-image: url(&amp;quot;data; border-bottom: 1px solid transparent;"&gt;faturizadora&lt;/span&gt; &lt;span class="NormalTextRun SCXW34652929 BCX0" style="-webkit-user-drag: none; -webkit-tap-highlight-color: transparent; margin: 0px; padding: 0px; user-select: text;"&gt;, portanto esta não pode exigir qualquer garantia da&lt;/span&gt;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17"/>
              <w:rPr>
                <w:sz w:val="20"/>
              </w:rPr>
            </w:pPr>
            <w:r>
              <w:rPr>
                <w:sz w:val="20"/>
              </w:rPr>
              <w:t>repeat-x; background-image: url(&amp;quot;data; border-bottom: 1px solid transparent;"&gt;faturizada&lt;/span&gt; &lt;span class="NormalTextRun SCXW34652929 BCX0" style="-webkit-user-drag: none; -webkit-tap-highlight-color: transparent; margin: 0px; padding: 0px; user-select: text;"&gt;ou dos intervenientes garantidores em face do inadimplemento dos devedores originais dos títulos cedidos, sob pena de configurar o exercício indevido de atividade bancária. 3. A agravante afirma que atua no mercado de securitização de recebíveis, sendo este o seu objeto social, conforme descrito em seu Estatuto Social (fl. 16, artigo 3º.). Todavia, analisando detidamente os fatos articulados pelo agravante e os documentos que embasaram a ação executiva, verifico que não há nada que revele a existência de típica operação de securitização. 4. Conquanto haja certa semelhança entre a securitização e a faturização, uma vez que em ambas as atividades ocorre a aquisição de créditos recebíveis, com deságio (desconto sobre o valor do título de crédito), suas finalidades são completamente distintas. Enquanto o&lt;/span&gt;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text;"&gt;consiste em atividade comercial de fomento mercantil que conjuga prestação de serviços e compra de créditos recebíveis da empresa fomentada ou&lt;/span&gt;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transparent;"&gt;faturizada&lt;/span&gt; &lt;span class="NormalTextRun SCXW34652929 BCX0" style="-webkit-user-drag: none; -webkit-tap-highlight-color: transparent; margin: 0px; padding: 0px; user-select: text;"&gt;, a finalidade da securitizadora é adquirir ativos empresariais recebíveis para transformá-los em títulos mobiliários, disponibilizando-os aos investidores, na forma de debêntures. 5. Em que pese a denominação do contrato em questão (Instrumento Particular de Contrato de Compromisso de Cessão de Crédito, Responsável Solidário e Outras Avenças), suas características realmente evidenciam nítida operação de&lt;/span&gt; &lt;span class="NormalTextRun SpellingErrorV2Themed SCXW34652929 BCX0" style="-webkit- user-drag: none; -webkit-tap-highlight-color: transparent; margin: 0px; padding: 0px; user- select: text; background-position: 0px 100%; background-repeat: repeat-x; background- image: url(&amp;quot;data; border-bottom: 1px solid transparent;"&gt;factoring&lt;/span&gt; &lt;span class="NormalTextRun SCXW34652929 BCX0" style="-webkit-user-drag: none; -webkit- tap-highlight-color: transparent; margin: 0px; padding: 0px; user-select: text;"&gt;, a qual se aperfeiçoa mediante cessão de créditos. 6. É cediço que, em se tratando de operação de&lt;/span&gt;   &lt;span class="NormalTextRun SpellingErrorV2Themed SCXW34652929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208" w:lineRule="auto" w:before="0"/>
              <w:ind w:right="50"/>
              <w:rPr>
                <w:sz w:val="20"/>
              </w:rPr>
            </w:pPr>
            <w:r>
              <w:rPr>
                <w:sz w:val="20"/>
              </w:rPr>
              <w:t>repeat-x; background-image: url(&amp;quot;data; border-bottom: 1px solid transparent;"&gt;factoring&lt;/span&gt; &lt;span class="NormalTextRun SCXW34652929 BCX0" style="-webkit-user-drag: none; -webkit-tap-highlight-color: transparent; margin: 0px; padding: 0px; user-select: text;"&gt;, a&lt;/span&gt; &lt;span class="NormalTextRun SpellingErrorV2Themed SCXW34652929 BCX0" style="-webkit-user-drag: none; -webkit- tap-highlight-color: transparent; margin: 0px; padding: 0px; user-select: text; background- position: 0px 100%; background-repeat: repeat-x; background-image: url(&amp;quot;data; border-bottom: 1px solid transparent;"&gt;faturizadora&lt;/span&gt; &lt;span class="NormalTextRun SCXW34652929 BCX0" style="-webkit-user-drag: none; -webkit-tap-highlight-color: transparent; margin: 0px; padding: 0px; user-select: text;"&gt;assume os riscos do negócio, o que a leva a arcar, em regra, com os prejuízos decorrentes de eventual inadimplemento dos devedores originais dos títulos cedidos. Nesse tipo de operação, as cláusulas contratuais prevendo garantias, responsabilidade solidária, coobrigação e direito de regresso são nulas, exatamente pelo fato de o risco ser ínsito à natureza do negócio. 7.</w:t>
            </w:r>
          </w:p>
          <w:p>
            <w:pPr>
              <w:pStyle w:val="TableParagraph"/>
              <w:spacing w:line="208" w:lineRule="auto" w:before="0"/>
              <w:ind w:right="-1"/>
              <w:rPr>
                <w:sz w:val="20"/>
              </w:rPr>
            </w:pPr>
            <w:r>
              <w:rPr>
                <w:sz w:val="20"/>
              </w:rPr>
              <w:t>Recurso conhecido e improvido.&lt;/span&gt;&lt;/span&gt; &lt;span class="EOP SCXW34652929 BCX0" style="-webkit-user-drag: none; -webkit-tap-highlight-color: transparent; margin: 0px;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s>
              <w:spacing w:line="208" w:lineRule="auto" w:before="26"/>
              <w:ind w:right="40"/>
              <w:rPr>
                <w:sz w:val="20"/>
              </w:rPr>
            </w:pPr>
            <w:r>
              <w:rPr>
                <w:sz w:val="20"/>
              </w:rPr>
              <w:t>padding: 0px; user-select: text; font-size: 12pt; line-height: 20.7px;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151px; padding: 0px; user-select: text; overflow-wrap: break-word; white-space-collapse: preserve; vertical-align: baseline; font- kerning: none; background-color: transparent; color: windowtext; text-align: justify;" lang="PT-BR" xml:lang="PT-BR"&gt;</w:t>
              <w:tab/>
              <w:t>&lt;span class="TextRun SCXW34652929 BCX0" style="-webkit-user-drag: none; -webkit-tap-highlight-color: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xml:lang="PT-BR"&gt;(Agravo de Instrumento - 0623582-74.2019.8.06.0000, Rel.</w:t>
            </w:r>
          </w:p>
          <w:p>
            <w:pPr>
              <w:pStyle w:val="TableParagraph"/>
              <w:tabs>
                <w:tab w:pos="6036" w:val="left" w:leader="none"/>
                <w:tab w:pos="6767" w:val="left" w:leader="none"/>
                <w:tab w:pos="7581" w:val="left" w:leader="none"/>
              </w:tabs>
              <w:spacing w:line="208" w:lineRule="auto" w:before="0"/>
              <w:ind w:right="21"/>
              <w:rPr>
                <w:sz w:val="20"/>
              </w:rPr>
            </w:pPr>
            <w:r>
              <w:rPr>
                <w:sz w:val="20"/>
              </w:rPr>
              <w:t>Desembargador(a) MARIA DE FÁTIMA DE MELO LOUREIRO, 2ª Câmara Direito Privado, data do julgamento: 23/10/2019, data da publicação: 23/10/2019)&lt;/span&gt;</w:t>
              <w:tab/>
              <w:t>&lt;span class="EOP SCXW34652929 BCX0" style="-webkit-user-drag: none; -webkit-tap-highlight- 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justify; text-indent: 75px;" lang="PT-BR" xml:lang="PT-BR"&gt;</w:t>
              <w:tab/>
            </w:r>
            <w:r>
              <w:rPr>
                <w:spacing w:val="-4"/>
                <w:sz w:val="20"/>
              </w:rPr>
              <w:t>&lt;span </w:t>
            </w:r>
            <w:r>
              <w:rPr>
                <w:sz w:val="20"/>
              </w:rPr>
              <w:t>class="EOP SCXW34652929 BCX0" style="-webkit-user-drag: none; -webkit-tap-highlight- color: transparent; margin: 0px; padding: 0px; user-select: text; font-size: 12pt; 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w:t>
            </w:r>
          </w:p>
          <w:p>
            <w:pPr>
              <w:pStyle w:val="TableParagraph"/>
              <w:tabs>
                <w:tab w:pos="2728" w:val="left" w:leader="none"/>
              </w:tabs>
              <w:spacing w:line="208" w:lineRule="auto" w:before="0"/>
              <w:ind w:right="40"/>
              <w:rPr>
                <w:sz w:val="20"/>
              </w:rPr>
            </w:pPr>
            <w:r>
              <w:rPr>
                <w:sz w:val="20"/>
              </w:rPr>
              <w:t>font-weight: bold; font-variant-ligatures: none !important;" lang="PT-BR" xml:lang="PT- BR"&gt;DISPOSITIVO&lt;/span&gt;</w:t>
              <w:tab/>
              <w:t>&lt;span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 &lt;span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xml:lang="PT-BR"&gt;Ante o exposto e fundamentado, CONHEÇO O RECURSO DE APELAÇÃO CÍVEL, MAS PARA NEGAR-LHE PROVIMENTO, mantendo integralmente a decisão vergastada.&lt;/span&gt; &lt;span class="EOP SCXW34652929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874" w:val="left" w:leader="none"/>
                <w:tab w:pos="3872" w:val="left" w:leader="none"/>
                <w:tab w:pos="6062" w:val="left" w:leader="none"/>
              </w:tabs>
              <w:spacing w:line="208" w:lineRule="auto" w:before="26"/>
              <w:ind w:right="40"/>
              <w:rPr>
                <w:sz w:val="20"/>
              </w:rPr>
            </w:pPr>
            <w:r>
              <w:rPr>
                <w:sz w:val="20"/>
              </w:rPr>
              <w:t>user-drag: none; -webkit-tap-highlight-color: transparent; margin: 0px; padding: 0px; user- select: text; font-size: 12pt; line-height: 27px; font-family: &amp;quot;Times New Roman&amp;quot;, &amp;quot;Times New Roman_EmbeddedFont&amp;quot;, &amp;quot;Times New Roman_MSFontService&amp;quot;, serif;"&gt;&amp;#160;&lt;/span&gt;&lt;/p&gt;&lt;/div&gt;&lt;div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xml:lang="PT-BR"&gt;Deixo de majorar os honorários em sede recursal dado que não foram fixados em sentença.&lt;/span&gt;</w:t>
              <w:tab/>
              <w:t>&lt;span class="EOP SCXW34652929 BCX0" style="-webkit- user-drag: none; -webkit-tap-highlight-color: transparent; margin: 0px; padding: 0px; user- 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xml:lang="PT-BR"&gt;É como voto.&lt;/span&gt;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t>
            </w:r>
            <w:r>
              <w:rPr>
                <w:spacing w:val="-3"/>
                <w:sz w:val="20"/>
              </w:rPr>
              <w:t>-webkit- </w:t>
            </w:r>
            <w:r>
              <w:rPr>
                <w:sz w:val="20"/>
              </w:rPr>
              <w: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 highlight-color: transparent; margin: 0px 0px 8px; padding: 0px; user-select: text; overflow- wrap: break-word; white-space-collapse: preserve; vertical-align: baseline; font-kerning: none; background-color: transparent; color: windowtext; text-align: justify; text-indent: 75px;"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xml:lang="PT-BR"&gt;Fortaleza, data registrada no sistema.&lt;/span&gt;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text-indent: 75px;" lang="PT-BR" xml:lang="PT-BR"&gt;</w:t>
            </w:r>
          </w:p>
          <w:p>
            <w:pPr>
              <w:pStyle w:val="TableParagraph"/>
              <w:spacing w:line="208" w:lineRule="auto" w:before="0"/>
              <w:ind w:right="324"/>
              <w:rPr>
                <w:sz w:val="20"/>
              </w:rPr>
            </w:pPr>
            <w:r>
              <w:rPr>
                <w:sz w:val="20"/>
              </w:rPr>
              <w:t>&lt;span class="EOP SCXW34652929 BCX0" style="-webkit-user-drag: none; -webkit-tap- highlight-color: transparent; margin: 0px; padding: 0px; user-select: text; font-size: 12pt;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3030289-77.2024.8.06.0001</w:t>
            </w:r>
          </w:p>
        </w:tc>
      </w:tr>
      <w:tr>
        <w:trPr>
          <w:trHeight w:val="8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595" w:val="left" w:leader="none"/>
                <w:tab w:pos="6036" w:val="left" w:leader="none"/>
              </w:tabs>
              <w:spacing w:line="208" w:lineRule="auto" w:before="26"/>
              <w:ind w:right="111"/>
              <w:rPr>
                <w:sz w:val="20"/>
              </w:rPr>
            </w:pPr>
            <w:r>
              <w:rPr>
                <w:sz w:val="20"/>
              </w:rPr>
              <w:t>line-height: 27px; font-family: Aptos, Aptos_EmbeddedFont, Aptos_MSFontService, sans-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font-weight: bold; font-variant-ligatures: none !important;" lang="PT-BR" xml:lang="PT- BR"&gt;FRANCISCO LUCÍDIO DE QUEIROZ JÚNIOR&lt;/span&gt;</w:t>
              <w:tab/>
              <w:t>&lt;span class="EOP</w:t>
            </w:r>
          </w:p>
          <w:p>
            <w:pPr>
              <w:pStyle w:val="TableParagraph"/>
              <w:tabs>
                <w:tab w:pos="1629" w:val="left" w:leader="none"/>
                <w:tab w:pos="6036" w:val="left" w:leader="none"/>
              </w:tabs>
              <w:spacing w:line="208" w:lineRule="auto" w:before="0"/>
              <w:ind w:right="42"/>
              <w:rPr>
                <w:sz w:val="20"/>
              </w:rPr>
            </w:pPr>
            <w:r>
              <w:rPr>
                <w:sz w:val="20"/>
              </w:rPr>
              <w:t>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&lt;/p&gt;&lt;/div&gt;&lt;div class="OutlineElement Ltr SCXW34652929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SCXW34652929 BCX0" style="-webkit-user-drag: none; -webkit-tap-highlight-color: transparent; margin: 0px 0px 8px; padding: 0px; user-select: text; overflow-wrap: break-word; white-space-collapse: preserve; vertical-align: baseline; font-kerning: none; background-color: transparent; color: windowtext; text-align: center;" lang="PT-BR" xml:lang="PT-BR"&gt;</w:t>
              <w:tab/>
              <w:t>&lt;span class="TextRun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 font-variant-ligatures: none !important;" lang="PT-BR" xml:lang="PT-BR"&gt;Desembargador Relator&lt;/span&gt;</w:t>
              <w:tab/>
              <w:t>&lt;span class="EOP SCXW34652929 BCX0" style="-webkit-user-drag: none; -webkit-tap-highlight-color: transparent; margin: 0px; padding: 0px; user-select: text; font-size: 12pt; line-height: 27px; font-family: &amp;quot;Times New Roman&amp;quot;, &amp;quot;Times New Roman_EmbeddedFont&amp;quot;, &amp;quot;Times New Roman_MSFontService&amp;quot;, serif;"&gt;&amp;#160;&lt;/span&gt; &lt;/p&gt;&lt;/div&gt;&lt;br /&gt;&lt;br /&gt;&lt;p&gt;&amp;#160;&lt;/p&gt;&lt;p&gt;&amp;#160;&lt;/p&gt;&lt;p</w:t>
            </w:r>
          </w:p>
          <w:p>
            <w:pPr>
              <w:pStyle w:val="TableParagraph"/>
              <w:tabs>
                <w:tab w:pos="5720" w:val="left" w:leader="none"/>
              </w:tabs>
              <w:spacing w:line="189" w:lineRule="exact" w:before="0"/>
              <w:rPr>
                <w:sz w:val="20"/>
              </w:rPr>
            </w:pPr>
            <w:r>
              <w:rPr>
                <w:sz w:val="20"/>
              </w:rPr>
              <w:t>style="text-align: center;"&gt;  &lt;span style="font-size: medium;"&gt;</w:t>
              <w:tab/>
              <w:t>&lt;strong&gt;&amp;#160;&lt;/strong&gt;</w:t>
            </w:r>
          </w:p>
          <w:p>
            <w:pPr>
              <w:pStyle w:val="TableParagraph"/>
              <w:spacing w:line="21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0013428-22.2011.8.06.0034</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Material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COMPANHIA ENERGETICA DO CEARA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CLETO GOMES - (CE5864-A)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Jose Abdias da Silva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EVERARDO RODRIGUES DA ROCHA - (CE12140-A)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3001057-30.2025.8.06.0051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3001057-30.2025.8.06.0051</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ELIZA SERAFIM RIBEIRO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ESTADO DO RIO GRANDE DO SUL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ALEX SCHOPP DOS SANTOS - (RS46350-A)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3000556-10.2025.8.06.0170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Rescisão do contrato e devolução do dinheiro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CARLOS DE SOUZA NETO</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GUSTAVO MUNIZ DE MESQUITA - (CE31449-A)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MERCANTIL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DIEGO MONTEIRO BAPTISTA - (RJ153999-A)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3002266-14.2025.8.06.0090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ANTONIA DELFINO PAZ</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MARCOSORRITE GOMES ALVES - (CE38659-A)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3012222-30.2025.8.06.0001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ROGER CRISTOVAO PEREIRA DE SOUZA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HAROLDO GUERRA LOBO - (CE15166-A)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FLAVIO NEVES COSTA - (SP153447-A)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0201874-89.2024.8.06.0151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0201874-89.2024.8.06.0151</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DAS DORES DO NASCIMENTO BARBOSA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BIANCA BREGANTINI - (PR114340-A)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738"/>
              <w:rPr>
                <w:sz w:val="20"/>
              </w:rPr>
            </w:pPr>
            <w:r>
              <w:rPr>
                <w:sz w:val="20"/>
              </w:rPr>
              <w:t>CONAFER CONFEDERACAO NACIONAL DOS AGRICULTORES FAMILIARES E EMPREEND.FAMI.RURAIS DO BRASIL</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3006812-12.2024.8.06.0167</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FABRICIA COSTA DE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NEREU RODRIGUES CAVALCANTE NETO - (CE42912-A)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C6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216"/>
              <w:rPr>
                <w:sz w:val="20"/>
              </w:rPr>
            </w:pPr>
            <w:r>
              <w:rPr>
                <w:sz w:val="20"/>
              </w:rPr>
              <w:t>FLAVIA DOS REIS SILVA - (SP226657-A) DANIEL NUNES ROMERO - (SP168016-A)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3000668-39.2025.8.06.0053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361"/>
              <w:rPr>
                <w:sz w:val="20"/>
              </w:rPr>
            </w:pPr>
            <w:r>
              <w:rPr>
                <w:sz w:val="20"/>
              </w:rPr>
              <w:t>RAIMUNDA VIEIRA DA SILVA SABEMI SEGURADORA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171"/>
              <w:rPr>
                <w:sz w:val="20"/>
              </w:rPr>
            </w:pPr>
            <w:r>
              <w:rPr>
                <w:sz w:val="20"/>
              </w:rPr>
              <w:t>NATHANIEL DA SILVEIRA BRITO NETO - (CE9813-A) NATHANIEL DA SILVEIRA BRITO NETO - (CE9813-A)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361"/>
              <w:rPr>
                <w:sz w:val="20"/>
              </w:rPr>
            </w:pPr>
            <w:r>
              <w:rPr>
                <w:sz w:val="20"/>
              </w:rPr>
              <w:t>SABEMI SEGURADORA SA RAIMUNDA VIEIRA DA SILVA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949"/>
              <w:rPr>
                <w:sz w:val="20"/>
              </w:rPr>
            </w:pPr>
            <w:r>
              <w:rPr>
                <w:sz w:val="20"/>
              </w:rPr>
              <w:t>JULIANO MARTINS MANSUR - (RJ113786-A) JULIANO MARTINS MANSUR - (RJ113786-A)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3003320-46.2024.8.06.0091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299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FAUSTO DO NASCIMENTO</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78"/>
              <w:rPr>
                <w:sz w:val="20"/>
              </w:rPr>
            </w:pPr>
            <w:r>
              <w:rPr>
                <w:sz w:val="20"/>
              </w:rPr>
              <w:t>TULIO ALVES PIANCO - (CE42491-A) ERICLES DE OLINDA BEZERRA -</w:t>
            </w:r>
            <w:r>
              <w:rPr>
                <w:spacing w:val="-17"/>
                <w:sz w:val="20"/>
              </w:rPr>
              <w:t> </w:t>
            </w:r>
            <w:r>
              <w:rPr>
                <w:sz w:val="20"/>
              </w:rPr>
              <w:t>(CE41130-A)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3003320-46.2024.8.06.0091</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MERCANTIL DO BRASIL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091"/>
              <w:rPr>
                <w:sz w:val="20"/>
              </w:rPr>
            </w:pPr>
            <w:r>
              <w:rPr>
                <w:sz w:val="20"/>
              </w:rPr>
              <w:t>AMANDA ALVARENGA CAMPOS VELOSO - (MG99054-A) ANDRE RENNO LIMA GUIMARAES DE ANDRADE - (MG78069-A)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0050196-21.2021.8.06.0090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MARLEIDE RODRIGUES DE OLIVEIRA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004"/>
              <w:rPr>
                <w:sz w:val="20"/>
              </w:rPr>
            </w:pPr>
            <w:r>
              <w:rPr>
                <w:sz w:val="20"/>
              </w:rPr>
              <w:t>AUGUSTO CEZAR FERREIRA DA SILVA - (CE29047-A) RODRIGO RODRIGUES DE OLIVEIRA - (CE44519-A)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BANCO BRADESCO S/A</w:t>
            </w:r>
          </w:p>
          <w:p>
            <w:pPr>
              <w:pStyle w:val="TableParagraph"/>
              <w:spacing w:line="215" w:lineRule="exact" w:before="0"/>
              <w:rPr>
                <w:sz w:val="20"/>
              </w:rPr>
            </w:pPr>
            <w:r>
              <w:rPr>
                <w:sz w:val="20"/>
              </w:rPr>
              <w:t>BANCO MERCANTIL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FRANCISCO SAMPAIO DE MENEZES JUNIOR - (CE9075-A)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08" w:lineRule="auto" w:before="26"/>
              <w:ind w:right="3661"/>
              <w:rPr>
                <w:sz w:val="20"/>
              </w:rPr>
            </w:pPr>
            <w:r>
              <w:rPr>
                <w:sz w:val="20"/>
              </w:rPr>
              <w:t>ADRIANA LUCIA PEREIRA MALAFAIA 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0200370-57.2024.8.06.0051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261"/>
              <w:rPr>
                <w:sz w:val="20"/>
              </w:rPr>
            </w:pPr>
            <w:r>
              <w:rPr>
                <w:sz w:val="20"/>
              </w:rPr>
              <w:t>FRANCISCO JACO FERREIRA BANCO VOTORANTIM S.A.</w:t>
            </w:r>
          </w:p>
        </w:tc>
      </w:tr>
      <w:tr>
        <w:trPr>
          <w:trHeight w:val="8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78"/>
              <w:rPr>
                <w:sz w:val="20"/>
              </w:rPr>
            </w:pPr>
            <w:r>
              <w:rPr>
                <w:sz w:val="20"/>
              </w:rPr>
              <w:t>ERICLES DE OLINDA BEZERRA - (CE41130-A) TULIO ALVES PIANCO - (CE42491-A) ERICLES DE OLINDA BEZERRA - (CE41130-A) TULIO ALVES PIANCO - (CE42491-A)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261"/>
              <w:rPr>
                <w:sz w:val="20"/>
              </w:rPr>
            </w:pPr>
            <w:r>
              <w:rPr>
                <w:sz w:val="20"/>
              </w:rPr>
              <w:t>FRANCISCO JACO FERREIRA BANCO VOTORANTIM S.A.</w:t>
            </w:r>
          </w:p>
        </w:tc>
      </w:tr>
      <w:tr>
        <w:trPr>
          <w:trHeight w:val="8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3778"/>
              <w:rPr>
                <w:sz w:val="20"/>
              </w:rPr>
            </w:pPr>
            <w:r>
              <w:rPr>
                <w:sz w:val="20"/>
              </w:rPr>
              <w:t>ERICLES DE OLINDA BEZERRA - (CE41130-A) TULIO ALVES PIANCO - (CE42491-A) ERICLES DE OLINDA BEZERRA - (CE41130-A) TULIO ALVES PIANCO - (CE42491-A)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0256159-02.2021.8.06.0001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Defeito, nulidade ou anulação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GLAUCITANIA DIOGENES NOGUEIRA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49"/>
              <w:rPr>
                <w:sz w:val="20"/>
              </w:rPr>
            </w:pPr>
            <w:r>
              <w:rPr>
                <w:sz w:val="20"/>
              </w:rPr>
              <w:t>JOSE IDEMBERG NOBRE DE SENA - (CE14260-A) MARIA LUCIMARA SARAIVA LEMOS - (CE36683-A)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Financiamento S/A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0256159-02.2021.8.06.0001</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3002043-84.2024.8.06.0029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MAURO JOSE FERREIRA FARIAS</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778"/>
              <w:rPr>
                <w:sz w:val="20"/>
              </w:rPr>
            </w:pPr>
            <w:r>
              <w:rPr>
                <w:sz w:val="20"/>
              </w:rPr>
              <w:t>TULIO ALVES PIANCO - (CE42491-A) ERICLES DE OLINDA BEZERRA -</w:t>
            </w:r>
            <w:r>
              <w:rPr>
                <w:spacing w:val="-17"/>
                <w:sz w:val="20"/>
              </w:rPr>
              <w:t> </w:t>
            </w:r>
            <w:r>
              <w:rPr>
                <w:sz w:val="20"/>
              </w:rPr>
              <w:t>(CE41130-A)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THIAGO BARREIRA ROMCY - (CE23900-A)</w:t>
            </w:r>
          </w:p>
          <w:p>
            <w:pPr>
              <w:pStyle w:val="TableParagraph"/>
              <w:spacing w:line="215" w:lineRule="exact" w:before="0"/>
              <w:rPr>
                <w:sz w:val="20"/>
              </w:rPr>
            </w:pPr>
            <w:r>
              <w:rPr>
                <w:sz w:val="20"/>
              </w:rPr>
              <w:t>LUIZ AUGUSTO ABRANTES PEQUENO JUNIOR - (CE23178-A)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0200220-33.2023.8.06.0109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827"/>
              <w:rPr>
                <w:sz w:val="20"/>
              </w:rPr>
            </w:pPr>
            <w:r>
              <w:rPr>
                <w:sz w:val="20"/>
              </w:rPr>
              <w:t>JOSE ALEXANDRE BANCO BRADESCO S/A</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427"/>
              <w:rPr>
                <w:sz w:val="20"/>
              </w:rPr>
            </w:pPr>
            <w:r>
              <w:rPr>
                <w:sz w:val="20"/>
              </w:rPr>
              <w:t>JUNIOR SOUSA AGUIAR - (CE38185-A) JUNIOR SOUSA AGUIAR - (CE38185-A)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827"/>
              <w:rPr>
                <w:sz w:val="20"/>
              </w:rPr>
            </w:pPr>
            <w:r>
              <w:rPr>
                <w:sz w:val="20"/>
              </w:rPr>
              <w:t>BANCO BRADESCO S/A JOSE ALEXANDRE</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182"/>
              <w:rPr>
                <w:sz w:val="20"/>
              </w:rPr>
            </w:pPr>
            <w:r>
              <w:rPr>
                <w:sz w:val="20"/>
              </w:rPr>
              <w:t>WILSON SALES BELCHIOR - (CE17314-A) 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3005097-11.2025.8.06.0001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ITAU UNIBANCO HOLDING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CARLOS SKRZYSZOWSKI JUNIOR - (CE26502-A)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EVANDRO OLIVEIRA MARQUES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NEREU RODRIGUES CAVALCANTE NETO - (CE42912-A)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0118822-39.2019.8.06.0001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0118822-39.2019.8.06.0001</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JOSE HERMINO DE PAULA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JOSE IDEMBERG NOBRE DE SENA - (CE14260-A)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4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BANCO DO BRASIL SA</w:t>
            </w:r>
          </w:p>
          <w:p>
            <w:pPr>
              <w:pStyle w:val="TableParagraph"/>
              <w:spacing w:line="21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0249969-18.2024.8.06.0001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Bancários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FRANCISCO FERNANDES MOREIRA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BIANCA BREGANTINI - (PR114340-A)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PAULO EDUARDO PRADO - (CE24314-A)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0158486-14.2018.8.06.0001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Usucapião Especial (Constitucional)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FRANCISCA DE FREITAS VASCONCELOS DE JESUS</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DANIEL SUCUPIRA BARRETO - (CE17070-A)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Francisca Maria Landim Estacio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1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spacing w:line="215" w:lineRule="exact"/>
              <w:rPr>
                <w:sz w:val="20"/>
              </w:rPr>
            </w:pPr>
            <w:r>
              <w:rPr>
                <w:sz w:val="20"/>
              </w:rPr>
              <w:t>MUNICIPIO DE FORTALEZA - PROCURADORIA GERAL DO MUNICIPIO - PGM</w:t>
            </w:r>
          </w:p>
          <w:p>
            <w:pPr>
              <w:pStyle w:val="TableParagraph"/>
              <w:spacing w:line="208" w:lineRule="auto" w:before="9"/>
              <w:ind w:right="5327"/>
              <w:rPr>
                <w:sz w:val="20"/>
              </w:rPr>
            </w:pPr>
            <w:r>
              <w:rPr>
                <w:sz w:val="20"/>
              </w:rPr>
              <w:t>Jose Alberto Ferrer Cavalcante Victor Vasconcelos da Costa Suely Oliveira Vasconcelos ESTADO DO CEARA</w:t>
            </w:r>
          </w:p>
          <w:p>
            <w:pPr>
              <w:pStyle w:val="TableParagraph"/>
              <w:spacing w:line="205" w:lineRule="exact" w:before="0"/>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0201077-24.2023.8.06.0095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309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de Consumo</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5061"/>
              <w:rPr>
                <w:sz w:val="20"/>
              </w:rPr>
            </w:pPr>
            <w:r>
              <w:rPr>
                <w:sz w:val="20"/>
              </w:rPr>
              <w:t>FRANCISCO CAMELO DA SILVA BANCO BRADESCO S/A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0201077-24.2023.8.06.0095</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3349"/>
              <w:rPr>
                <w:sz w:val="20"/>
              </w:rPr>
            </w:pPr>
            <w:r>
              <w:rPr>
                <w:sz w:val="20"/>
              </w:rPr>
              <w:t>DIEGO DE CARVALHO RODRIGUES - (CE19646-A) DIEGO DE CARVALHO RODRIGUES - (CE19646-A)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5061"/>
              <w:rPr>
                <w:sz w:val="20"/>
              </w:rPr>
            </w:pPr>
            <w:r>
              <w:rPr>
                <w:sz w:val="20"/>
              </w:rPr>
              <w:t>BANCO BRADESCO S/A FRANCISCO CAMELO DA SILVA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4127"/>
              <w:rPr>
                <w:sz w:val="20"/>
              </w:rPr>
            </w:pPr>
            <w:r>
              <w:rPr>
                <w:sz w:val="20"/>
              </w:rPr>
              <w:t>ROBERTO DOREA PESSOA - (BA12407-A) ROBERTO DOREA PESSOA - (BA12407-A)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0201191-24.2024.8.06.0031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Contratos de Consumo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RAIMUNDO VENTURA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VOTORANTIM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3000299-66.2025.8.06.0143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LUZIA RODRIGUES DA SILVA CAVALCANTE</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0201549-03.2023.8.06.0070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ANA MARIA VIEIRA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DOUGLAS VIANA BEZERRA - (CE21587-A)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SANTANDER (BRASIL) S.A.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08" w:lineRule="auto" w:before="26"/>
              <w:ind w:right="2516"/>
              <w:rPr>
                <w:sz w:val="20"/>
              </w:rPr>
            </w:pPr>
            <w:r>
              <w:rPr>
                <w:sz w:val="20"/>
              </w:rPr>
              <w:t>EUGENIO COSTA FERREIRA DE MELO - (MG103082-A) CARLOS FERNANDO DE SIQUEIRA CASTRO - (CE14326-A)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3037766-20.2025.8.06.0001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313</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3037766-20.2025.8.06.0001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FABIOLA OLIVEIRA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IGO MACIEL DE OLIVEIRA - (CE28222-A)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VOTORANTIM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JOAO FRANCISCO ALVES ROSA - (CE37066-A)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0200661-33.2024.8.06.0059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Repetição do Indébito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ADELINA NUNES DE MENDONCA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MARCOSORRITE GOMES ALVES - (CE38659-A)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NELSON MONTEIRO DE CARVALHO NETO - (CE39997-A)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3002648-83.2024.8.06.0173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Tarifas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LENUZA BERNARDINA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FILIPE MACHADO MAGALHAES AMORIM - (CE44977-A)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THIAGO BARREIRA ROMCY - (CE23900-A)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3000060-68.2025.8.06.0141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1º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MARIA REGINA OLIVEIRA CAMARA</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IRACI MENDES DA SILVA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LUIZ VALDEMIRO SOARES COSTA - (CE14458-A)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3000060-68.2025.8.06.0141</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3002418-85.2024.8.06.0029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MARIA DE LOURDES MOREIRA OLIVEIRA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LEONARDO ALVES DE ALBUQUERQUE - (CE44942-A)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DO BRASIL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WILSON SALES BELCHIOR - (CE17314-A)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3022940-86.2025.8.06.0001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AURILEIDE ASSARE DA CUNHA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JULIO MANUEL URQUETA GOMEZ JUNIOR - (SC52867-A)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DENNER DE BARROS E MASCARENHAS BARBOSA - (CE41218-A)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0001247-54.2009.8.06.0035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319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Nota de Crédito Industrial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DO NORDESTE DO BRASIL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RICARDO LOPES GODOY - (MG77167-A)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4134"/>
              <w:rPr>
                <w:sz w:val="20"/>
              </w:rPr>
            </w:pPr>
            <w:r>
              <w:rPr>
                <w:sz w:val="20"/>
              </w:rPr>
              <w:t>MARCIA PEREIRA DO NASCIMENTO JOSE OLIMPIO MARQUES VERAS ECOCO INDUSTRIA DE ALIMENTOS</w:t>
            </w:r>
            <w:r>
              <w:rPr>
                <w:spacing w:val="2"/>
                <w:sz w:val="20"/>
              </w:rPr>
              <w:t> </w:t>
            </w:r>
            <w:r>
              <w:rPr>
                <w:spacing w:val="-5"/>
                <w:sz w:val="20"/>
              </w:rPr>
              <w:t>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3000814-34.2025.8.06.0133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320</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3000814-34.2025.8.06.0133</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ALVES DE SOUSA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MARCIO EMANUEL FERNANDES DE OLIVEIRA - (CE53206-A)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ITAU CONSIGNADO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ENY ANGE SOLEDADE BITTENCOURT DE ARAUJO - (BA29442-A)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321</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2º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FRANCISCO LUCIDIO DE QUEIROZ JUNIOR</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Práticas Abusivas</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MANOEL FERREIRA LIMA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ANTONIO SERGIO ALVES GONCALVES - (CE52027-A)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08" w:lineRule="auto" w:before="26"/>
              <w:ind w:right="1505"/>
              <w:rPr>
                <w:sz w:val="20"/>
              </w:rPr>
            </w:pPr>
            <w:r>
              <w:rPr>
                <w:sz w:val="20"/>
              </w:rPr>
              <w:t>NU FINANCEIRA S.A. - SOCIEDADE DE CREDITO, FINANCIAMENTO E INVESTIMENTO</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JERFFERSON VITOR PEDROSA - (CE45426-A)</w:t>
            </w:r>
          </w:p>
          <w:p>
            <w:pPr>
              <w:pStyle w:val="TableParagraph"/>
              <w:spacing w:line="215" w:lineRule="exact" w:before="0"/>
              <w:rPr>
                <w:sz w:val="20"/>
              </w:rPr>
            </w:pPr>
            <w:r>
              <w:rPr>
                <w:sz w:val="20"/>
              </w:rPr>
              <w:t>MARIA DO PERPETUO SOCORRO MAIA GOMES - (PE21449-A)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59"/>
              <w:rPr>
                <w:sz w:val="20"/>
              </w:rPr>
            </w:pPr>
            <w:r>
              <w:rPr>
                <w:sz w:val="20"/>
              </w:rPr>
              <w:t>&lt;p style="text-align: center;"&gt; &lt;img src="data:image/png;base64,iVBORw0KGgoAAAANSUhEUgAAAEwAAABnCAYAAACq/K TeAAAAAXNSR0IArs4c6QAAAARnQU1BAACxjwv8YQUAAAAJcEhZcwAAFxEAABcRAco</w:t>
            </w:r>
          </w:p>
          <w:p>
            <w:pPr>
              <w:pStyle w:val="TableParagraph"/>
              <w:spacing w:line="208" w:lineRule="auto" w:before="0"/>
              <w:ind w:right="13"/>
              <w:rPr>
                <w:sz w:val="20"/>
              </w:rPr>
            </w:pPr>
            <w:r>
              <w:rPr>
                <w:sz w:val="20"/>
              </w:rPr>
              <w:t>m8z8AAEulSURBVHhe7b11YFbH1vZNcZdCqRfquMfdiOGQhLi7IEmIu5OEKIEEd3cpbqXU KFqhLVRwCrRAcenvXbPvpHJOj7ynz3mf749vOHP2fd/ZMnPNtda61uzZu434D8svvzzhCY</w:t>
            </w:r>
          </w:p>
          <w:p>
            <w:pPr>
              <w:pStyle w:val="TableParagraph"/>
              <w:spacing w:line="190" w:lineRule="exact" w:before="0"/>
              <w:rPr>
                <w:sz w:val="20"/>
              </w:rPr>
            </w:pPr>
            <w:r>
              <w:rPr>
                <w:sz w:val="20"/>
              </w:rPr>
              <w:t>+lwuPHj7hz5xY//XiFy5fO8enxE5w4+hE/Xr+m7Xvk44/wHmdL4FgjwsbpEzHeCO8R/Rhq2Z</w:t>
            </w:r>
          </w:p>
          <w:p>
            <w:pPr>
              <w:pStyle w:val="TableParagraph"/>
              <w:spacing w:line="208" w:lineRule="auto" w:before="10"/>
              <w:ind w:right="20"/>
              <w:jc w:val="both"/>
              <w:rPr>
                <w:sz w:val="20"/>
              </w:rPr>
            </w:pPr>
            <w:r>
              <w:rPr>
                <w:sz w:val="20"/>
              </w:rPr>
              <w:t>+6OXXcf/CQH69dIcZnBKlBDkxPdWV64nBqEkaRKN/LijO083zx5ecE+41hhFUPor2siHQzJ Xi0CT6jrYmfHMVDacfDRw/5+puvOXRoL998+Qk/XjnNzRuXuH3vZx7/8ognT6TNWtt/qf+nei DlF93mX5X/GLAnT57w8OEDPjv2CUvnVlFZGEfyBBcifO0ZZtWXccMsSY6dxIZVK1g+v5Kk MHvemT+RXQuj2L1kIjOzXUiNHEWo1xhKc7PZvmoBaSFOrCwLYPeicHbP9efdBeHMz/Mg O96LbRsWkhTtj88IM0oSPNg2bzI7F4ayc1EYq2tjiPYdxsHdW6mpKMLTzRkHq4H4jbNgop8 TOVOCqa0qYM3KhVy9elnX/l8UWNon7f//q4A1XOqnaz8yLSeFaA8rFhT5sH5mkIARS3q4N RnR40iK8MTJtC9eToMoix/GvgVRHFwUwfvLY9haF0jRRFsS/S1JC3UiM3wos7LGsHdRJO</w:t>
            </w:r>
          </w:p>
          <w:p>
            <w:pPr>
              <w:pStyle w:val="TableParagraph"/>
              <w:spacing w:line="208" w:lineRule="auto" w:before="0"/>
              <w:ind w:right="35"/>
              <w:rPr>
                <w:sz w:val="20"/>
              </w:rPr>
            </w:pPr>
            <w:r>
              <w:rPr>
                <w:sz w:val="20"/>
              </w:rPr>
              <w:t>+tiOLQ0hA+XhbJ9roQimKdyYhyJk1AT/a3Zl62DwcXT5Bz+XFwqT875oYTPXYwrlb98R5u QmrMeCb727C8KoJ35k1kZVUQNbnjGWHXj/fe3aW1/bei+qJA+/cQ+48Zpsr1H36gRsylOt2 LA0tj2L8wgPeWR7F0qjtTJ9pQnjqaucUBLK8MYdtcYdb8SLbNCmbzjCDWVgWyssKP5eXe LCoZz4JiN+YVujEn35XZ+fI5byyL8kYJw8YwX863aJoPS8u8WVHhzbrpfnIOP7bPDmDXvG D2Cmu3zolgRWUQswu8mBrvREWKE7sWhHBgUbC0K4iDK2MJcTfh0LvbdY3/Az4KsHqm</w:t>
            </w:r>
          </w:p>
          <w:p>
            <w:pPr>
              <w:pStyle w:val="TableParagraph"/>
              <w:spacing w:line="208" w:lineRule="auto" w:before="0"/>
              <w:ind w:right="14"/>
              <w:rPr>
                <w:sz w:val="20"/>
              </w:rPr>
            </w:pPr>
            <w:r>
              <w:rPr>
                <w:sz w:val="20"/>
              </w:rPr>
              <w:t>/YvylwC7c/sWs6cXkD1pFAfXJLJzXhCbavxYVR7AUmFcXZYLlamjKE0cRsEkW/Im2AhTLE gJtyQlyJop/mbEehsxyUufGM8hRHnoEempr9Uo+R7jMZgJUid6D9HqJF894gP0SQ0zFhab kxlpS26MPYWTHAQkR8qShlOb6cHCqf7CqgA2zvBlx2wx7SWR7Fk8mXDxe4c/3K9r/B/w+ X8EmCp7d23Ce4wp6dEOZESYkRpsQEqgKSkCxiR3AcCtP5Hu/YlyH0CMdDrGT59ovyHE BRmSGGLGlGBL4oMsiQ0yJS7EiPgwQ6nmTAm3YrL6LchMQDIjzt+cWH8rrcb5WzDBx5g YXyMivfSI8BhChLsAPl6PyR5GYuYWJAWbkRxoSEaIKQUTncRtmJGXFsMPl89r7RYXXF/ Uh3/TgUn5y4DdvPEj6QnRGPd/njAPQ5JCpbHSySkC2uQAIyYECDv8hRnyPc7PjDA3PWG PPrF+RtJxY+ICjQQs+Sw1IciYxGATiaJ6uDv2FEYJcEEWJAYYCxsNtf1j/U3lWDlXoBnB4wc J+AbEBuuuNdlXzissnCiDEuMr1w0wID7ECvdhA7DQf5M9OzZrbf5FHP7/8yipzq8urMr3335 NQX4qoYGj8B0jrHIdSLJ0PFWZTZQV+bGOlKe4CGDmuNm8TcmUMSwp9RSf5M6a6gA2</w:t>
            </w:r>
          </w:p>
          <w:p>
            <w:pPr>
              <w:pStyle w:val="TableParagraph"/>
              <w:spacing w:line="208" w:lineRule="auto" w:before="0"/>
              <w:ind w:right="32"/>
              <w:jc w:val="both"/>
              <w:rPr>
                <w:sz w:val="20"/>
              </w:rPr>
            </w:pPr>
            <w:r>
              <w:rPr>
                <w:sz w:val="20"/>
              </w:rPr>
              <w:t>1UawcWYom6RumTWBqhQ3IscOYM30aLbMiZS/B0hA8WdNjT/LKwJZXBrEvKlBeAmoYa 6DmZYyVsxxJPkxtmSHWUgQUcAaEORuhJ+XDcGBw1m+uJafb93Q2qvarQtcDdt/v/wlhila Kz2myrUfr7N27VImSONKpoyWDkawebY449kxbKidQGnyOLImjSElbBRJgXaUT3GSwGBJ ofih/FB7ckPMyQszoUC+x3qa4W37NlkhduSLv8sNNyYn3EyqDQXRdpTEOpAeaktKqCMFs S7ix4axtiZKwBaA62LYXBvKqqpwYkOHkZoczidHDnD//i2tnX+1/CXAtDF68osIV90o7d6xXn yUHRlhlmSGWBMnppcmZjbJy5BwdzGtcFfigkeREOxMjJsBC8Q5p4r5pgSYU5cznlkFbuJ7L PAdOUDqIEJcBlMYP1yipA/5E4Yy2dOAumxPOb/4MT9bpoSOJS50HIlhI4kYN5hMYVdKoL BrfH8KYoYS4qrHtII4Hj+6p7VP1+K/Vv4aYIraOmZz784dKqemkhY1TKRCAIUTRFuFWotEc Cczxom0GB9sDAYwzsGIqpwoMRsHDq7NpjjOQRjpzDuL4ylJHUlZpj8l2REUpIVQlR9JQaIL C8tDmJXvSY6Y3ObZk6lJd6c0NRDPMXYM6fMqJVnRElHNWFwSLBJnHFEu/SVS+lKbN5</w:t>
            </w:r>
          </w:p>
          <w:p>
            <w:pPr>
              <w:pStyle w:val="TableParagraph"/>
              <w:spacing w:line="208" w:lineRule="auto" w:before="0"/>
              <w:ind w:right="3"/>
              <w:rPr>
                <w:sz w:val="20"/>
              </w:rPr>
            </w:pPr>
            <w:r>
              <w:rPr>
                <w:sz w:val="20"/>
              </w:rPr>
              <w:t>6UmLEc3LdTa68Sq3+1/M8AJuXDA7vJnOTNkopIts6LIV2iU260tWgxZ3HI5hSkRNPjledFP OoLMIEES2pUIDIj3nsgCX7i0CUIpISrfV0wGdiXgW++zhg7iXCJAYS76ZMsTEzyNSAnzIyJ7 gNJkizBY5wdr77UiaKMaILHDqE43pkiGYAJ4weyoNCdd+ZGkhbpyNzqYp48fqhr6F8sfw0w MUdVVJo0b3oRrrY9xcRMyIsyJUukQUmck6bBIiV6Ts2I4u1uHXAbYUBZhg81mePYWCda qTaQjeJ70sRXTc8Lxc6wNy906sgLHTrwxnNP4y/pTXGyK3OKPMUXhrJhRgiLSgNJiRpBkJ cTfd56jox4f8lTh1CV7kpV6jgKJzoIw63F35kROU7kjN8ovvj0uNbWv1r+EmANLuGLz49QlBb GnIIgEYuRbJgeKk44iHXSuQUlwhBJtqvzYxlhq0L9GJEcw0SJj5X9XajNGsvMLA9ivIwoSPb DsP9bvNilC92fe56XOnfC3rQfpekBJIdZy34uzMgYQ22uu4hcExIjXHFxNCYvIUj8lZGAGsSa ylBWi2hdWyORVa6/ec4EUiIlR10849cBboju/0n5DwH74wU3rJ5HkKs+cyRfq0sbTpGYYl60u ThqK6b4GuNi/SY1BVECWjTpMW6EjDaQPNKJsgQxQVHy6WGOEgwciQkcSf+3X+X5Z56 h2/Mv8pwwzdKgP6WZkUwJsZeoKLmnmO7MDDeiRM9lSLI/PS+G6flR+IzqL6DrkSNyJkdlA hJxyxKHMzNTkvyIoaTHBfPdt2e09qrW/6eQ/VPA1El/FcTap/r6yyNtqkSV6z9coixrokQwfSoS bFlYMJ4EL2PRUiMl8Y1ivWisrEhrEgJMpMPWJIfYUpHswsqyQJaW+IsgNSIrZiQThXWOZg N59dnOPNOhE107Pk3nNm3o/2Y3onxHSkQcLtHQTlS8CWvET1anukumYMMkyQCifUT8S nRcWhnMtgUxLJNtZrQt0zPGskAcf0XiKNFrxuzcukrarpOqj9W2ATn1w7+J4D9nWP0JdULv z8v+HZtICHFhw+wkFpf5MavQn9BxAkKEEzPSPQQ4qek+lCX7MjXJj6IkfwoSAsiXmjPFj7jw caRM9GVSqBeBnuPEL3ng7+1NgK8vQT5SvbyI8PMiOSaI5Am+JEWNJ1/OkZsQSH5iCE Wis4qTQpmWGCwD4UepgFSU5iJplQUJkkUslCi9UnxeWfwY+dskrl+6UN/y34oII22e7N8p/ wIwgUmGocHmH8hJL179geMnTrJ/3z42bVpNcmwUIe7OIgGiKUr1Ii85gLS4UHLT4ygtzGR 6eRFL5tWxfuVydmzewnt79nP4/Y84fuw4X5z6jO+/O82Fc99y+eJZrsu5f7r+Iz/duM7Nmz9x6</w:t>
            </w:r>
          </w:p>
          <w:p>
            <w:pPr>
              <w:pStyle w:val="TableParagraph"/>
              <w:spacing w:line="208" w:lineRule="auto" w:before="0"/>
              <w:ind w:right="20"/>
              <w:rPr>
                <w:sz w:val="20"/>
              </w:rPr>
            </w:pPr>
            <w:r>
              <w:rPr>
                <w:sz w:val="20"/>
              </w:rPr>
              <w:t>+ZNbvx0ixvXb0pHr/DDhQtcOv8tZ05/xpdffsrJk8f4+KMPeG//PnZv2cSG5QtZOGsaVWW5F OUkkiNgFqYFS4QOolCCjr/3WGqmV7Br5zvs27dXu/5PktoJ3+rrvy7/0oc9eaz4Cme+OcP8h QuZPWsOc2tnM72ymnK5+Iy6KtauWczB/Zs5emQv33zzOdevX+fnu7e4//iONnoN5bFkBY8 ePeb+vQfcvnOPGzdvSYZwjcti1hcvX+D7i+f49tz3fHf2DN98L/W7M3x79nu+P3eec+fPcUHY cenyRa4KsD/evMGtO3e5ff8BD2Q8/9BdafLDB0+4desW5y58x4nPjvLuoQOs27iWOhm8yp pqKqurqa2bJbWWDRvWCSl0Z9BJpX9kT//Kh2kH/sL1a9cpmTqVmuoq9u/ezbdffsVN+e3R Y+XHdPsIFNy9d4erwpBvv7/Ap5+d4P0PD7Bz3zZWb13LrNXzmTqvkqzaEpKrs4krT2FiSQI RhbEE50/ALzsaD3HuHplReKRF4J4aLjUMz/QIvDKkZobjmxNBkDj58IJYYoqTiJ2WRkpFDt k1RZTMrWTuuoWs2bGGnQd38NGxj/ji6y+4eOU8d29LWvTgQX1bn/D44QPxvdf57MTnMtjr yc7OYePGjfI3+atIJFX/UfmXDFOXmFVbS13NdH68fkUu95Drt6/zxfdf8u7H77L6nbXMXDGb wjnlJJTnEpw1mfEJwThP8sQychwGks/1DRpKd38LungZ0N5zEK28+tLcqwfNvXvS3Kc3Ta Q+JbWRbx+e8utHE/9BNPGT6j9Aan8a+/aVKvv596apXy+a+spx3r1o6dmbtuN700lSoeck2r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8"/>
              <w:jc w:val="both"/>
              <w:rPr>
                <w:sz w:val="20"/>
              </w:rPr>
            </w:pPr>
            <w:r>
              <w:rPr>
                <w:sz w:val="20"/>
              </w:rPr>
              <w:t>4aYEqfUBv0IxyxFoU/Is4Xj9QIJksGMnVmCTOWzGDVjtUc+ORdzpz7htt3bwvjH3H06BEyM tP55JNPdH3+TxmmyvoNGygVdp2TkHzn3i1W71yLf0Yk9hPHYxAxnD4SubqJCu8cZESbIA OaBvbnqSDpfOgAGkUNockEPZrFGdE80YTmKca0SJXPGSY0zTClaaYZzbPMaCq1mbaV 36Q2ybSgSZaq5lLN5Lv8LdNc9rHQ/t4s21i+G9NMztM83YQWafJbihybaEpjuVZjueZTYYNo FDyYRoFDaC61S7ABL4nk6BFmK4BKRJ7gQbwAefrc19z++Sd2bNtKbm4u3333vdZvnWn</w:t>
            </w:r>
          </w:p>
          <w:p>
            <w:pPr>
              <w:pStyle w:val="TableParagraph"/>
              <w:spacing w:line="208" w:lineRule="auto" w:before="0"/>
              <w:ind w:right="2"/>
              <w:rPr>
                <w:sz w:val="20"/>
              </w:rPr>
            </w:pPr>
            <w:r>
              <w:rPr>
                <w:sz w:val="20"/>
              </w:rPr>
              <w:t>+PXiN6i1KK7qPv0XED8Sh5uXlcuzjozy5e48Pjr0njBlKS+8+NA0eSOPIATSNHULTBAEqzU Q6ZspTWcY8lW1EI+nYU9Lhp6SzjaSzjbStCY2kk09JbSQdVZ8bScd/20rVtup4VeVzVv1+A vBT6XLudPk9s75mGdbvo44zla1co74+pVW5fraltEGAV+1LMKTxJD0ZSGl7QD+elSwgcWq K+NzLElyusWD+XKZXV/46DaTuhinz/D1oOsCk6MBSFq774ez331NQkMfWLZu5f/chX37/D aPivOjs0492SSYy2tIIAaCxdLKx2qqOqk6ozmodauikrjbKkI6kSwekNk4TANPVd+lU/Vbtq3V agS6gNBZAG2vHyr4ZCnAFfv15MiwEdHUudXz9NdTx/6KqgWqswFcsFkDbTzDkNRHcVYu mc/fBz1y6eIFp00pYumSRgPTnQUAzyV/Bqp/b+vnnn5lRPZ0F8+Zy88YNromDjylKpaP3EDr Em9BOTOApBUzDyAt7NCb9voFa58REpDNN1P71jFLbJmlm8rt0WHVaMaL+eM1M1T5yb GMBpqkA0ry+NlH7i6kqsBqlq62lbIU9qsoANJZrNE4TBv6+DX9X1fUVS9XgGss5zWgZoU8/f 2vW79nIXQkGn3/+OVMLCtmza7eGha78FgQaNYDVgKGi4dIli6koK+XKpYvatE31jCq62w+ kQ5QJLaWhTQWspzLFHOpZpNV/BJh0QlUd83QNbSwNbqoaLp+fypFRl6p8U0sBs1Wq6oj Ox7UUM2otQLQU0JvJ+RtnC9Oy1TUbBktdU1cVe55SJv37NvxZlTb/CpqYexMZgNaBA7G OGMlHJw5LML3He3v3UZiXz7ETuoRdxzYdQo2UNmpglqLenj07KSzM59QXn4mWucfGHR vRc7GkmekLdHTvR4ckMcVsdWEBTGtsvcmoqsznd1WZim7UFbiqKpDkN2l0E3HcymG3Tj CifYwhbYOG0M53EO28BtLRUwbHY4BE1IG08R5I64DBtI40pHWsDFiyOs5QG7TG2jnrXY</w:t>
            </w:r>
          </w:p>
          <w:p>
            <w:pPr>
              <w:pStyle w:val="TableParagraph"/>
              <w:spacing w:line="208" w:lineRule="auto" w:before="0"/>
              <w:ind w:right="1"/>
              <w:rPr>
                <w:sz w:val="20"/>
              </w:rPr>
            </w:pPr>
            <w:r>
              <w:rPr>
                <w:sz w:val="20"/>
              </w:rPr>
              <w:t>Dmx/45YBr7tIGUAZN2qYFRfq6lMLSD1wC8E0I4c/40T+7fYd3KlZSVl3PpyiUNm4aiAdZgo5 9//ikF+bns279HNNZ9Dp88jHXISDr4DuTpCANaOrxMu/G9aJMs5pKtzOKPDfp9/dW3aPTX AdZUAG6bak2HKVZ0jDClnetg2tv15WnJITubG9PF3pauI5x50c6KzqZGvDJ8OM86OtBxqC XtrPVpbzOAdiMG0cFP5MlkHSMb5whYUhVrlen/WVv+rDYRwJopNitTFv/YKt6Ul8YPIaE6k 2s3rnDn1k0qq0TbLZyn6cuG0qhhevnKpUuUFhexcsVSHjy6w5nvv8ZD9FR770G0TDWlhV C+c6Q+rR1fpY17b3H85gKA+I5fgfmzhqkRbwDLlPaJFnQK0aedcz86mujT3dGJV4e5oR+Sg sf0DQSu+oTA9SewyqzDNHkGQWuP4bvmOF5LD2KbNYPe7qG8PdqTLjY2tBo6mFbu/QU 4fdqK6TYTv6j5ub9rwx/rr20Vpqmt8mMqYjcR0FpPNKSbhx4zVtRy78FtyT4ukiuBb+OG9b/m mprTv3//HnPmzqaysow7t29y9cYlUkVFP+smIjNB+Q7xFyIVWkuDOoUa0NyhG63dewoAlmI eFjROVf5DNULn03QN0pmIRnn53mGiMHTM27Qwe5OXR47FIrOaoPXvY1u+EsdZuwjadx 3/vTfx3XiRgSnLcK59D/+dV3HffUN+v45T3V4cStcTs+kzxtZsYFDYFJ5zsKKN5Zs8LRbQKk XakCPXVRFQ2tC4HqDGAogWieu//wqY7NdIyQ75m9pH/U3JolYh/RkSbMvmd7dy79F9Tnx 6gpzsLA4f/lgHmEpqNm9eR35RrqQRlyRC3mTG8lpec5eIKGG3mfJTmiYSRy8nbZ1qSYcw A1oIaO3c+tAh0Ur2UVpHGqwA0hyqaoxoHvneOtOepwXkdlZv8oyY1QDvMNym7yD03esE HLqBZckGnGe9i8+7P+O+6yrDZ3+EefE2vNZ/jdeOy3jtu8HIVZ9iULgWlzVf473nJj57rhK553 uc8+fx1vDxdDDqL4PRS1gvAlh0VzONMSowqYhcL2MUYPWBSANO1XrwtM9SG4s1tBBitJ KMwinShSOS3D+UTGD7jm3k5GRz+fJlGh36+AOKxcl/fvwYjx/cZ/e+PQxxsaK972DaqZCtz Eo5VDFJNWpNxAw7pFrxdJgeLRxfFvNUPk0ip1Ba+YTGaQJutpihANw+1YwOAXp0MOvB ANdAxk1bzrCSpQwXgLz3/sj4HecwL1zFiDnvC2C38dxxCYOclbgsO4Ln7muME8aNl9/MKjZ hIdV//4+4bf9JQPsJl3VfYF28Hp85e7BPrqCzpQ1tHQfRebIApkRztoFWVSRUWu4pMdkGsD TAGphW/13ps6YZsr8c87T071mH3sSnJXBREv87d35m5coVVFRUyN+LCijMzeOeJM2PRc 0f+vAQQ0NdaOMhEUqcuxKn6qKNBSidFhLQpEFtU8U8w/RpJqC1dushTLOUFEVpKXHA OQa0zrKka4ABrQZ2o9/Y8YSuPIr/povSyY0MnXUI7323GbXyJBb5yxi37Diee2/huv4rhqTNx 2P9Kdz2/sz4vXcZufg4Q7KW4r3pGzx2XWf8nuu4b/0OA2Gm9awDeO29QsC+CwwvW86L Nva0t+9Ju0QxMxUMskXVK8tQwIjr0IndPwLVUBUxGmcZCEOlbzFGdButT37FVC6dv8AT0 WenvviC4RKEGh0+epRZM2uZUVHFt6e/ER1ynw8//wTneE/aiapXoGkiU6oCTLN9acxTsm2 dZknHcHG6Tt1oM14amizRRsyhjYDaMdqYNiZ9GDzGF5ukcnz3XmLs5stYFW1gaN27+L17 F/va/dgUrRQwzmissajYjkPlVjy3n8dz3y08N57FNG8dznUfihnewXXXDbx2CivLNkrdhLsw1H XPLVx2/0j4/vOML11AJwMJUsP60iFZclHFMMUaaZOWHWj9+B1Q2u/1n8WKmomvbiP5b3 cvI7IXTuPCj5fEv99l9/YdTC2cypo1a3RO/9rVqyxYuIDcwgJOHjupJL+Itg8ZKhl/W7/BtE2x0n yBUunKLzQSP6WUdRMZtXZpVnQS0Jo7vSSBoAedp1jyTKw5LcQZ9/QNw2/ePvTiZ+Cz/T vGCzMspy5haO1OQt+7jVXpVmxK1hKw+xJ+Oy/Te8psRi/8EK93bxCw5xKuc3ZinjmXsO0X 8Np9E+/dl7Gs3o5+8Vo8tnwj32+Iyd6Vc4s5rzmNffkGbBOm8qypsH+cuIIUCUgKMGGZcuy N/8YsVW1gXGPl8KcY8orbYLKnF3Dt9jXuPr7LClENU/PzeXf/uzqn/7h+gvCeRMrl69eSnzeV U4dPiOR/xM73djEgwJ7WAkgLlcuJU3wq1UDM0YrXi8cJoyxonizqXEauQ/hgmtm/SGdXEZy OfXjR2hqPhbvx23GBwQmzCd54Ct9NXzI0fy4jZmwiSpy+mbDHctpmCQDXGCt+y0RMz3Xt 17hvv4hz5XoGBsRiOTELp9x5jK5Yx9C8BRil1+G+4QR++6/jtUsCgNSxS7/AKHc9w+e/T+S 2b7GfMo3Whv21GZTWKmiJSFb+V0mgvwVMG3iprVLE3/oOIDgjmh8uXhIzfMiSZYuEWXm c+uwzDSNVRLiKDnuiu6HxQCLCspVrJJcq4fuzZ3koB2XXldJZfFHzZEPxZ7rt27ljmLCrmiHT vOiQYEILYZ4CrUu4ER1MX6fLgN7it4LxW/spvjt+wDR7Ge6rDoueOsxA9zispENRO85glrM Wi/IdRLz3I4MzFzG6Zid+u67huugI/X2TMPaMZErFfGrW7mDept0kTRMGTszDZeoyiaKf4b PzLGNm7sEirhq77Ln4rD5CoJhy4KaT9PEPprn5q3SJl1xUpW2/N7/fAyYgthBLaR46EINQR w4d/UDLgrZs2UpeXjZfn/pcw0abxRGs6ufDlHjVCdh79+9TVVVDzYyZ3Lt3l6/Pn8EyeixtQiR qZlrhsDaBmcc38emNC6w+c4iYbVN5qWSkaDEbnpliTQvj1zH2i8M6oY4RtXvx23aeYWXbs S5YxKiUcrzDJjFqYiwjcuqwz17D8LoPCNrxPQPiZzF23hGCxYlbZS+kd0gWnrN3ElS3FY/UA sJTcli7dS+fnPiCxRt3MiI2B4PIZPTcw/CKTCGuaAY2E/PxWv0V4QcvC/jLedrEgE6u/WktUq OpDKhik4r2mtTQTFGnAFonGtPdx4j8mhIeCw4nT5wkKzNLzLBh8Z0OrN8BpisNKdKpU6fIz y/g0HsHte/pMwt4wc+QNrGm9Ch2Y/7n27krvx+7/i1jaqMkYTaTCGlDO1Hez1jo4zZzPb6rT6 CXOhdPCf+eiz5gYFAqw4LCKS3NYFJyHGYeYVinzMV73RmcZu7COGcx3uvF+S8/Sp+YU hyqthG85wqeKw5jk1AuABUyLnwK6Tn51M2ZT3JuMckl5WzavZvjh49QMa2K0JR8nHPn47</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PqKMPE1PuODqGd6du0TdCnSZ5ETck4FFBKl+mEtvg2UQDNwwdgGj6cE19+rt1+mzFzJj NqanjyuP5OgcDyp4Cp0gBaXV0ds2bU8khYduD4IfoG2dAybDBd04eSuLeWLd99yJJTOxk4 1U30lyTGCRIVRcW/aj4Mt/m7CNl/gd4TKxi/7BN81h6hr2sEDi4jiQpxwstlBHp2w4RhswjfdxV 9AXZozSZCd5/DKGk+DtP3Cusu4b/1NCZFa4SdqwmpXkv6tBqOHP2Yh/du8/j+Q4noD7Qp 8wtnv2PevMWEJecyODAB49xVuC/9isC579Ld2YmWohVbacm5+GBN+Uu010SsmrU1o13 gYHwzIngkefUnR49QXFLCieO6mQpttXU9Jqr8HcMe16N64MB+KkrK+Par01y5+QN2E0Sb hQ2hS+5QrBfG0DN9NPo1Abxd7UEbAaxlQE9esjPFNrIQ68yl+Aiz7MrXM7R0HR7iW/qMiW CkAJWREkzipHCM7J0wS6ogcOPXAtJs3JZ9wIi5exk0ZRbeG88RvOs89uKrDMS3jZr/AX4F s1m6ajU7D+zU1uE/vqtbXHLn8QMmZ+Vi5zOBgT5JOJSLwN12lqDtlwhac5gBXiE0t+xJh3iV</w:t>
            </w:r>
          </w:p>
          <w:p>
            <w:pPr>
              <w:pStyle w:val="TableParagraph"/>
              <w:spacing w:line="208" w:lineRule="auto" w:before="0"/>
              <w:ind w:right="2"/>
              <w:rPr>
                <w:sz w:val="20"/>
              </w:rPr>
            </w:pPr>
            <w:r>
              <w:rPr>
                <w:sz w:val="20"/>
              </w:rPr>
              <w:t>+9ZLJDWzUj8j2yzRhFdCzCicM0073/JlyyibViYxT4fDY3VTpN5dqfIPGXZF0oBi0R4HDhyQ A57gnx1Nh0hx/MpJigk2F3HYLEXkg6RFndR8uqRK/dy8iRY2GacswnnaO/itOcaAmGl4LPk Yo+BMnMeMITc/mwQxycEOwxmev4Qx5duwzlpGyNrP6RdXwUgBLXjrGdFjG8WvVRK05 QweykzHR2HsFY1DSiUe2TNYuGYXN28K06RtCcXlWE0sxmfl55KT/igDdBiL3Cp6RUbyiq MdbQzfon2wiOgMK/FlSsCqdE98mIjUprFG9Aq3Zf3ujVrfZ4ll1Yr/bigKjd/g+hPAGsqjh48EsC Le2fGO9n1SSRIdI1WKJDVNhWkZnTQLkRuWtI/Wp72kP6+PDMRtyUea3+k/oRKvJR9gO GU640Q72cdPw8Z5DEtWrCV7ai6vWwzFu2ordmkiGUSsOhVvwFI0V+CmExJV59E7SoBef ZKA7eewlRRIL7GWMYuOEbj/HiGi+i2DM9i0a6/4mTtsE43kXrSYINF5Xos/5s2AKDqNMuU FHzNe9TGnvXE3OowQ0ERYN1N6TJmjSpmkL00m6tM/2okPTn4kQe4es2fNYsWy5VqfG5 D69wATiVFSWMjWbbqFtAmlKXSKUGCpC6l0SVHbglY5VrQe34e3hzvhnD6LQbFzpNHvY 5O/EOscMafpGzGdVM7I+EIMrBzZ9s5OSqYV0s9+JM6ps7FJmy2AbkBvUim+c/fgULqWAX HTGb/gkIB3GsPMheLj5og+O03Iu3cYt/ILbEs3ox+URtG8pRw8dJAZtfMZHltEyOr36R8Rzz Oj7Hk2xJZnwsx5McKK523fpqNVd9rFGdNcSQk16FpyLk5/whD6RDrykWQ3t+/cZrYwbLWY vlb+ll5S/iFgal6/vGgqOyRTVyW6IIGnI2VkVDjWNIwAJn6gjUiNdg496WbtQOTS/Ywt28Lg6D JR+DsYEJ3H2MqVGAckSYSMoP8QPVLip+DlOhZDWyf0PKMYkTsbq5QaRhcvZETJKgZ MnE7w6uP4r/wE/cTZwroFovS/EjV/AZvSbRhJZDUpWMP4uh0k1a2hrGoWJaU12PtG4ZCa TZcxVrwU6MDTobZ0CpWsI9yaF8YMoaPpa7QLH0JzGWjVB2UpjSUQNJ6kT49we3Ydfleb mZhVO4sFc+dpfVZgKQ/1TxnW4MO++uorqkqmceTjw9wT1e+WHEb7SBmRhjkvNWGnpR NmdLHqR8/h7hglVOAxdzfD8hdhElvO8IJ5mEYXMDomg8LKMlJTE8TMC0lJnEKh+MeQhG SsIlKxSa1jWO5CDCdNw71uF9byud+EMoaKmUZvO8OIut3op83FLm8JXvMPEP3uZSYfO M+EsiWsXLWedes3YODkRFdbA5E/VjwbZk0XBVaoBV3CLHne14y2Rq9qN31bZFlK+3V+T E0/NYs35NUQG+asW6r1e+H8BdTVzNA+KyRUHvRvAbZ9+3ZqqqdzUdKEiz9ewTJ8DC1k hNSoqJsQyiybymi1iNCji1l/xiRNxVtGfUBMBSOKl2GZVI1D0kyMvOMxHuFCYkoKWelp5Bf mkJmTSUFmDkF+vvSxcxaRW4JJ9DRcC5ZhnlrDkMRKRk7fgvfSjzFImY9J6iwc8mdhnTYV w8QsjDJLsckow8Y3lA+OfEy++MSXjCThHq1P1zA7nomw4YUQS14JtODlYEteF0nUUTKQt qPeprXkl09p83fqTpW6wWzMC0EmZFYXav3esGYtNZVVmoBXSGho/A6xfwjYggULqK2t1 Z5Ye+/EB/QLtqNxzBDJy3QCUE0QNs82p43/YJ4z02Owb5wwajWelZIcx5ZinViKmXc45o4 mOA4bQuW0Yhm5mUxJjCU1K52l8+aSEu6PjW1v9EdZMnxiNlaR07DNnInLzC3Y5C0WX1 bBsNJVuFWvYWDkZJ5zsePpsaY8M96eF0Y68IqxPu8f/5CIpEhedBjAi4HWYo5WdBg3iA7 DetPFqTfPjOjHq+MMeM74DTrav0HbWLEMdYtOOX4BTE1JdfAfhH9auOo9x48cYboA9oW Id1X+KWANYN25c4caUbobN27SvpcvruaVIElSRZxqk4mS/aspnlbKh43rw5v2EvHKluOUsx Kj6CpskqdhERaN46je1OYPpFwS94N7N7Nr5w7Gu4xl4sRJfPnlSeZNS6NOWDo1tT8Wzg Y4xBRjJtHUdEIptlkL8JTk3aN2teSFITw31ornAsx4UczseWHNi342dLPVY/X2DYyKdqe7hy mvBljzrFM/ug7vT7fxauZBj+fdhvDiyEG8YPC65Lnd6RBjQjOJ7Lq7TcYiiySPDB4gOnMs56+ c4/79O5rKX7la5/gVJrqlnjps/tTpf/TRR9rs4tdfn+aRCEPPtCDaBg2mbZoVT2fb0VYiYxMJy21 Ej7Ub3pvnjc2xihN2pC9mZM5C7GMzMHQayILSt7l+sD/zcntTkD2B7NxMAr29iQyLoLi8gNj QUeyo6sfP7xmTGP4SZm4eOKVUMyprHvYpMxgUlkIX52E842LLy2JWz0rUeyZcfGaYGV3 DLXhhmB6T89Iw8nHmZXcTugwbyIvDBvCarwWvBlnyspjl8yEWdA+woJt9f9oZvkLHcGGVc vxZaq5M3Wozp/lkQ3rIIKxQKxSlLFm8SECbKeDpxLHu4Y1/AtiiRYuorKzU1nJ9cfpzTKOG0 zR8EJ0TrXFdmoDp9EDaTDGmQ4IpLe3epu8oVyLmbMMhZwn6UTn0Hz6KuMheXNj9Gj8f epbZOW9RW5XG3NqZlJeUUl5VxcLF80mP82ZL+SuSlHbj5KY+kgkMoO+YEKymzGBY9n R6eXvSdaSpmJr4pTAbOocKYKHi0MWRPxNmwvOuJvR0NKPXGFM6D+tL12GD6O5ryUu KgUEiKQLNeDbYjG5yTPcxBrTWf0kE7BBaqJs6Apia31PKX4nZp/2GMLkkRRKtxxw/doxpU 0v59IRuWkc4pm1V+TvAbt68SXV1tTa7qMqSDSvoFWql5ZD6hV7M/XgDBfvmMiBvHC+l2N FKAHve1BrbhCrGTltH+Jy1OPu6sn76QJ589DQ3DnRgblFv9u9axvZ1mxnm4EhIZBgnTpyg rmQKW6rfgCOduHf4NeIj3sA/PR/fqjXYJknCP2Ior/vb8qKkLs8Io7qEDqVziANdQ6x4IdSMl/0 FPMt+vGjTi86OvXjDx4pXQm14Tsz25UBzXguwpJsA1z3IgtdcxIXovUg7sZQWYh2NMvUl0 qubzBY0ybWiuX8/RsoAfn/tPA+FWaX5xWzduEXD4PfJUaOGJXENvxw5epji0mJxel9oyEbn TaGDZ39M5kQw89N3uHT/BqdvX2bqR8sYNNWFVrZv8qbjSOyTqxkYWiLOPxarkUPYt2gQ Dz96lh92Pc28/L7sfGcZy1esZnC/vri5umjXqZ06idXlvbnz8cvcf/8NSpJ7YTR2JD1H+9PZXEA Rtf6KqPXn/E3pKmbVRXxUlwArnhHmPC+1m6+5mOUAOlu+zWuuprzua0s3f3OeCzbhBQ HsVV9hVoCpgGbEqy6GtBv0Ih0CBDDlw5R41WYsVIokET9mIAPD7dj5vm5NxZI5i1g+b4Fk PPe17w3+vdFvyywESUk0l0nyqRimyhfffoVVzDiaBQ2gU7I1kWuLOfvLDT67dwHXuli6xMio Wb9Jz2FjcZm2AKeCRQxLq8RafEp2njnLZg9mXuVAJsRYkFaUxeScFN4y7oP5GGdKaqYT Fe1DfLwp82fpsaR2MHHxxjj4j8Fk9Bh6WQ5hyOghDBzXj/7j+tNv7ED6ju4vSfwg+ow1oK/Ut 4f25W2LHgx2HMLgkYYMGKHPgOFD6DVyAL1GDKa/kz59hg+k98h+9LKWPvR+jg5+g/4I</w:t>
            </w:r>
          </w:p>
          <w:p>
            <w:pPr>
              <w:pStyle w:val="TableParagraph"/>
              <w:spacing w:line="208" w:lineRule="auto" w:before="0"/>
              <w:ind w:right="59"/>
              <w:jc w:val="both"/>
              <w:rPr>
                <w:sz w:val="20"/>
              </w:rPr>
            </w:pPr>
            <w:r>
              <w:rPr>
                <w:sz w:val="20"/>
              </w:rPr>
              <w:t>mAaaMS1TjHnaZyAZMws1HL49/S35ebliCcc0LBpWJYpJqg+6L2fPnaOivJwDe/dq3yuX1ko 0EicpGb26++21IZucA/PIeW8eIxZPptNkY+1GandR+UbJ4rviczGIL8A8XlgWH4TNZG+GTg 7GclIsZjEJmE+YjGlCLMYiWM0npGI1IRHrybE4TQ7B1ssO+3FW2A23Y6TZIBK97SmcMIq</w:t>
            </w:r>
          </w:p>
          <w:p>
            <w:pPr>
              <w:pStyle w:val="TableParagraph"/>
              <w:spacing w:line="190" w:lineRule="exact" w:before="0"/>
              <w:rPr>
                <w:sz w:val="20"/>
              </w:rPr>
            </w:pPr>
            <w:r>
              <w:rPr>
                <w:sz w:val="20"/>
              </w:rPr>
              <w:t>8SHtyQ+3IDbEjR2RDZtBQEgPsmORjTZyPHVN87UgQJiWK+cWJQI13t2KShxmTx1sQ52p</w:t>
            </w:r>
          </w:p>
          <w:p>
            <w:pPr>
              <w:pStyle w:val="TableParagraph"/>
              <w:spacing w:line="215" w:lineRule="exact" w:before="0"/>
              <w:rPr>
                <w:sz w:val="20"/>
              </w:rPr>
            </w:pPr>
            <w:r>
              <w:rPr>
                <w:sz w:val="20"/>
              </w:rPr>
              <w:t>DjKs5Ue7m+A+TvFIAa+8zQJsw0NI7NROrVYmWsm0eMhCHOA9OfX1KAPqFvJIiNm/e/Ct</w:t>
            </w:r>
          </w:p>
        </w:tc>
      </w:tr>
    </w:tbl>
    <w:p>
      <w:pPr>
        <w:spacing w:after="0" w:line="21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9"/>
              <w:rPr>
                <w:sz w:val="20"/>
              </w:rPr>
            </w:pPr>
            <w:r>
              <w:rPr>
                <w:sz w:val="20"/>
              </w:rPr>
              <w:t>YqjSSmCkb3Q97BKii/ALuSFr0w9VLeKaG0sK3r7YWTK0Q7FHhSpcpFnRNs6FnzXjaCSPa Wr1JnxFjGTOjDtvKGThULcShci7W1TOwq5zN0IqFWFYuwKZyPs6yHTF9MUOr5sv3Oqyn 1+JcMZthCZn4RgdQXZJAYWwANTFj2ZQXwI78QHbn+7Mzz4+d8nlnYQhr0v0o8R9Kjoc1+ QJqcYATFSHOLE32YMfUUPYWhbCn0Je9cty+/GB2FQWwsyyEBcm+DDLoRlvvfrQUv6X WYuhWHEnEVGmSANgqSQKMlz6zl83W8Djw4QdCoAouXfhtqXqjX7Q1A7/wkzj72bPnsGq FLlNft2sjffwsaB1jQJNsUcfiKJukGkq2r04uGka2bZJEh9m+Tg8J/WOm12FVVYNl1TwsKhdi US2Jdfks7AQQCwHGqmYWjtNkH1Hrppkl2FVLqjNDfk9KIHhiIB9tnc7PJ9dREjKMlYmu7Mr zYXeWN3uyPNmV482OomBqJ4wkwLYfVr1fwvzt5xmh3wuH/q9j2/tF/CwHUhgwgi0C9M7c8 XLceHZne8ixrmwv8mZGnAv9DF6mja8AlqkAq0/xtMlE+Sz9aaGWhI5/i8DMCK7fvKq9TyMrJ ZP39h3QMFGlkfBN+3DsxKdkpGZw5dIFfn54m/jqDNq49RLtpe5HKjs30UDT1oWppZLZZpJ mmNPKqTuv2dsypmw21sIos+p5WAmTLIVR1mXzhGFzsK+uw6ZQAkJYDG+4+2OYVoD9j CWSK1YxIjqYnevK4ftNHN9YSGGwI+tS3NiX7c3+DB8OZHqxO9efpaneBNoOwFzAGvz6M xi80ZUpAeNwMOhJj+daY9azG8MHvEVl6Gh2ZgeyP9OPvXL83kwP9hUGUhExml4iK9oED pQMRS3K0/kwbTJRMU2+q5vWrSbp0S/Emi0HdNNaq1asYcG8+dwWq1OlkXL+jx7/wjvbd1 FRIg2XcujUh1hPHCs23R+1IrBJqhoNNekmn9PVJKJa52UujlLsfvQrvGxnzpipc8QkF2MyfZ6 wSgCqmIVt1VycBEj79KmMjU0iJr8Q/cAwHKuEfTMXYhyfRlxmPOc+Ws7j0xvYOzeZmRNH s0E6uVNYpRi2L9eXDbJN9rTA+O2XGGE6gJgxVkQ7G1IQMprQEYZ4OQzB28EE41efJcB</w:t>
            </w:r>
          </w:p>
          <w:p>
            <w:pPr>
              <w:pStyle w:val="TableParagraph"/>
              <w:spacing w:line="208" w:lineRule="auto" w:before="0"/>
              <w:ind w:right="3"/>
              <w:rPr>
                <w:sz w:val="20"/>
              </w:rPr>
            </w:pPr>
            <w:r>
              <w:rPr>
                <w:sz w:val="20"/>
              </w:rPr>
              <w:t>mACsTPOW4IHZlCEMzx7O/KJB8fwfe1H+BNqFDaKoW5jVMIiiGSd+05ZySxbSS35q7vU1 GTQEP7tzn3IXL5Irz/+b0aQ0bTYddvHhRcr0yThw5pqmLmhV1dHHpQ+tUZefqJqgwS82Fy 8nU4tqm6rtcpJWwr7XrW7xgY8jQvGnYVC8Sk5wvwCl/pgCrxTGvmJFRk9m+dz/rt+3AOjqW oWKutgKs/oR4knPjuPLJEn45tZ59M5OZO8mFzcKOnVk+0lkP8UW+zI0dh4vxmwwRQEbo 9SDdexjh4sRH6L2Fu0V/UvxGEOZsjHG3DtgOeIEMT1vxf0HsyBZzznQXwIJIGC9C1lQAi9S XLEWtbVNz+wow5cfqLUhqM0WKsD7YT3Th85MnNTzKJevZvWuX5vw1wI4d/YQ08SWPH z7m0rUfCM6ZQFP3N2meI6Mg5qdWRmuzlIpl2sl1F1A2315C8fNWgzBPS8euZqH4rQWaa VqJ77KtqJVoGMf8NWvVZdi8ey/mYROxq5olDn8+Fml5RKRE8+W+mfD1Wg4vzaM8bDgb0 7zZKya5N0scuZhjcZATjv1ewt/JlIzgsbhZ9GGQ+LA3Xnqa/gLiML23mSARNkHkjN2g7gTbG 7A2VZmyAkxMUoJB0Eg9Otu8QvvJwiSRFWq2Qt120y0dkH5qgMl3IUgbEbTPipxZsUmXKh 048C5Vkp2oOcJG9x49YuP69cybM0v7496PD6IX5kTrSfraLSg156XMUosqmt3r2KX8WnNx nq3CDehk1huDyGicahZhXT5f/NccrMXs7IorGDU5kUs/XNXOfeyrU4wQttkXlWFRMx+naXM YGxXJnpVlAthmLuybQ66fNeuSXdmXozrszabsALJ9h2LzdlesejxPqKRKjkNe55Wu4rdMBtL n9Rfp91IHfIVhYy37o/daV7wlACye4sKufE92yHk2S7Qcbteb9o6v0i5JB5bOHKUqAtSTQFulr WYwRBG08OhDUlUO12/8yNVr10QvxuuWO129+RNlRcWcPHacB5JoT185mw5u/WitVixn qfUT6qaHKe2zrTVTVHeQtck3oXJTGamWCRaixXrQx8VNJMM8YZcwRwCzqhI/ll1Ibu18Ht xVdzGfcPvRfWqWrsAkOAL78lqcxIRNIidSXp7O7eNreXB8NbNTPJg/eRTbcnwkUvrxTk4AZ SIbhvYUwPp0J97TGX+bwei9/hyjh1pg1udNhvZ7nejRNvjbGzO42zOEOBqyKtVToqUwLN+ PBYmeGBi9SnvXnrSUvFF3i036obHrj4ApYqhtq0kmWEaN4ciJT7QpruLiYj788EMaXbh8kZ zkDH6+foPL1y4RMy2Rxh49xTHKKKi7KqlmdE6yYuymdF7IG06jRHVC5c90t6xaCmith/fidQ dbRkyrEWc/D3OJjBZijlYSkuet2cyje+o5H91yhB9+vEFmRTUWUZNwKJ+JdeFU3OOCOb6j Dr7ayIkNJWR7WzFLnP+O3AD2iNNfKj7My/ht7PX6MsHFkanhbnjYGeDuaMlIkwGk+o0hJ2 C0RNEh2Pd7jVQRtFvFlHdmif8S7TY1eAQ9DV6hY/AgTU/q1rvVL/yrB6uBcdo6WelfqzRLuo 7py2aRVzx+oi1GmTNrNo1OHD9G9bQqfrn3iBNfnmBovCstowZrU9FqGqTPNDc8505h04U PiVlTgn5FAB2zbIV5Ora1yBGGiRh81nIQdqmZOItvspLoaClO3yo1m9pVa3l0X/dg1KP6hw WuCMXTKioxnzSZ4ZXVmEeFMHN6Gnc/Xce9k2tYmh9Bhoc5q0SM7hcBuj3Tm0xR7Ibduz LKsBeporfcHY3xHG2HzwhR9p4OJHgNxax7O7yM3qYudpQmePdKdN1fHEnYCGO6Gr1A p1jxxWoFuACmlgmohcE6f6xMUzFO/p6mgoEiggUtRr9BzbIaben9D5evMHniBBqtWbWKN Ws28PjBE3ZI4tnNV1/sXM3dq+XdxpICTeLdq2Ku0tFTd68QvaWCLpl2NEqVbF/+3kL2azdBj 9ZmbzIoMIiRNcosRZOJ0x+aW0xcaRm37yiTFI5pIlmn+27dvU1hbR2mwROwT8rCNcqXozv Fj365iZtHV7F3TjoFvlasSnJjb2EQKwW8ScMG42nWE7t+L2PQqxvuo+wZZa2H2Vtd8LDoS bBdPyqCHNico0SrSIscf1an+2Nr2oPWTq+KphQwtMd6dGDpANOBpi3lUs5fdJmynGbCtjaB fQkrmCDS4qwGWkR4KI2mTZvGwY8+5sH9R8zfvIxW43rQVuip1sA3Fs3VWZLjOcc3ceb2 D+w6f5wBErmaJslFsg2021VN0w1oK3qsrUNPXh1uj0NpuaQ+80RSLMChZDrDJkzivDCqo ahbWeoxnPeF2TOXrNRW6OhFpmIRGU7NjDTuHVkpWf8a7p5cxa66JAr8LJknjNmc5y/pUi Dlwc4EWPRjuF5PQtxG4mplgI9pL5LHGrM40Uf0mz878sazS1T+/sJQpor/66X/inRezFG5G WWO0re/BUxbc6GZpwAm7kYB1nGCAXbRY/n0y88EsNukJCfSKCUjnS+//lpC5i1Kl1XR3O UtiX4qzEqUTNOna5YNQdvz8V6UxOS9lfSYOo6mKfXz+irjV6abbUlHn0F0MO6BiSTeI6cvw FYcurP4qKExk9hx6D3uPbjPsc8+ZcbixXhGRmHjF4TFlDSsskuxL67DYWolIyN8OP7ODH7 5bBUPP13B/U9Xc2hJJiUR9lRFOgkgrhI1A4VBYWT5OBHp6izmZsUc0W7vSAq1R4LEfgFq R7aXgObD9rwg/BwH08XkZdonSXqnrbJWfROTVD5MAfS7qvk0xTbpkwJQLS8Y7GPDh0c/ 5v69u5SWTKVRvHTw4tlz/PTjdbJmFdDSrYe2Jl+bkcwwoGW+Je2ybWidICxKs6a1REulybQ LqhV98lk99tJJmNjC8jX6jhvLSImAZkXlGMRMxsrTG9+IMLKnTcXe3Q3jkaMZYGdP75GjsM 3Jx14CxVCJqrYiQ8xjoiiZOoWbR5bz6ORKHpxcweMvN3LxwBzWFARTE+1EVbgDc6e4k+ hhT9BYJ0JHidmmq2Tbm13C/r1iijtVWlUQwuxoF4bovUBHiY6ts6ykTwoQGWQ10Fr9e8A0 EDXCmNAm2Zw3XA0lCX+XB/fuMW+uOP34CTFcOXeBa9eukjQ9h1bj+2gPQ2mLadVIaA erE6p0QlV1Ul26pGxdNUCZb0sZubYiYp8xHIjllGRMktLpZj+CNw0tebXfELr27cNrFpb0sHXi ZUMLnrWwZkD4JJyKq3EQf2ddORfngjJGBftyYtd8Hn2+XmTGcq0+/HQNj77YwNk9M9haE cOCrAAix1kQ6DoMP1H8c2JdRJwGajnj3ixf9uT4sj07nHBnE541fZ6O8WKCGiDSl1/B+nvA GkDThKz0v6Xg0M11CPve38N98bmrV62gUdyECVwUwH4QP5M8o4DW4/tr0x+622ni/OUk KtQ2SVMJq9IwOoWsHmbQ0gsBrImwsXG2Pp2SJBlXs5/DHHDOKcA2LR/zyemYRydiLILV MGoihhPjMYlNxjw5G8u8CknOJY0SzWYugDkI02wmT5Q0LZnzH6zg4YmVPD62hPvHlnPn xCoefL5GBO4G7n6+kcrUQPzdnHCzN6JAvZkzzJZZUc5sTfdjX3EU1WEu9OvxAl0lxesoUq</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5"/>
              <w:rPr>
                <w:sz w:val="20"/>
              </w:rPr>
            </w:pPr>
            <w:r>
              <w:rPr>
                <w:sz w:val="20"/>
              </w:rPr>
              <w:t>JJmpHWD20RXUP9G7B+BUwBK4C1EpK86qbH/vf3aT5s2dLFNEpLSearr07z063blCyaSe uRvWiTquirDlLhV3JHEa5Kj+nWuquqwFInlgsIA9UMRmPxeWo9adtAA1obvMWQ0HCGT5</w:t>
            </w:r>
          </w:p>
          <w:p>
            <w:pPr>
              <w:pStyle w:val="TableParagraph"/>
              <w:spacing w:line="208" w:lineRule="auto" w:before="0"/>
              <w:ind w:right="3"/>
              <w:rPr>
                <w:sz w:val="20"/>
              </w:rPr>
            </w:pPr>
            <w:r>
              <w:rPr>
                <w:sz w:val="20"/>
              </w:rPr>
              <w:t>+L3cwl2M1YhJOI2uE1kojPEPObodaDSQpVtRgrAcmyWkxYJeRSHQqLGBngxpp5Bdw5uZ pHAtjDY8u4e3wld44v5f7xJfDNFhYWRuHvMpQgV3t2zM5iT10Cs5I9xd8NoyhsBC5WA+j8e kc6jFZL4kW9S1u154qkP2ruS3tu8m/AaqhaIi61rbihQX62HD76kTDsDuVlpTSaPqOa3ZIYP 7j/hA27ttLdxYCOU9TdYTlYgaZO8Ktt11c5mXq2p602r6T7rh7nU0+ItU6zkkjbl46mg7FOysB RAoClREwrkRoqKVdyQ6VOVmqSsXyRJnRtKmslBxUwK+biVFqFoa8XERO9uXZyLY9Pikk KYPcEsHvHl/FQQOP0FmZnhxDoYk+YhxPfv7dMQNzGhQ+Xsm1RAS4jDHhu0PO8OH4Q LUd0p7nr63SYYqaJbPXMk/YUm7RXZ34NtV5WiJ9TfWqTKvoyYBB+GZGcEx9/T6TRRHFf jQ598B5VlVU8/PkBZ86cxiU1iOb+/SWsqmmP351QracSaj+lntmeYkTPotHYL4qkcYKYrlBX PTSqQrF6jrvNFFPaWr/JK5K6OEh6ZC9C1qK6Tpikpn3mSpXkXECy1mZj52EhJmmtzFHS Kpty2U984KhAV05/sFwAWyksk4gpadMDAeyBgMfp7dRlhjDGRg9PZ0O+3iX67et1PJR8dF 1tJr0MXqOd+0DaZ9rw9ARD2jh2p9XYt2ibKAOrZShijjK42ixMff80HSZVA0y+P51oQbvRPZ m/QRh+/zGXLlwUwKJpdOWHy2RmZHDmy9Nazjd3wyKed9ejTbyFdF63aKPB4avH5LrmO qJf7MWUjeXUfbIBw0JfXi4eK4FCwErXrblQj9d0iTKltcVbdHd2wFEErF31bAFGzWDMlTpLA KoT0CSNEjCVOVpo2YGwTqpjYTXjosM5uGmGMGq1MEz81/E14s9W8EgY9vCz1Xy0rpg VVXFsnpnMjU9Wc/+LTWycm4a+2et0cn6TDkmS+0o72kiK0ynKmJZO3TTQ2iTI4MrANxb/3 Eyq0mK6qSv5Tc0ki4tpIRG1jf8gRsZ78/U3X/HowWOWLFmqPT7T6JEkluq2eE3NDB5LCn Px6nlCp8bRxq0/7ZItNQmh1oRpU7py8m5lLmR/vISvRPWff3hDu/WmVxcozBNdJg3QjZRa mSgjFCEXN+/Ba06O2Kfni6AVhqkEvUr8lgBkJQJXmaRtuQAl+aeVAGep5srKZzF6yiSWzMr g3qerRI+tEKe/kvsnlvHoxFJJn5by86dLxceJ7JBoevvEBpbNSEFPwOpg313MT5S6Mj/ls1SK I7KoQ4z4MefXaO3Sk/ZiAc2yhQDicnTySPk3xS7FQAE50pC3vExZuUPSusdieae/ITk5mQs Xzuvmw8589y15BfkcPvSBeqUIx746Luj6asuDWiUbCtOENWmiy0TItkg1Z9SsKZx9fIMz938 gbmsV7YS+mr5RQUIYpj1yp0ZKGNk+3Ehj2gvmRphPjMO+dDp2ApYyP9tyBdY87AQwWw HMWphnqfxcWS0jEiYxa3oi9z4TH3ZisYClnP8SHpxYJAAu4bFkA08kWl7+YBmFqd68bfoyn Z3eFj2oGCSWIQOtfJU24Dlm2q21LjFmtBZA2415iw7i0NVrHrR5MPVQvgDXWDKBlhOMe WmcHmVzKrl1+ya3JDqqubA1Qiq1/rfR4yePtJXC7773HtnpWZz/6oyke4957+gHOE5wpZ1X P1qLgGsqYDTO0NdWTJvVRZCzfyFxGyrw3pBHkzhhVkPaoZynAkwa20waoh6ofzrGkHaO Eq0MetPHzZWhGfk4lc3EXthkVSMmOX2OZpLKXB0EPOfSmYyJncC6pcU8EIY9ObaYJ8Is lQFwapVotJVc+WgVWxaU4OJmzrMmz9NhfC86JVjUT9+ogRNfmyKMUcxRWlH8khLenaK VeXan7dgedIwTGZShs6Im0v5WE43o6jaErOoibl3/iSdiiuvWr9feNKDW/KrSSD0io8q9hw9Zt Wo104pKuHz+grZ6+N0THzI83odOHuLT4kwkZTKmmeiTZ4ud6ZxmT5c0B14uGVf/4LzyC9I 4FWmEWeoNACqMN081EP8mkkNCe2vP/rQ2fZ2u5kMY6OUpzn0KQwumCsuqsamehe30</w:t>
            </w:r>
          </w:p>
          <w:p>
            <w:pPr>
              <w:pStyle w:val="TableParagraph"/>
              <w:spacing w:line="208" w:lineRule="auto" w:before="0"/>
              <w:ind w:right="2"/>
              <w:rPr>
                <w:sz w:val="20"/>
              </w:rPr>
            </w:pPr>
            <w:r>
              <w:rPr>
                <w:sz w:val="20"/>
              </w:rPr>
              <w:t>+TjWLGR4ZiGu4UF8enCtOPNtkluuE9Ncw7VPVvD1nllslMQ8NHQYr5m/Rpuhr9E+TJgvg9 pYrcTR/JEMnNKH4kJUVc+dNxPg1AtDmkum0n6CiFIxzzYC2jOxksmk2dAsWp9uHoZk1xZ p7wN6II5+//73yMvJ5eTJ395u10g95dCwgP/27dssXLiQ8vJyzp07r03HfPrNKfzSJ/Kih7E2H9 5KIkwTbUGdipxCaQGlmdi9iqo6iSFVGtZIrfQT4NSbT9rI6DUXtrWQznSUUew4tg9tjd+Q3LO X+DdLBnm6Yyr5pWVCMtYp6Zh4eDLWYywHtyziE3H8e5cXML9yMomTxmI/YhAv6r9AJ5t X6BQgkTDBWAZF2JFlR9ssJ5qpJ3NVFFSmqOa+1FaZpvJV2iIUNfAWkljLADoL00b2pLOn ehXDUCqXzeTn2z9pT7Dtee8gaVnZHP7osIZNQ2n0y2PdQ/INd3cVaAsWzKd4ahHfnvoCC RGcvXaF/NkV9PW2orU0sqV60YdS/OIbGqutAKWLpjrAlBNVv6k3pvSUIOG4bDJt42SkxR8 2E7NtIx3qEGtCu8AhmlBuYfE6bUzfopNFb56xHkAX0568atETA6f+DLJ9U1KqF+lo3JW2li/R ybU3nSMMeTrBUntFQ5MUYXCCPoY1/ljPiqZJrB6NUyT6ZVpJm5ROVIxT4CnmGwrzDeRv RnRIM6ez3yAR2S8xMsSdd/bu4v6j+9z4+Qab39lMZlYG73/4vobJ70sjbcFYfW14EFw9Y7Ry</w:t>
            </w:r>
          </w:p>
          <w:p>
            <w:pPr>
              <w:pStyle w:val="TableParagraph"/>
              <w:spacing w:line="208" w:lineRule="auto" w:before="0"/>
              <w:ind w:right="8"/>
              <w:rPr>
                <w:sz w:val="20"/>
              </w:rPr>
            </w:pPr>
            <w:r>
              <w:rPr>
                <w:sz w:val="20"/>
              </w:rPr>
              <w:t>+XJKcnI4Igfde/SQu/fvsXbbBhymePK01yDaihmoB7KUENRSiXoz0KKONPj5IidGLphIyYEF LPlqF+OWJPFmhYt0QF/2HSLVQAO9bbqV9vB8hwkm2qPRajlSB389OvgOpoN3fzoFDqJjh D7tJovDTrTWfFQzdR0VjeXaL00bzcjFsVR+tJxZx9bjtCiW7tPGia9V6ZAS1LoIr5mpuJNmGe JP4w1o59eXN31NiC1M4tQXn2vTdD9cucrCZUvIL8zj2Ce/Y1b9Qh1V/rDcSTD7dZWKKjt27 SQ/P58Na9dx4+o1+dsTPv3+C1Jr8hjkb0tr9QBqrFrFp9ilJuYkkqq7TBJRXykaSeb+uVx49C O3uM/8L7ahL/Kjsfi0RhpoSvOoTghLlOkqKSIRWAHSSljRSn5rIaau5In2xgD5rLkA5SfTlYRR 00tGvF3uxrQPl3Ppyc9c5h6lh1fTq8JL/JaaBJX2SMqm9lUD21bO2yJCGOwxkGGT3Vm8cZ kWCdXd/5MnT2hr4lT95hvduxL/rPwBsIby+8UXR44dpVJ8mlr3+dmJE9q7D39++DObDmzF PyuSVzwNaCqZQSvprHYfQEkLGcnGyUZYVQRx+Popvrx1loQtlQKu8i/KbHXs0JipfIyqKlioq qZgFJjaANT/pvZVVUkAdazmo9TfZbCmGOM+J56Tt89y4uZ3+C9NpXWs5LZaO9QjixIVRY g2E5fQZnxfBoc6kjK3mGPffq4R5/bN22zZtIWCgiJWrFihrY9TRf3t9+RpKJpJNhSdWf7m0xq eO/rh2lVWrFxFcVExq2X780/qNXhw/sI55qxfhOMULzq6iPwIHUzb1PownWaIybxgAlZn47ko hdFrUgRUCQTClqdU6K/3LRqAimmq1jtl9dorNSmpaSjN1NU+6rOApSYA5FiNaQKaeozHce kk/Fdm4b8sHeflE2kh7FKzLUqctldSw70vb3ibE1OUyO4P9nP7ge5Vy1+c/JIqidBlZeUcOvSb v/o9Yf62/B3DGgBUW+1zw3eph48eY8aMWkqLSzkkIffRgyfayb88fYrqRdOxCh9BO9c+tIwx EM1jwnPFDrRSOWaiMV0LHLQoqXW8/s6zYpiWBCsgNN9nKH7KBOt5kYxem6wp8saJYu LqbwKQCiTaY8j1ea72NhQ5R5cSZ5qLrGieZEaXqfairSQyC+PVurYXxusRlBHF1l2b+fGq7v 7o9R+usXzpct1z3CJIL17UvWNflV/7/Q/Kn5rkr+VPjrsq7Nr8zjZKS8uprq7htOSg6gWETyRQf HLyY3LmlwrtHejg0Ys2MUN06zKENU+l6mvz/2r+rIExWrKr8k9hiprteKVoOMZlPsw8so515w 9iXxFMj5KxWsagmKZNzTQwTDl07VUwcj5hcyNtgYn4wCkmWuB41nUQLunBLN+2igvn1U vUfuG+5Mq7d+7Q3i00e84scTdH5FedFTW8/upflX8O2O+KGKn2r6F89/1Z1B2nHImkixYt5s rFK9r9u1s/3+TDYx+RMTOP3l5iEj6DJZGXNEmAaapeMqTkhnRYS0U0XyQMyhZfk2pE/0p Pph1fyfcPr3OVu6z+9oBEvUlaQFA+Te2vjtduVggrFbvUDEkTMcvWSeZalO3iOhDnSe4s3L CUb89/yy8PHvL47gM+Pn6MovISyiqmcfC9A9JO3UvVVHkiYP0zVv2+/FPA1Cl+O42AJWn UL/WZgSqPHt7jqzNfsWjZMtIlrdq8fgvXL1+XRj7hp5s3+ODEYeLLMnjD3Yi2Af1olSDpijJRlY 6oKCaMa5QlUSxHGCKAPZNkQ9TaIs7e/5EfuMP8E1t5NcVRWKTMWCcPmitWaQFBbSW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8"/>
              <w:rPr>
                <w:sz w:val="20"/>
              </w:rPr>
            </w:pPr>
            <w:r>
              <w:rPr>
                <w:sz w:val="20"/>
              </w:rPr>
              <w:t>TEDNsFW3E0279sYsYyewNC/n27DeaNLpz7wGnPvuKGWXV2hPGu/bv4YerMrD1RVt/r/5 XX/+d8m8zTCsNZ9Uu8NsV7gjVjx8/wdzZcyjML2TXzl3aO1kfiej94eaP7PrkICH5cbzqIeYSZ EDLeGGFSng1ExXAtDXzRrRKNMd9QzbRqwuJXJFL3P5KOqWoNEuZtfJfaom4sEyOaSV RuH20IZ299TAIHUH5whmc/voU90SlqxkY9azU7LlzNaDe2bKVSxcv1rf2r5X/O8B+Vxqc4++ BU6OqlpOrhyJKiqdy6P2DXLmmgHvET5Kfbd6zGZcpfrzsPoT24UPE3yhFLmapZIiAolKcF4t H0y7VVqoNzxU600bErUri1Y1lNYGpWNVisj5Pi0rv521J+owCjn71GT/LtdXzQd9++63kxKvI yMjQtmop1z+Lev+35T8GrKH8me3fFcYdPXKYwqJ8Kqoq+ej9D7l5WSLUgwdcu36JeRsXY R4xgmd99GgdZahJA7XITfko3dvslEBVEVXMUAJCc2Ffa/lbi0QDWocN4RVvE0IKY7X3m6n X3zy8c5/vvz/H+s0qpcnUnpO6cOHCH4D6s3b+J+UvA/b78oeRFEd6+/Ytdu7ZI6lGEXPmzO Pjjz/mp1s3RPc/5IuzX2pLvPv52UgqJGxTgUGioZYkS6ag/JQCS03ytRSn3zZCjxc9B+E80Y1 lO9by0x1R6I8ec+G7s+x4ZztlJSXMmD6dM6fP/B2j/qfAUuV/FLAGE9U1UDVa19Drt26xStKr nNx8li5ZxqlPJalXr0SWZHfboV24JAaKXhpCO8kZW6aYignqCWB6NBWwWiVLBPQbTF8/ O3JmTOWbsyptecKP166xf+9eKirF/MtLOXr0E7ncbwFJlf9JoBrK/yhgvy8C26//GsrlcxdZXDe PitypbFu3kYuXdJNy5y+epah2Kr191QscJbEXjdVSzLFlvBHtPAYwbKInW/fu4MHDRzyUSH 3s+CfMqZ1JiXobpjBYTQ6oov5rhP/t8t8DTHDSwrZW1evXfzOT458cpax8GmXi3z748DCCg gSG+yzdvgqzqFG09x5AJ78hPOcymKjSJE59o3t28eqla6xZv07zjcsWL9HejK6KOrWaNW5 40fh/s/wXAVOI6dil/bcoparXtDR06ed7d9iwcSO5uXmsW7ueGzd+4uEvD9l3+F1GRXsxeLg FedOLufLTD9r+Z778iurySu2dEifqXxeqirqCdhlV//t4/fcA+3eLmlYpKy9jujhsLbJJwq/en/rO9m 3aa+bV208+eO8Q+Tm5rJHE/6efftKO+2/4p3+n/K8ApjqrTLTBTK9KUjxr1izKyso4e/aspttUV auW9+3bR052Nnv36J5/UuVvj/9/Wf5XAWvYqqKmxtWDrSUiDy5fvMSDe/f58P0PSE5Kkgh 4VNtHZ3W/Met/g2X/6yapyu9BUy9JWrp4MR8eep/szCw+OfzbVPFv/5nW/73y/wnAFFMa2H LlyhUS4qfg7+MrwC3Rfmsoao//H7D60gCY2u7asZPioqmSf+pkw/+G6f15gf8DLlMncTlWGu AAAAAASUVORK5CYII=" alt="" /&gt;&lt;/p&gt;&lt;p style="text-align: center;"&gt; &lt;strong style="font- size: medium;"&gt;ESTADO DO CEARÁ &lt;br /&gt; &lt;/strong&gt; &lt;strong style="font-size: medium;"&gt;PODER JUDICIÁRIO &lt;br /&gt; &lt;/strong&gt; &lt;strong style="font-size: medium;"&gt;TRIBUNAL DE JUSTIÇA &lt;br /&gt; &lt;/strong&gt; &lt;strong style="font-size: medium;"&gt;GABINETE DO DESEMBARGADOR FRANCISCO LUCÍDIO DE QUEIROZ</w:t>
            </w:r>
          </w:p>
          <w:p>
            <w:pPr>
              <w:pStyle w:val="TableParagraph"/>
              <w:tabs>
                <w:tab w:pos="1439" w:val="left" w:leader="none"/>
              </w:tabs>
              <w:spacing w:line="208" w:lineRule="auto" w:before="0"/>
              <w:ind w:right="459"/>
              <w:rPr>
                <w:sz w:val="20"/>
              </w:rPr>
            </w:pPr>
            <w:r>
              <w:rPr>
                <w:sz w:val="20"/>
              </w:rPr>
              <w:t>JÚNIOR&lt;/strong&gt;&lt;/p&gt;&lt;p style="text-align: center;"&gt;&amp;#160;&lt;/p&gt;&lt;p&gt; &lt;span </w:t>
            </w:r>
            <w:r>
              <w:rPr>
                <w:spacing w:val="-2"/>
                <w:sz w:val="20"/>
              </w:rPr>
              <w:t>style="font- </w:t>
            </w:r>
            <w:r>
              <w:rPr>
                <w:sz w:val="20"/>
              </w:rPr>
              <w:t>size: small;"&gt;</w:t>
              <w:tab/>
              <w:t>&lt;span style="font-family: &amp;quot;times new roman&amp;quot;, times;"&gt;</w:t>
            </w:r>
          </w:p>
          <w:p>
            <w:pPr>
              <w:pStyle w:val="TableParagraph"/>
              <w:spacing w:line="190" w:lineRule="exact" w:before="0"/>
              <w:rPr>
                <w:sz w:val="20"/>
              </w:rPr>
            </w:pPr>
            <w:r>
              <w:rPr>
                <w:sz w:val="20"/>
              </w:rPr>
              <w:t>&lt;strong&gt;PROCESSO&lt;/strong&gt;:&amp;#160;3001260-92.2024.8.06.0029 -&amp;#160;APELAÇÃO</w:t>
            </w:r>
          </w:p>
          <w:p>
            <w:pPr>
              <w:pStyle w:val="TableParagraph"/>
              <w:tabs>
                <w:tab w:pos="6557" w:val="left" w:leader="none"/>
                <w:tab w:pos="6991" w:val="left" w:leader="none"/>
              </w:tabs>
              <w:spacing w:line="208" w:lineRule="auto" w:before="8"/>
              <w:ind w:right="357"/>
              <w:rPr>
                <w:sz w:val="20"/>
              </w:rPr>
            </w:pPr>
            <w:r>
              <w:rPr>
                <w:sz w:val="20"/>
              </w:rPr>
              <w:t>CÍVEL (198)&lt;/span&gt;  &lt;/span&gt;&lt;/p&gt;&lt;p&gt;  &lt;span style="font-size: small;"&gt;</w:t>
              <w:tab/>
              <w:t>&lt;span style="font-family: &amp;quot;times new roman&amp;quot;, times;"&gt;APELANTE: MANOEL FERREIRA LIMA&lt;/span&gt;  &lt;/span&gt;&lt;/p&gt;&lt;p&gt;  &lt;span style="font-size: small;"&gt;</w:t>
              <w:tab/>
              <w:t>&lt;span style="font-family: &amp;quot;times new roman&amp;quot;, times;"&gt;APELADO: NU</w:t>
            </w:r>
            <w:r>
              <w:rPr>
                <w:spacing w:val="-18"/>
                <w:sz w:val="20"/>
              </w:rPr>
              <w:t> </w:t>
            </w:r>
            <w:r>
              <w:rPr>
                <w:sz w:val="20"/>
              </w:rPr>
              <w:t>FINANCEIRA</w:t>
            </w:r>
          </w:p>
          <w:p>
            <w:pPr>
              <w:pStyle w:val="TableParagraph"/>
              <w:spacing w:line="190" w:lineRule="exact" w:before="0"/>
              <w:rPr>
                <w:sz w:val="20"/>
              </w:rPr>
            </w:pPr>
            <w:r>
              <w:rPr>
                <w:sz w:val="20"/>
              </w:rPr>
              <w:t>S.A. - SOCIEDADE DE CREDITO, FINANCIAMENTO E INVESTIMENTO&lt;/span&gt;</w:t>
            </w:r>
          </w:p>
          <w:p>
            <w:pPr>
              <w:pStyle w:val="TableParagraph"/>
              <w:tabs>
                <w:tab w:pos="3884" w:val="left" w:leader="none"/>
                <w:tab w:pos="4629" w:val="left" w:leader="none"/>
                <w:tab w:pos="4868" w:val="left" w:leader="none"/>
              </w:tabs>
              <w:spacing w:line="208" w:lineRule="auto" w:before="9"/>
              <w:ind w:right="26"/>
              <w:rPr>
                <w:sz w:val="20"/>
              </w:rPr>
            </w:pPr>
            <w:r>
              <w:rPr>
                <w:sz w:val="20"/>
              </w:rPr>
              <w:t>&lt;/span&gt;&lt;/p&gt;&lt;p&gt;  &lt;span style="font-size: medium;"&gt;</w:t>
              <w:tab/>
              <w:t>&lt;span style="font-family: &amp;quot;times new roman&amp;quot;, times;"&gt;</w:t>
              <w:tab/>
              <w:t>&lt;br /&gt;</w:t>
              <w:tab/>
              <w:t>&lt;/span&gt; &lt;/span&gt;&lt;/p&gt;&lt;p style="line- height: 1.38; text-align: justify; margin-top: 6pt; margin-bottom: 6pt; padding: 0pt 0pt 0pt 112.5pt;" dir="ltr"&gt;  &lt;span style="font-size: 12pt; font-family: 'Times New Roman',serif; color: #000000; background-color: transparent; font-weight: 700; font-style: normal; font- variant: normal; text-decoration: none; vertical-align: baseline; white-space: pre- wrap;"&gt;Direito do Consumidor. Apelação Cível. Relação de consumo. Empréstimo Consignado. Inversão do ônus da prova. Ausência de prova de contratação válida. Falha na prestação do serviço. Descontos ínfimos. Não comprovado o dano moral. Sentença reformada. Recurso conhecido e parcialmente provido.&lt;/span&gt;&lt;/p&gt;&lt;p style="line-height: 1.38; text-align: justify; margin-top: 6pt; margin-bottom: 6pt; padding: 0pt 0pt 0pt 112.5pt;" dir="ltr"&gt; &lt;span style="font-size: 12pt; font-family: 'Times New Roman',serif; color: #000000; background-color: transparent; font-weight: 700; font-style: normal; font-variant: normal; text-decoration: none; vertical-align: baseline; white-space: pre-wrap;"&gt;I. Caso em Exame:&lt;/span&gt;&lt;/p&gt;&lt;p style="line-height: 1.38; text-align: justify; margin-top: 6pt; margin- bottom: 6pt; padding: 0pt 0pt 0pt 112.5pt;" dir="ltr"&gt; &lt;span style="font-size: 12pt; font- family: 'Times New Roman',serif; color: #000000; background-color: transparent; font- weight: 400; font-style: normal; font-variant: normal; text-decoration: none; vertical-align: baseline; white-space: pre-wrap;"&gt;1. Cuida-se de Apelação Cível interposta por Manoel Ferreira Lima contra sentença de improcedência prolatada em Ação Declaratória de Inexistência de Débito c/c Condenação a Indenização por Danos Morais e Materiais.&lt;/span&gt;&lt;/p&gt;&lt;p style="line-height: 1.38; text-align: justify; margin-top: 6pt; </w:t>
            </w:r>
            <w:r>
              <w:rPr>
                <w:spacing w:val="-3"/>
                <w:sz w:val="20"/>
              </w:rPr>
              <w:t>margin- </w:t>
            </w:r>
            <w:r>
              <w:rPr>
                <w:sz w:val="20"/>
              </w:rPr>
              <w:t>bottom: 6pt; padding: 0pt 0pt 0pt 112.5pt;" dir="ltr"&gt; &lt;span style="font-size: 12pt; font- family: 'Times New Roman',serif; color: #000000; background-color: transparent; font- weight: 700; font-style: normal; font-variant: normal; text-decoration: none; vertical-align: baseline; white-space: pre-wrap;"&gt;II. Questão em Discussão:&lt;/span&gt;&lt;/p&gt;&lt;p style="line- height: 1.38; text-align: justify; margin-top: 6pt; margin-bottom: 6pt; padding: 0pt 0pt 0pt 112.5pt;" dir="ltr"&gt;  &lt;span style="font-size: 12pt; font-family: 'Times New Roman',serif; color: #000000; background-color: transparent; font-weight: 400; font-style: normal; font- variant: normal; text-decoration: none; vertical-align: baseline; white-space: pre-wrap;"&gt;2. Consiste em (I) verificar se a instituição financeira demonstrou a validade e a legitimidade da contratação do empréstimo consignado que o autor afirma desconhecer; (II) analisar se houve falha na prestação do serviço e obrigação de indenizar pelos danos materiais e morais.&lt;/span&gt;&lt;/p&gt;&lt;p style="line-height: 1.38; text-align: justify; margin-top: 6pt; margin- bottom: 6pt; padding: 0pt 0pt 0pt 112.5pt;" dir="ltr"&gt; &lt;span style="font-size: 12pt;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2"/>
              <w:rPr>
                <w:sz w:val="20"/>
              </w:rPr>
            </w:pPr>
            <w:r>
              <w:rPr>
                <w:sz w:val="20"/>
              </w:rPr>
              <w:t>family: 'Times New Roman',serif; color: #000000; background-color: transparent; font- weight: 700; font-style: normal; font-variant: normal; text-decoration: none; vertical-align: baseline; white-space: pre-wrap;"&gt;III. Razões de Decidir:&lt;/span&gt;&lt;/p&gt;&lt;p style="line-height: 1.38; text-align: justify; margin-top: 6pt; margin-bottom: 6pt; padding: 0pt 0pt 0pt 112.5pt;" dir="ltr"&gt; &lt;span style="font-size: 12pt; font-family: 'Times New Roman',serif; color: #000000; background-color: transparent; font-weight: 400; font-style: normal; font-variant: normal; text-decoration: none; vertical-align: baseline; white-space: pre-wrap;"&gt;3. A insuficiência de prova da instituição financeira em demonstrar a validade do negócio jurídico impugnado pelo consumidor, caracteriza a falha na prestação do serviço, implicando a invalidação do empréstimo.&lt;/span&gt;&lt;/p&gt;&lt;p style="line-height: 1.38; text-align: justify; margin-top: 6pt; margin-bottom: 6pt; padding: 0pt 0pt 0pt 112.5pt;" dir="ltr"&gt; &lt;span style="font-size: 12pt; font-family: 'Times New Roman',serif; color: #000000; background- color: transparent; font-weight: 400; font-style: normal; font-variant: normal; text-decoration: none; vertical-align: baseline; white-space: pre-wrap;"&gt;5. A devolução em dobro dos valores descontados indevidamente é devida, conforme estabelecido no art. 42, parágrafo único, do CDC.&lt;/span&gt;&lt;/p&gt;&lt;p style="line-height: 1.38; text-align: justify; margin-top: 6pt; margin-bottom: 6pt; padding: 0pt 0pt 0pt 112.5pt;" dir="ltr"&gt; &lt;span style="font-size: 12pt; font-family: 'Times New Roman',serif; color: #000000; background-color: transparent; font- weight: 400; font-style: normal; font-variant: normal; text-decoration: none; vertical-align: baseline; white-space: pre-wrap;"&gt;6. Os descontos efetuados, sendo de valor irrisório, não configuram dano moral indenizável, caracterizando mero aborrecimento.&lt;/span&gt;&lt;/p&gt;&lt;p style="line-height: 1.38; text-align: justify; margin-top: 6pt; margin-bottom: 6pt; padding: 0pt 0pt 0pt 112.5pt;" dir="ltr"&gt;&lt;span style="font-size: 12pt; font-family: 'Times New Roman',serif; color: #000000; background-color: transparent; font-weight: 700; font-style: normal; font-variant: normal; text-decoration: none; vertical-align: baseline; white-space: pre-wrap;"&gt;IV. Dispositivo:&lt;/span&gt;&amp;#160;&lt;/p&gt;&lt;p style="line-height: 1.38; text-align: justify; margin-top: 6pt; margin-bottom: 6pt; padding: 0pt 0pt 0pt 112.5pt;" dir="ltr"&gt; &lt;span style="font-size: 12pt; font-family: 'Times New Roman',serif; color: #000000; background- color: transparent; font-weight: 700; font-style: normal; font-variant: normal; text-decoration: none; vertical-align: baseline; white-space: pre-wrap;"&gt;7. Sentença reformada. Recurso conhecido e parcialmente provido.&lt;/span&gt;&lt;/p&gt;&lt;p style="line-height: 1.38; text-align: justify; margin-top: 6pt; margin-bottom: 6pt; padding: 0pt 0pt 0pt 112.5pt;" dir="ltr"&gt; &lt;span style="background-color: transparent; font-family: &amp;quot;Times New Roman&amp;quot;, serif; font-size: 12pt; white-space-collapse: preserve;"&gt;ACÓRDÃO: Vistos, relatados e discutidos estes autos, acorda a Quinta Câmara de Direito Privado do Tribunal de Justiça do Estado do Ceará, por unanimidade, em CONHECER o Recurso de Apelação Cível para DAR-LHE PARCIAL PROVIMENTO, nos termos do voto do Desembargador Relator.&lt;/span&gt;&lt;/p&gt;&lt;p style="line-height: 115%; margin-bottom: 0.21cm; padding-left: 150px;" align="justify"&gt;</w:t>
            </w:r>
          </w:p>
          <w:p>
            <w:pPr>
              <w:pStyle w:val="TableParagraph"/>
              <w:tabs>
                <w:tab w:pos="2682" w:val="left" w:leader="none"/>
                <w:tab w:pos="3084" w:val="left" w:leader="none"/>
                <w:tab w:pos="3288" w:val="left" w:leader="none"/>
                <w:tab w:pos="3805" w:val="left" w:leader="none"/>
                <w:tab w:pos="6307" w:val="left" w:leader="none"/>
              </w:tabs>
              <w:spacing w:line="208" w:lineRule="auto" w:before="0"/>
              <w:ind w:right="94"/>
              <w:rPr>
                <w:sz w:val="20"/>
              </w:rPr>
            </w:pPr>
            <w:r>
              <w:rPr>
                <w:sz w:val="20"/>
              </w:rPr>
              <w:t>&lt;span style="font-size: medium;"&gt;</w:t>
              <w:tab/>
              <w:tab/>
              <w:t>&lt;span style="font-family: &amp;quot;times new roman&amp;quot;, times;"&gt;F&lt;/span&gt;</w:t>
              <w:tab/>
              <w:t>&lt;span style="font-family: &amp;quot;times new </w:t>
            </w:r>
            <w:r>
              <w:rPr>
                <w:spacing w:val="-2"/>
                <w:sz w:val="20"/>
              </w:rPr>
              <w:t>roman&amp;quot;, </w:t>
            </w:r>
            <w:r>
              <w:rPr>
                <w:sz w:val="20"/>
              </w:rPr>
              <w:t>times;"&gt;ortaleza, data registrada no sistema.&lt;/span&gt; &lt;/span&gt; &lt;span style="font-family: &amp;quot;times new roman&amp;quot;, times; font-size: medium; text-align: start;"&gt;&amp;#160;&lt;/span&gt;&lt;/p&gt;&lt;p style="padding-left: 150px;"&gt;&amp;#160;&lt;/p&gt;&lt;p style="line- height: 100%; orphans: 0; widows: 0; margin-bottom: 0.21cm;" align="center"&gt; &lt;span style="font-size: medium;"&gt;</w:t>
              <w:tab/>
              <w:t>&lt;strong&gt;</w:t>
              <w:tab/>
              <w:t>&lt;span style="font-family: &amp;quot;times new roman&amp;quot;, times;"&gt;MARIA REGINA OLIVEIRA CÂMARA&lt;/span&gt;</w:t>
              <w:tab/>
              <w:t>&lt;/strong&gt;</w:t>
            </w:r>
          </w:p>
          <w:p>
            <w:pPr>
              <w:pStyle w:val="TableParagraph"/>
              <w:tabs>
                <w:tab w:pos="4754" w:val="left" w:leader="none"/>
              </w:tabs>
              <w:spacing w:line="208" w:lineRule="auto" w:before="0"/>
              <w:ind w:right="104"/>
              <w:rPr>
                <w:sz w:val="20"/>
              </w:rPr>
            </w:pPr>
            <w:r>
              <w:rPr>
                <w:sz w:val="20"/>
              </w:rPr>
              <w:t>&lt;/span&gt;&lt;/p&gt;&lt;p style="line-height: 115%; orphans: 0; widows: 0; margin-bottom: 0.21cm;" align="center"&gt;  &lt;span style="font-size: medium;"&gt;</w:t>
              <w:tab/>
              <w:t>&lt;span style="font-family: &amp;quot;times new roman&amp;quot;, times;"&gt;Desembargadora Presidente do Órgão Julgador&lt;/span&gt;</w:t>
            </w:r>
          </w:p>
          <w:p>
            <w:pPr>
              <w:pStyle w:val="TableParagraph"/>
              <w:tabs>
                <w:tab w:pos="2682" w:val="left" w:leader="none"/>
                <w:tab w:pos="2773" w:val="left" w:leader="none"/>
                <w:tab w:pos="3629" w:val="left" w:leader="none"/>
                <w:tab w:pos="3805" w:val="left" w:leader="none"/>
                <w:tab w:pos="4373" w:val="left" w:leader="none"/>
                <w:tab w:pos="4754" w:val="left" w:leader="none"/>
                <w:tab w:pos="7107" w:val="left" w:leader="none"/>
              </w:tabs>
              <w:spacing w:line="208" w:lineRule="auto" w:before="0"/>
              <w:ind w:right="104"/>
              <w:rPr>
                <w:sz w:val="20"/>
              </w:rPr>
            </w:pPr>
            <w:r>
              <w:rPr>
                <w:sz w:val="20"/>
              </w:rPr>
              <w:t>&lt;/span&gt;&lt;/p&gt;&lt;p style="line-height: 100%; orphans: 0; widows: 0; margin-bottom: 0.21cm;" align="center"&gt;  &lt;span style="font-size: medium;"&gt;</w:t>
              <w:tab/>
              <w:t>&lt;span style="font-family: &amp;quot;times new roman&amp;quot;, times;"&gt;</w:t>
              <w:tab/>
              <w:tab/>
              <w:t>&lt;br /&gt;</w:t>
              <w:tab/>
              <w:t>&lt;br /&gt;</w:t>
              <w:tab/>
              <w:t>&lt;/span&gt; &lt;/span&gt;&lt;/p&gt;&lt;p style="line- height: 100%; orphans: 0; widows: 0; margin-bottom: 0.21cm;" align="center"&gt; &lt;span style="font-size: medium;"&gt;</w:t>
              <w:tab/>
              <w:t>&lt;strong&gt;</w:t>
              <w:tab/>
              <w:tab/>
              <w:t>&lt;span style="font-family: &amp;quot;times new roman&amp;quot;, times;"&gt;FRANCISCO LUCÍDIO DE QUEIROZ JUNIOR&lt;/span&gt;</w:t>
              <w:tab/>
              <w:t>&lt;/strong&gt;</w:t>
            </w:r>
          </w:p>
          <w:p>
            <w:pPr>
              <w:pStyle w:val="TableParagraph"/>
              <w:tabs>
                <w:tab w:pos="1094" w:val="left" w:leader="none"/>
                <w:tab w:pos="1839" w:val="left" w:leader="none"/>
                <w:tab w:pos="2682" w:val="left" w:leader="none"/>
                <w:tab w:pos="3773" w:val="left" w:leader="none"/>
                <w:tab w:pos="3954" w:val="left" w:leader="none"/>
                <w:tab w:pos="4754" w:val="left" w:leader="none"/>
                <w:tab w:pos="5077" w:val="left" w:leader="none"/>
              </w:tabs>
              <w:spacing w:line="208" w:lineRule="auto" w:before="0"/>
              <w:ind w:right="48"/>
              <w:rPr>
                <w:sz w:val="20"/>
              </w:rPr>
            </w:pPr>
            <w:r>
              <w:rPr>
                <w:sz w:val="20"/>
              </w:rPr>
              <w:t>&lt;/span&gt;&lt;/p&gt;&lt;p style="line-height: 100%; orphans: 0; widows: 0; margin-bottom: 0.21cm;" align="center"&gt;  &lt;span style="font-size: medium;"&gt;</w:t>
              <w:tab/>
              <w:t>&lt;span style="font-family: &amp;quot;times new roman&amp;quot;, times;"&gt;Desembargador Relator&lt;/span&gt; &lt;/span&gt;&lt;/p&gt;&lt;p style="line- height: 100%; orphans: 0; widows: 0; margin-bottom: 0.21cm;" align="center"&gt; &lt;span style="font-size: medium;"&gt;</w:t>
              <w:tab/>
              <w:t>&lt;span style="font-family: &amp;quot;times new roman&amp;quot;, times;"&gt;</w:t>
              <w:tab/>
              <w:t>&lt;br /&gt;</w:t>
              <w:tab/>
              <w:t>&lt;/span&gt; &lt;/span&gt;&lt;/p&gt;&lt;p align="center"&gt; &lt;span style="font-family: &amp;quot;times new roman&amp;quot;, times;"&gt;</w:t>
              <w:tab/>
              <w:t>&lt;br /&gt;  &lt;/span&gt;&lt;/p&gt;&lt;p style="text-align: center;"&gt;  &lt;span style="font-size: small;"&gt;</w:t>
              <w:tab/>
              <w:tab/>
              <w:t>&lt;strong&gt;</w:t>
              <w:tab/>
              <w:tab/>
              <w:t>&lt;span style="font-size:</w:t>
            </w:r>
            <w:r>
              <w:rPr>
                <w:spacing w:val="-15"/>
                <w:sz w:val="20"/>
              </w:rPr>
              <w:t> </w:t>
            </w:r>
            <w:r>
              <w:rPr>
                <w:sz w:val="20"/>
              </w:rPr>
              <w:t>medium;"&gt;</w:t>
            </w:r>
          </w:p>
          <w:p>
            <w:pPr>
              <w:pStyle w:val="TableParagraph"/>
              <w:spacing w:line="190" w:lineRule="exact" w:before="0"/>
              <w:rPr>
                <w:sz w:val="20"/>
              </w:rPr>
            </w:pPr>
            <w:r>
              <w:rPr>
                <w:sz w:val="20"/>
              </w:rPr>
              <w:t>&lt;span style="font-family: &amp;quot;times new roman&amp;quot;, times;"&gt;RELATÓRIO&lt;/span&gt;</w:t>
            </w:r>
          </w:p>
          <w:p>
            <w:pPr>
              <w:pStyle w:val="TableParagraph"/>
              <w:tabs>
                <w:tab w:pos="985" w:val="left" w:leader="none"/>
              </w:tabs>
              <w:spacing w:line="208" w:lineRule="auto" w:before="5"/>
              <w:ind w:right="42"/>
              <w:rPr>
                <w:sz w:val="20"/>
              </w:rPr>
            </w:pPr>
            <w:r>
              <w:rPr>
                <w:sz w:val="20"/>
              </w:rPr>
              <w:t>&lt;/span&gt;</w:t>
              <w:tab/>
              <w:t>&lt;/strong&gt; &lt;/span&gt;&lt;/p&gt;&lt;p style="line-height: 1.7999999999999998; text-indent: 71pt; text-align: justify; margin-top: 6pt; margin-bottom: 6pt;" dir="ltr"&gt;&lt;span style="font- size: 12pt; font-family: 'Times New Roman',serif; color: #000000; background-color: transparent; font-weight: 400; font-style: normal; font-variant: normal; text-decoration: </w:t>
            </w:r>
            <w:r>
              <w:rPr>
                <w:spacing w:val="-4"/>
                <w:sz w:val="20"/>
              </w:rPr>
              <w:t>none; </w:t>
            </w:r>
            <w:r>
              <w:rPr>
                <w:sz w:val="20"/>
              </w:rPr>
              <w:t>vertical-align: baseline; white-space: pre-wrap;"&gt;Cuida-se de&lt;/span&gt; &lt;span style="font- size: 12pt; font-family: 'Times New Roman',serif; color: #000000; background-color: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42"/>
              <w:rPr>
                <w:sz w:val="20"/>
              </w:rPr>
            </w:pPr>
            <w:r>
              <w:rPr>
                <w:sz w:val="20"/>
              </w:rPr>
              <w:t>transparent; font-weight: 700; font-style: normal; font-variant: normal; text-decoration: none; vertical-align: baseline; white-space: pre-wrap;"&gt;Recurso de Apelação Cível&lt;/span&gt; &lt;span style="font-size: 12pt; font-family: 'Times New Roman',serif; color: #000000; background- color: transparent; font-weight: 400; font-style: normal; font-variant: normal; text-decoration: none; vertical-align: baseline; white-space: pre-wrap;"&gt;apresentado por&lt;/span&gt; &lt;span style="font-size: 12pt; font-family: 'Times New Roman',serif; color: #000000; background- color: transparent; font-weight: 700; font-style: normal; font-variant: normal; text-decoration: none; vertical-align: baseline; white-space: pre-wrap;"&gt;Manoel Ferreira Lima&lt;/span&gt;&lt;span style="font-size: 12pt; font-family: 'Times New Roman',serif; color: #000000; background- color: transparent; font-weight: 400; font-style: normal; font-variant: normal; text-decoration: none; vertical-align: baseline; white-space: pre-wrap;"&gt;, com o fim de reformar&lt;/span&gt;</w:t>
            </w:r>
          </w:p>
          <w:p>
            <w:pPr>
              <w:pStyle w:val="TableParagraph"/>
              <w:spacing w:line="208" w:lineRule="auto" w:before="0"/>
              <w:ind w:right="53"/>
              <w:rPr>
                <w:sz w:val="20"/>
              </w:rPr>
            </w:pPr>
            <w:r>
              <w:rPr>
                <w:sz w:val="20"/>
              </w:rPr>
              <w:t>&lt;span style="font-size: 12pt; font-family: 'Times New Roman',serif; color: #000000; background-color: transparent; font-weight: 700; font-style: normal; font-variant: normal; text-decoration: none; vertical-align: baseline; white-space: pre-wrap;"&gt;sentença de improcedência&lt;/span&gt; &lt;span style="font-size: 12pt; font-family: 'Times New Roman',serif; color: #000000; background-color: transparent; font-weight: 400; font-style: normal; font- variant: normal; text-decoration: none; vertical-align: baseline; white-space: pre- wrap;"&gt;prolatada pelo douto&lt;/span&gt; &lt;span style="font-size: 12pt; font-family: 'Times New Roman',serif; color: #000000; background-color: transparent; font-weight: 700; font-style: normal; font-variant: normal; text-decoration: none; vertical-align: baseline; white-space: pre-wrap;"&gt;Juiz de Direito da 1ª Vara Cível da Comarca de Acopiara&lt;/span&gt;&lt;span style="font-size: 12pt; font-family: 'Times New Roman',serif; color: #000000; background- color: transparent; font-weight: 400; font-style: normal; font-variant: normal; text-decoration: none; vertical-align: baseline; white-space: pre-wrap;"&gt;, quando do julgamento da&lt;/span&gt;</w:t>
            </w:r>
          </w:p>
          <w:p>
            <w:pPr>
              <w:pStyle w:val="TableParagraph"/>
              <w:spacing w:line="208" w:lineRule="auto" w:before="0"/>
              <w:ind w:right="84"/>
              <w:rPr>
                <w:sz w:val="20"/>
              </w:rPr>
            </w:pPr>
            <w:r>
              <w:rPr>
                <w:sz w:val="20"/>
              </w:rPr>
              <w:t>&lt;span style="font-size: 12pt; font-family: 'Times New Roman',serif; color: #000000; background-color: transparent; font-weight: 700; font-style: normal; font-variant: normal; text-decoration: none; vertical-align: baseline; white-space: pre-wrap;"&gt;Ação Declaratória de Inexistência de Débito c/c Condenação a Indenização por Danos Morais e Materiais&lt;/span&gt;&lt;span style="font-size: 12pt; font-family: 'Times New Roman',serif; color: #000000; background-color: transparent; font-weight: 400; font-style: normal; font-variant: normal; text-decoration: none; vertical-align: baseline; white-space: pre-wrap;"&gt;, manejada em desfavor de&lt;/span&gt; &lt;span style="font-size: 12pt; font-family: 'Times New </w:t>
            </w:r>
            <w:r>
              <w:rPr>
                <w:spacing w:val="-2"/>
                <w:sz w:val="20"/>
              </w:rPr>
              <w:t>Roman',serif; </w:t>
            </w:r>
            <w:r>
              <w:rPr>
                <w:sz w:val="20"/>
              </w:rPr>
              <w:t>color: #000000; background-color: transparent; font-weight: 700; font-style: normal; font- variant: normal; text-decoration: none; vertical-align: baseline; white-space: pre-wrap;"&gt;Nu Financeira S.A&lt;/span&gt;&lt;span style="font-size: 12pt; font-family: 'Times New Roman',serif; color: #000000; background-color: transparent; font-weight: 400; font-style: normal; font- variant: normal; text-decoration: none; vertical-align: baseline; white-space: pre- wrap;"&gt;.&lt;/span&gt;&lt;/p&gt;&lt;p style="line-height: 1.7999999999999998; text-indent: 71pt; text- align: justify; margin-top: 6pt; margin-bottom: 6pt;" dir="ltr"&gt; &lt;span style="font-size: 12pt; font-family: 'Times New Roman',serif; color: #000000; background-color: transparent; font- weight: 700; font-style: normal; font-variant: normal; text-decoration: none; vertical-align: baseline; white-space: pre-wrap;"&gt;O demandante, em suas razões de ID 28863894&lt;/span&gt; &lt;span style="font-size: 12pt; font-family: 'Times New Roman',serif; color: #000000; background-color: transparent; font-weight: 400; font-style: normal; font- variant: normal; text-decoration: none; vertical-align: baseline; white-space: pre-wrap;"&gt;, destaca ser pessoa idosa, de pouca letra, e que não faz a mínima ideia do que é e como se procede a contratação de empréstimo consignado via meio digital, muito menos sabe efetuar/registrar uma assinatura digital. Argumenta que como o Banco réu deixou de apresentar instrumentos contratuais assinados pela parte autora, a fim de justificar a regularidade dos descontos impugnados, comprovada está a ausência de vontade da requerente em firmar referido negócio jurídico. Ratifica que o suposto contrato de empréstimo não obriga a parte autora, vez que não houve qualquer comprovação de que esta assinou de forma eletrônica o contrato. Requer que seja o presente recurso recebido, conhecido e provido no sentido de reformar a r. sentença para condenar o banco apelado a pagar ao apelante a devida indenização por danos morais, e restituir em dobro o valor cobrado de forma indevida, nos termos da exordial.&lt;/span&gt;&lt;/p&gt;&lt;p style="line-height: 1.7999999999999998; text-indent: 71pt; text-align: justify; margin-top: 6pt; margin-bottom: 6pt;" dir="ltr"&gt;&lt;span style="font-size: 12pt; font-family: 'Times New Roman',serif; color: #000000; background-color: transparent; font-weight: 400; font-style: normal; font-variant: normal; text-decoration: none; vertical-align: baseline; white-space: pre-wrap;"&gt;Por sua vez, a instituição financeira,&lt;/span&gt; &lt;span style="font-size: 12pt; font-family: 'Times New Roman',serif; color: #000000; background-color: transparent; font-weight: 700; font-style: normal; font-variant: normal; text-decoration: none; vertical-align: baseline; white-space: pre-wrap;"&gt;em contrarrazões de ID 28863899&lt;/span&gt;&lt;span style="font-size: 12pt; font- family: 'Times New Roman',serif; color: #000000; background-color: transparent; font- weight: 400; font-style: normal; font-variant: normal; text-decoration: none; vertical-align: baseline; white-space: pre-wrap;"&gt;, aduz que resta claro que a contratação do empréstimo foi realizada respeitando todas as medidas de segurança da empresa. Reitera que a sentença não merece reforma já que o apelante realizou a contratação usando sua senha pessoal. Requer o improvimento do recurso.&lt;/span&gt;&lt;/p&gt;&lt;p style="line-height: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6"/>
              <w:rPr>
                <w:sz w:val="20"/>
              </w:rPr>
            </w:pPr>
            <w:r>
              <w:rPr>
                <w:sz w:val="20"/>
              </w:rPr>
              <w:t>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pre-wrap;"&gt;Por se tratar de questão de direito eminentemente patrimonial, deixo de enviar os autos à Digna Procuradoria Geral de Justiça.&lt;/span&gt; &lt;span style="font-size: 11pt; font-family: Arial,sans- serif; color: #000000; background-color: transparent; font-weight: 400; font-style: normal; font-variant: normal; text-decoration: none; vertical-align: baseline; white-space: pre- wrap;"&gt;&amp;#160;&lt;/span&gt;&lt;/p&gt;&lt;p style="text-align: center;"&gt; &lt;span style="font-size: small;"&gt;</w:t>
            </w:r>
          </w:p>
          <w:p>
            <w:pPr>
              <w:pStyle w:val="TableParagraph"/>
              <w:spacing w:line="190" w:lineRule="exact" w:before="0"/>
              <w:rPr>
                <w:sz w:val="20"/>
              </w:rPr>
            </w:pPr>
            <w:r>
              <w:rPr>
                <w:sz w:val="20"/>
              </w:rPr>
              <w:t>&lt;span id="docs-internal-guid-24e94738-7fff-8235-fd79-179180d4b56a"&gt;&amp;#160;&lt;/span&gt;</w:t>
            </w:r>
          </w:p>
          <w:p>
            <w:pPr>
              <w:pStyle w:val="TableParagraph"/>
              <w:tabs>
                <w:tab w:pos="1327" w:val="left" w:leader="none"/>
                <w:tab w:pos="2272" w:val="left" w:leader="none"/>
                <w:tab w:pos="5631" w:val="left" w:leader="none"/>
              </w:tabs>
              <w:spacing w:line="208" w:lineRule="auto" w:before="10"/>
              <w:ind w:right="148"/>
              <w:rPr>
                <w:sz w:val="20"/>
              </w:rPr>
            </w:pPr>
            <w:r>
              <w:rPr>
                <w:sz w:val="20"/>
              </w:rPr>
              <w:t>&lt;/span&gt;&lt;/p&gt;&lt;p style="line-height: 1.7999999999999998; text-indent: 71pt; text-align: justify; margin-top: 6pt; margin-bottom: 6pt;" dir="ltr"&gt; &lt;span style="font-size: 12pt; font- family: 'Times New Roman',serif; color: #000000; background-color: transparent; font- weight: 400; font-style: normal; font-variant: normal; text-decoration: none; vertical-align: baseline; white-space: pre-wrap;"&gt;É o relatório.&lt;/span&gt;&lt;/p&gt;&lt;p style="line-height: 1.38; text-indent: 70.86614173228347pt; text-align: justify; margin-top: 6pt; margin-bottom: </w:t>
            </w:r>
            <w:r>
              <w:rPr>
                <w:spacing w:val="-4"/>
                <w:sz w:val="20"/>
              </w:rPr>
              <w:t>6pt;" </w:t>
            </w:r>
            <w:r>
              <w:rPr>
                <w:sz w:val="20"/>
              </w:rPr>
              <w:t>dir="ltr"&gt;  &lt;strong style="font-size: small; text-align: center;"&gt;</w:t>
              <w:tab/>
              <w:t>&lt;span style="font-size: medium;"&gt;</w:t>
              <w:tab/>
              <w:t>&lt;span style="font-family: &amp;quot;times new roman&amp;quot;, times;"&gt;VOTO&lt;/span&gt;</w:t>
              <w:tab/>
              <w:t>&lt;/span&gt; &lt;/strong&gt;&lt;/p&gt;&lt;p style="line-height: 1.7999999999999998; text-indent: 71pt; text-align: justify; margin-top: 6pt; margin-bottom: 6pt;" dir="ltr"&gt; &lt;span style="font-size: 12pt; font-family: 'Times New Roman',serif; color: #000000; background-color: transparent; font-weight: 700; font-style: normal; font-variant: normal; text-decoration: none; vertical-align: baseline; white-space: pre-wrap;"&gt;1.</w:t>
            </w:r>
          </w:p>
          <w:p>
            <w:pPr>
              <w:pStyle w:val="TableParagraph"/>
              <w:tabs>
                <w:tab w:pos="3862" w:val="left" w:leader="none"/>
              </w:tabs>
              <w:spacing w:line="208" w:lineRule="auto" w:before="0"/>
              <w:ind w:right="31"/>
              <w:rPr>
                <w:sz w:val="20"/>
              </w:rPr>
            </w:pPr>
            <w:r>
              <w:rPr>
                <w:sz w:val="20"/>
              </w:rPr>
              <w:t>Admissibilidade.&lt;/span&gt;&lt;/p&gt;&lt;p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 align: baseline; white-space: pre-wrap;"&gt;Em juízo inicial de admissibilidade, observa-se que todos os requisitos necessários para o processamento e desenvolvimento válido do recurso de apelação cível, encontram-se devidamente cumpridos. Dessa forma, o mesmo deve ser conhecido.&lt;/span&gt;&lt;/p&gt;&lt;p style="line-height: 1.7999999999999998; text-indent: 71pt; text-align: justify; margin-top: 6pt; margin-bottom: 6pt;" dir="ltr"&gt; &lt;span style="font- size: 12pt; font-family: &amp;quot;Times New Roman&amp;quot;, serif; color: #000000; background- color: transparent; font-style: normal; font-variant: normal; text-decoration: none; vertical- align: baseline; white-space: pre-wrap;"&gt;</w:t>
              <w:tab/>
              <w:t>&lt;strong&gt;2. Mérito.&lt;/strong&gt; &lt;/span&gt;&lt;/p&gt;&lt;p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pre-wrap;"&gt;No primeiro grau o Sr. Manoel Ferreira Lima afirma na exordial que é beneficiário do Instituto Nacional do Seguro Social (INSS), titular de uma aposentadoria por idade. Acontece que ao sacar mensalmente seu benefício junto a Agência do Banco, no mês de setembro/2024, constatou a existência de um empréstimo em uma instituição financeira no valor de R$ 878,78 e que estava sendo descontado R$ 21,65 por mês em seu benefício previdenciário. Insatisfeito, o requerente procurou a Agência do Instituto Nacional do Seguro Social – INSS para colher maiores informações sobre a origem do consignado, sendo na oportunidade informado que havia um empréstimo no seu cartão, feito com prazo para pagamento em 84 meses. Explica que os descontos tiveram início </w:t>
            </w:r>
            <w:r>
              <w:rPr>
                <w:spacing w:val="-9"/>
                <w:sz w:val="20"/>
              </w:rPr>
              <w:t>em </w:t>
            </w:r>
            <w:r>
              <w:rPr>
                <w:sz w:val="20"/>
              </w:rPr>
              <w:t>06/2024, tendo sido descontadas 04 parcelas indevidamente do benefício do peticionário, sendo descontado o montante de R$ 86,60 que soma em dobro R$ 173,20. Diante dessa situação, requer que seja declarada a inexistência do negócio jurídico, a devolução em dobro do indébito e ser indenizado por danos morais em R$ 10.000,00 (dez mil reais).&lt;/span&gt;&lt;/p&gt;&lt;p style="line-height: 1.7999999999999998; text-indent: 71pt; text-align: justify; margin-top: 6pt; margin-bottom: 6pt;" dir="ltr"&gt; &lt;span style="font-size: 12pt; font- family: 'Times New Roman',serif; color: #000000; background-color: transparent; font- weight: 400; font-style: normal; font-variant: normal; text-decoration: none; vertical-align: baseline; white-space: pre-wrap;"&gt;O magistrado de primeiro grau determinou a a inversão do ônus da prova em favor do consumidor (decisão de id 28863569).&lt;/span&gt;&lt;/p&gt;&lt;p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pre-wrap;"&gt;Contestação da promovida consta ao id 28863581. Assevera que no ato da contratação, o autor teve acesso a todos os detalhes contratuais e, ao aceitá-los de forma inequívoca, manifestou seu consentimento livre e informado, não restando qualquer margem para alegações de desconhecimento ou de informações insuficientes. Ademais, tomou todas as providências necessárias para assegurar que o contrato estivesse em plena conformidade com a legislação vigente, observando os requisitos de clareza e objetividade exigidos por lei. Afirma que agiu em estrito cumprimento aos deveres de transparência e requer a improcedência da ação.&lt;/span&gt;&lt;/p&gt;&lt;p style="line-height: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
              <w:rPr>
                <w:sz w:val="20"/>
              </w:rPr>
            </w:pPr>
            <w:r>
              <w:rPr>
                <w:sz w:val="20"/>
              </w:rPr>
              <w:t>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pre-wrap;"&gt;As partes não transigiram (termo de audiência de id 28863891).&lt;/span&gt;&lt;/p&gt;&lt;p style="line-height: 1.7999999999999998; text-indent: 71pt; text-align: justify; margin-top: 6pt; margin-bottom: 6pt;" dir="ltr"&gt;&lt;span style="font-size: 12pt; font-family: 'Times New Roman',serif; color: #000000; background-color: transparent; font-weight: 400; font-style: normal; font-variant: normal; text-decoration: none; vertical-align: baseline; white-space: pre-wrap;"&gt;Em réplica, sustenta o demandante que o requerido sequer acosta aos autos prova de envio de cartão ao consumidor e que a foto&lt;/span&gt; &lt;span style="font-size: 12pt; font-family: 'Times New Roman',serif; color: #000000; background-color: transparent; font-weight: 400; font-style: italic; font-variant: normal; text-decoration: none; vertical-align: baseline; white-space: pre- wrap;"&gt;selfie&lt;/span&gt; &lt;span style="font-size: 12pt; font-family: 'Times New Roman',serif; color: #000000; background-color: transparent; font-weight: 400; font-style: normal; font- variant: normal; text-decoration: none; vertical-align: baseline; white-space: pre-wrap;"&gt;por si só não é considerada válida como assinatura digital. O autor impugna veemente o </w:t>
            </w:r>
            <w:r>
              <w:rPr>
                <w:spacing w:val="-3"/>
                <w:sz w:val="20"/>
              </w:rPr>
              <w:t>débito </w:t>
            </w:r>
            <w:r>
              <w:rPr>
                <w:sz w:val="20"/>
              </w:rPr>
              <w:t>alegado, devendo o requerido comprovar a legalidade e validade deste para que não seja condenado na declaração de inexigibilidade de débito, o que, até o presente momento, não ocorreu. Roga pela procedência total da demanda.&lt;/span&gt;&lt;/p&gt;&lt;p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pre-wrap;"&gt;Após, sobreveio a sentença de improcedência ora impugnada.&lt;/span&gt;&lt;/p&gt;&lt;p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pre-wrap;"&gt;A controvérsia recursal cinge-se em verificar se a instituição financeira demonstrou a validade e a legitimidade da contratação de empréstimo consignado que o apelante, pessoa idosa, afirma desconhecer, e se restou configurado o dever de indenizar.&lt;/span&gt;&lt;/p&gt;&lt;p style="line-height: 1.7999999999999998; text-indent: 71pt; text- align: justify; margin-top: 6pt; margin-bottom: 6pt;" dir="ltr"&gt; &lt;span style="font-size: 12pt; font-family: 'Times New Roman',serif; color: #131314; background-color: transparent; font- weight: 400; font-style: normal; font-variant: normal; text-decoration: none; vertical-align: baseline; white-space: pre-wrap;"&gt;A relação jurídica estabelecida é tipicamente de consumo, atraindo a incidência do Código de Defesa do Consumidor (CDC), que estabelece normas de proteção e defesa do consumidor de ordem pública e interesse social, priorizando a vulnerabilidade do consumidor.&lt;/span&gt;&lt;/p&gt;&lt;p style="line-height: 1.7999999999999998; text-indent: 71pt; text-align: justify; margin-top: 6pt; margin-bottom: 6pt;" dir="ltr"&gt;&lt;span style="font-size: 12pt; font-family: 'Times New Roman',serif; color: #131314; background-color: transparent; font-weight: 400; font-style: normal; font-variant: normal; text-decoration: none; vertical-align: baseline; white-space: pre-wrap;"&gt;As instituições financeiras, como fornecedoras de serviços, submetem-se ao regime de responsabilidade objetiva. O Superior Tribunal de Justiça (STJ) pacificou o entendimento, por meio da Súmula 479, de que&lt;/span&gt; &lt;span style="font-size: 12pt; font-family: 'Times New Roman',serif; color: #131314; background-color: transparent; font-weight: 400; font- style: italic; font-variant: normal; text-decoration: none; vertical-align: baseline; white-space: pre-wrap;"&gt;"As instituições financeiras respondem objetivamente pelos danos gerados por fortuito interno relativo a fraudes e delitos praticados por terceiros no âmbito de operações bancárias"&lt;/span&gt;&lt;span style="font-size: 12pt; font-family: 'Times New Roman',serif; color: #131314; background-color: transparent; font-weight: 400; font-style: normal; font-variant: normal; text-decoration: none; vertical-align: baseline; white-space: pre- wrap;"&gt;.&lt;/span&gt;&lt;/p&gt;&lt;p style="line-height: 1.7999999999999998; text-indent: 71pt; text- align: justify; margin-top: 6pt; margin-bottom: 6pt;" dir="ltr"&gt; &lt;span style="font-size: 12pt; font-family: 'Times New Roman',serif; color: #000000; background-color: transparent; font- weight: 400; font-style: normal; font-variant: normal; text-decoration: none; vertical-align: baseline; white-space: pre-wrap;"&gt;O fortuito interno, que abrange as fraudes (seja por terceiros ou na própria contratação eletrônica não autorizada), não afasta o nexo de causalidade nem a responsabilidade do fornecedor. O serviço bancário mostra-se defeituoso quando é aberta conta ou obtido empréstimo em nome de quem não o requereu.&lt;/span&gt;&lt;/p&gt;&lt;p style="line-height: 1.7999999999999998; text-indent: 71pt; text- align: justify; margin-top: 6pt; margin-bottom: 6pt;" dir="ltr"&gt;&lt;span style="font-size: 12pt; font-family: 'Times New Roman',serif; color: #131314; background-color: transparent; font- weight: 400; font-style: normal; font-variant: normal; text-decoration: none; vertical-align: baseline; white-space: pre-wrap;"&gt;Em razão da vulnerabilidade do consumidor e sua hipossuficiência técnica (dificuldade em produzir prova de suas alegações), o Código de Defesa do Consumidor permite a inversão do ônus da prova em seu favor (Art. 6º, VIII). O juízo&lt;/span&gt; &lt;span style="font-size: 12pt; font-family: 'Times New Roman',serif; 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0"/>
              <w:rPr>
                <w:sz w:val="20"/>
              </w:rPr>
            </w:pPr>
            <w:r>
              <w:rPr>
                <w:sz w:val="20"/>
              </w:rPr>
              <w:t>#131314; background-color: transparent; font-weight: 400; font-style: italic; font-variant: normal; text-decoration: none; vertical-align: baseline; white-space: pre-wrap;"&gt;a quo&lt;/span&gt; &lt;span style="font-size: 12pt; font-family: 'Times New Roman',serif; color: #131314; background-color: transparent; font-weight: 400; font-style: normal; font-variant: normal; text-decoration: none; vertical-align: baseline; white-space: pre- wrap;"&gt;corretamente inverteu o ônus da prova, determinando que a NU FINANCEIRA S.A. apresentasse o instrumento contratual e os comprovantes de transferência.&lt;/span&gt;&lt;/p&gt;&lt;p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pre-wrap;"&gt;O apelado, em suas contrarrazões e defesa, afirma que a contratação foi </w:t>
            </w:r>
            <w:r>
              <w:rPr>
                <w:spacing w:val="-3"/>
                <w:sz w:val="20"/>
              </w:rPr>
              <w:t>válida </w:t>
            </w:r>
            <w:r>
              <w:rPr>
                <w:sz w:val="20"/>
              </w:rPr>
              <w:t>por meio digital, mediante o uso de assinatura digital e biometria facial&lt;/span&gt;&lt;/p&gt;&lt;p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pre-wrap;"&gt;Neste contexto, o ônus da apelada era comprovar, de forma cabal e irrefutável, que o negócio jurídico foi realizado por manifestação de vontade indubitável do apelante. Considerando-se a alegação do consumidor de ser pessoa idosa, de pouca instrução, a apelada, ao utilizar a contratação digital, assume o risco inerente à modalidade do serviço (fortuito interno) e deve provar que tal sistema de segurança é compatível com a capacidade e o perfil de seu cliente vulnerável.&lt;/span&gt;&lt;/p&gt;&lt;p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pre-wrap;"&gt;Na espécie, ao examinar a documentação acostada pelo banco durante a fase de conhecimento, não foi possível verificar a existência de uma assinatura digital ou biometria facial válida do promovente. Além disso, não há prova da transferência de valor nem juntada de documentos pessoais como comprovante de endereço do demandante. Um sistema que permite a contratação de empréstimo consignado por um idoso de pouca instrução com base apenas em uma biometria contestada (sem outras provas de consentimento ou conhecimento dos riscos) falhou no dever de prestar um serviço seguro.&lt;/span&gt;&lt;/p&gt;&lt;p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pre-wrap;"&gt;Portanto, a prova produzida pela empresa apelada foi insuficiente para desconstituir a tese autoral.&lt;/span&gt;&lt;/p&gt;&lt;p style="line-height: 1.7999999999999998; text- indent: 71pt; text-align: justify; margin-top: 6pt; margin-bottom: 6pt;" dir="ltr"&gt; &lt;span style="font-size: 12pt; font-family: 'Times New Roman',serif; color: #131314; background- color: transparent; font-weight: 400; font-style: normal; font-variant: normal; text-decoration: none; vertical-align: baseline; white-space: pre-wrap;"&gt;Se o empréstimo consignado foi realizado sem a comprovação da regularidade e segurança da contratação em face da manifestação de vontade do consumidor, configura-se a falha na prestação do serviço.&lt;/span&gt;&lt;/p&gt;&lt;p style="line-height: 1.7999999999999998; text-indent: 71pt; text- align: justify; margin-top: 6pt; margin-bottom: 6pt;" dir="ltr"&gt; &lt;span style="font-size: 12pt; font-family: 'Times New Roman',serif; color: #131314; background-color: transparent; font- weight: 400; font-style: normal; font-variant: normal; text-decoration: none; vertical-align: baseline; white-space: pre-wrap;"&gt;Ausente prova válida da manifestação de vontade, o negócio jurídico é inválido (nulo), e a apelada deve responder pelos danos.&lt;/span&gt;&lt;/p&gt;&lt;p style="line-height: 1.7999999999999998; text-indent: 71pt; text-align: justify; margin-top: 6pt; margin-bottom: 6pt;" dir="ltr"&gt;&lt;span style="font-size: 12pt; font-family: 'Times New Roman',serif; color: #000000; background-color: transparent; font-weight: 400; font-style: normal; font-variant: normal; text-decoration: none; vertical-align: baseline; white-space: pre-wrap;"&gt;Sobre os danos materiais, o Tribunal da Cidadania fixou a tese de que a restituição em dobro independe da natureza volitiva do fornecedor, ou seja, prescinde da comprovação da má-fé quando a cobrança indevida decorrer de serviços não contratados (EAREsp 676.608/RS). Todavia, na decisão paradigma, entendeu que, para demandas que não decorram da prestação de serviços públicos, o acórdão terá eficácia prospectiva, somente aplicável a valores pagos após a sua publicação, qual seja, 30/03/2021. Desta feita, considerando que os descontos ora reputados ilegais se iniciaram após esta data,&lt;/span&gt; &lt;span style="font-size: 12pt; font-family: 'Times New Roman',serif; color: #131314; background-color: transparent; font-weight: 400; font-style: normal; font-variant: normal; text-decoration: none; vertical-align: baseline; white-space: pre-wrap;"&gt;devem ser restituídos em dobro, nos termos do art. 42, parágrafo único, do CDC, uma vez que a cobrança se deu em razão de um contrato inexistente e sem a comprovação de engano justificável por parte da fornecedora.&lt;/span&gt;&lt;/p&gt;&lt;p style="line-height: 1.7999999999999998; text-indent: 71pt; text-align: justify; margin-top: 6pt; margin-bottom: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4"/>
              <w:rPr>
                <w:sz w:val="20"/>
              </w:rPr>
            </w:pPr>
            <w:r>
              <w:rPr>
                <w:sz w:val="20"/>
              </w:rPr>
              <w:t>6pt;" dir="ltr"&gt; &lt;span style="font-size: 12pt; font-family: 'Times New Roman',serif; color: #131314; background-color: transparent; font-weight: 400; font-style: normal; font-variant: normal; text-decoration: none; vertical-align: baseline; white-space: pre-wrap;"&gt;Quanto aos danos morais, é cediço que somente pode ser reconhecido quando houver lesão a bem que integra os direitos da personalidade, como a honra, a dignidade, a intimidade, a imagem, o bom nome etc., como se infere dos arts. 1º, inciso III, e 5º, incisos Ve X, da Constituição Federal. Acentuo que o mero dissabor, aborrecimento, ressentimento, indignação ou sensibilidade exacerbada encontra-se externamente à esfera do dano moral, à medida que pertencem à normalidade do cotidiano e não são capazes de romper o equilíbrio da psique do indivíduo.&lt;/span&gt;&lt;/p&gt;&lt;p style="line-height: 1.7999999999999998; text-indent: 71pt; text-align: justify; margin-top: 6pt; margin-bottom: 6pt;" dir="ltr"&gt; &lt;span style="font-size: 12pt; font-family: 'Times New Roman',serif; color: #131314; background-color: transparent; font-weight: 400; font-style: normal; font-variant: normal; text-decoration: none; vertical-align: baseline; white-space: pre-wrap;"&gt;Na hipótese, não vislumbro a demonstração de elementos efetivos que provem o comprometimento do sustento do promovente em decorrência dos abatimentos em seu benefício. Quanto ao tema, a jurisprudência do STJ é assente no sentido de que se trata de mero aborrecimento o desconto indevido de valores ínfimos, incapazes de comprometer a subsistência da parte(AgInt nos EDcl no REsp n. 1.948.000/SP, relator Ministro Raul Araújo, Quarta Turma, julgado em23/5/2022).&lt;/span&gt;&lt;/p&gt;&lt;p style="line- height: 1.7999999999999998; text-indent: 71pt; text-align: justify; margin-top: 6pt; margin- bottom: 6pt;" dir="ltr"&gt; &lt;span style="font-size: 12pt; font-family: 'Times New Roman',serif; color: #131314; background-color: transparent; font-weight: 400; font-style: normal; font- variant: normal; text-decoration: none; vertical-align: baseline; white-space: pre- wrap;"&gt;Nesse sentido, trago precedentes recentes desta Corte de Justiça:&lt;/span&gt;&lt;/p&gt;&lt;p style="line-height: 1.7999999999999998; margin-left: 113pt; text-align: justify; margin-top: 6pt; margin-bottom: 6pt;" dir="ltr"&gt;&amp;#160;&lt;/p&gt;&lt;p style="line-height: 1.7999999999999998; margin-left: 113pt; text-align: justify; margin-top: 6pt; margin-bottom: 6pt;" dir="ltr"&gt; &lt;span style="font-size: 12pt; font-family: 'Times New Roman',serif; color: #131314; background- color: transparent; font-weight: 400; font-style: normal; font-variant: normal; text-decoration: none; vertical-align: baseline; white-space: pre-wrap;"&gt;DIREITO DO CONSUMIDOR. APELAÇÃO CÍVEL. AÇÃO DECLARATÓRIA DE NULIDADE DE COBRANÇA C/C REPETIÇÃO DE INDÉBITO E INDENIZAÇÃO POR DANOS MORAIS. DESCONTOS INDEVIDOS EM BENEFÍCIO PREVIDENCIÁRIO. CONTRATO NÃO COMPROVADO. DANO MORAL NÃO CONFIGURADO. VALOR ÍNFIMO INCAPAZ DE COMPROMETER A SUBSISTÊNCIA DO CONSUMIDOR. RECURSO CONHECIDO E DESPROVIDO. I.</w:t>
            </w:r>
            <w:r>
              <w:rPr>
                <w:spacing w:val="2"/>
                <w:sz w:val="20"/>
              </w:rPr>
              <w:t> </w:t>
            </w:r>
            <w:r>
              <w:rPr>
                <w:spacing w:val="-5"/>
                <w:sz w:val="20"/>
              </w:rPr>
              <w:t>CASO</w:t>
            </w:r>
          </w:p>
          <w:p>
            <w:pPr>
              <w:pStyle w:val="TableParagraph"/>
              <w:spacing w:line="208" w:lineRule="auto" w:before="0"/>
              <w:ind w:right="41"/>
              <w:rPr>
                <w:sz w:val="20"/>
              </w:rPr>
            </w:pPr>
            <w:r>
              <w:rPr>
                <w:sz w:val="20"/>
              </w:rPr>
              <w:t>EM EXAME1. Trata-se de recurso de apelação interposto em face de sentença que julgou parcialmente procedente ação declaratória de nulidade de cobranças c/c repetição de indébito e indenização por danos morais ajuizada contra Associação Brasileira dos Contribuintes do Regime Geral da Previdência Social - ABRASPREV. A sentença reconheceu a nulidade do contrato, determinou a restituição dos valores descontados (em dobro apenas para descontos posteriores a 30/03/2021) e julgou improcedente o pedido de danos morais. O apelante requer a condenação da apelada ao pagamento de indenização por danos morais, alegando que os descontos não autorizados em sua aposentadoria não se tratam de mero dissabor. II. QUESTÕES EM DISCUSSÃO 2. A questão em discussão consiste em avaliar se é devida a condenação da parte requerida ao pagamento de danos morais em razão de descontos indevidos no valor de R$ 57,60 realizados no benefício previdenciário do autor, decorrentes de contrato declarado nulo. </w:t>
            </w:r>
            <w:r>
              <w:rPr>
                <w:spacing w:val="-5"/>
                <w:sz w:val="20"/>
              </w:rPr>
              <w:t>III. </w:t>
            </w:r>
            <w:r>
              <w:rPr>
                <w:sz w:val="20"/>
              </w:rPr>
              <w:t>RAZÕES DE DECIDIR 3. Os descontos realizados no benefício previdenciário da parte autora, em razão de contrato declarado inexistente, configuram falha na prestação do serviço e constituem ato ilícito, ensejando responsabilização objetiva do fornecedor nos termos do art. 14 do Código de Defesa do Consumidor. 4. Embora reconhecida a irregularidade do débito direto na conta do consumidor, o valor descontado de R$ 57,60 não possui capacidade de comprometer a subsistência da parte autora, não havendo representatividade financeira de maior monta. 5. O Superior Tribunal de Justiça firmou entendimento de que apenas desconto de pequeno valor ou quantia ínfima, incapaz de comprometer a subsistência do autor, desfigura a existência de danos morais, configurando mero aborrecimento. 6. O que se denota é o inconformismo do embargante com o resultado do julgamento, sendo que esta situação só pode ser alterada por meio de recurso idôneo, não constituindo os embargos de declaração via adequada à reforma da decisão judicial, por não possuírem, salvo raríssimas exceções, os efeitos próprios da infringência. 7. Os embargos de declaração, cujo objetivo é a integração da decisão embargada, não servem como meio de rediscussão da matéria já julgada, conforme enunciado de Súmula nº 18 do Tribunal de Justiça do Ceará. IV. DISPOSITIVO 8. Recurso conhecido e desprovido. (APELAÇÃO CÍVEL - 30026369120248060101, Relator(a): EVERARDO LUCENA SEGUNDO, 2ª Câmara de Direito Privado, Data do julgamento: 03/09/2025).&lt;/span&gt;&lt;/p&gt;&lt;p style="line-height: 1.7999999999999998; margin-left: 113pt; text-align: justify; margin-top: 6pt; margin-bottom: 6pt;" dir="ltr"&gt;&amp;#160;&lt;/p&gt;&lt;p style="line- height: 1.7999999999999998; margin-left: 113pt; text-align: justify; margin-top: 6pt; margin- bottom: 6pt;" dir="ltr"&gt; &lt;span style="font-size: 12pt; font-family: 'Times New Roman',serif;</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59"/>
              <w:rPr>
                <w:sz w:val="20"/>
              </w:rPr>
            </w:pPr>
            <w:r>
              <w:rPr>
                <w:sz w:val="20"/>
              </w:rPr>
              <w:t>color: #000000; background-color: transparent; font-weight: 400; font-style: normal; font- variant: normal; text-decoration: none; vertical-align: baseline; white-space: pre- wrap;"&gt;DIREITO DO CONSUMIDOR E CIVIL. APELAÇÕES CÍVEIS. DESCONTOS INDEVIDOS EM CONTA BANCÁRIA. CONTRATAÇÃO NÃO COMPROVADA. RESPONSABILIDADE SOLIDÁRIA DO BANCO. DANO MORAL NÃO CONFIGURADO. RECURSOS CONHECIDOS E DESPROVIDOS. I. CASO EM EXAME 1. Apelações Cíveis</w:t>
            </w:r>
          </w:p>
          <w:p>
            <w:pPr>
              <w:pStyle w:val="TableParagraph"/>
              <w:spacing w:line="208" w:lineRule="auto" w:before="0"/>
              <w:ind w:right="18"/>
              <w:rPr>
                <w:sz w:val="20"/>
              </w:rPr>
            </w:pPr>
            <w:r>
              <w:rPr>
                <w:sz w:val="20"/>
              </w:rPr>
              <w:t>interpostas contra sentença que, em sede de Ação Declaratória de Inexistência de Débito c/c Pedido de Indenização por Danos Morais e Restituição de Valores, julgou parcialmente procedentes os pedidos autorais, declarando nulas as cobranças vinculadas a contrato de seguro e determinando a restituição dos valores descontados, mas indeferiu o pedido de indenização por danos morais. II. QUESTÃO EM DISCUSSÃO 2. Há duas questões em discussão: (i) definir se o Banco Bradesco S/A possui legitimidade para figurar no polo passivo e se há interesse processual da autora; (ii) verificar se os descontos indevidos autorizam a condenação por danos morais. III. RAZÕES DE DECIDIR 3. A instituição financeira integra a cadeia de consumo e, nos termos dos arts. 7º, parágrafo único, e 25, § 1º, do CDC, responde solidariamente pelos danos oriundos da relação de consumo. 4. O princípio da inafastabilidade da jurisdição (CF, art. 5º, XXXV) assegura o acesso ao Judiciário mesmo sem prova de pretensão resistida, não se exigindo exaurimento da via administrativa. 5. Incumbia ao banco, nos termos do art. 6º, VIII, do CDC, comprovar a existência e regularidade da contratação do seguro, ônus do qual não se desincumbiu, limitando-se a apresentar extratos de descontos. 6. A ausência de contrato ou autorização válida configura falha na prestação do serviço, impondo a declaração de nulidade dos descontos e a restituição dos valores. 7. Conforme o EAREsp 676.608/RS, a restituição deve ser simples para descontos anteriores a 30/03/2021 e em dobro para os posteriores, por violação à boa-fé objetiva. 8. A mera ocorrência de descontos indevidos em conta corrente ou em benefício previdenciário enseja danos morais in re ipsa. Contudo, trata-se de presunção relativa, a qual pode ser ilidia a partir de elementos de prova que indiquem a redução dos danos ou ocorrência de meros aborrecimentos vivenciados pela autora. 9. Os descontos decorrentes do contrato de seguro foram feitos em valor ínfimo, que não compromete a subsistência da requerente. Dessa forma, a existência de descontos indevidos na conta bancária da autora, sem a devida demonstração de lesão concreta, </w:t>
            </w:r>
            <w:r>
              <w:rPr>
                <w:spacing w:val="-6"/>
                <w:sz w:val="20"/>
              </w:rPr>
              <w:t>não </w:t>
            </w:r>
            <w:r>
              <w:rPr>
                <w:sz w:val="20"/>
              </w:rPr>
              <w:t>configura, por si só, dano moral indenizável. IV. DISPOSITIVO E TESE 10. Recursos conhecidos e desprovidos. Tese de julgamento: 1. O banco que facilita descontos não autorizados em conta bancária integra a cadeia de consumo e responde solidariamente por eventuais danos causados. 2. A ausência de prova da contratação válida justifica a declaração de nulidade dos descontos e impõe a restituição simples dos valores anteriores a 30/03/2021 e em dobro dos posteriores. 3. A realização de descontos indevidos em montante ínfimo não caracteriza o dano moral presumido, sendo necessária a comprovação do abalo. (Apelação Cível - 0204692-26.2023.8.06.0029, Rel.</w:t>
            </w:r>
          </w:p>
          <w:p>
            <w:pPr>
              <w:pStyle w:val="TableParagraph"/>
              <w:spacing w:line="208" w:lineRule="auto" w:before="0"/>
              <w:ind w:right="198"/>
              <w:rPr>
                <w:sz w:val="20"/>
              </w:rPr>
            </w:pPr>
            <w:r>
              <w:rPr>
                <w:sz w:val="20"/>
              </w:rPr>
              <w:t>Desembargador(a) FRANCISCO LUCÍDIO DE QUEIROZ JÚNIOR, 3ª Câmara Direito Privado, data do julgamento: 25/06/2025, data da publicação: 25/06/2025).&amp;#160;&lt;/span&gt;&lt;/p&gt;&lt;p style="line-height: 1.7999999999999998; margin-left: 113pt; text-align: justify; margin-top: 6pt; margin-bottom: 6pt;" dir="ltr"&gt;&amp;#160;&lt;/p&gt;&lt;p style="line-height: 1.7999999999999998; margin-left: 113pt; text-align: justify; margin-top: 6pt; margin-bottom: 6pt;" dir="ltr"&gt; &lt;span style="font-size: 12pt; font-family: 'Times New Roman',serif; color: #131314; background-color: transparent; font-weight: 400; font-style: normal; font-variant: normal; text-decoration: none; vertical-align: baseline; white-space: pre-wrap;"&gt;APELAÇÃO CÍVEL. AÇÃO DECLARATÓRIA DE INEXISTÊNCIA DE RELAÇÃO CONTRATUAL C/C PEDIDO DE REPETIÇÃO DO INDÉBITO E INDENIZAÇÃO POR DANOS MORAIS. DESCONTOS INDEVIDOS EM BENEFÍCIO PREVIDENCIÁRIO. AUSÊNCIA DE PROVA DA EFETIVA CONTRATAÇÃO. VALOR IRRISÓRIO. DANO MORAL NÃO CONFIGURADO. DESCONTOS INEXPRESSIVOS. MERO ABORRECIMENTO. RECURSO CONHECIDO E NÃO PROVIDO. I. CASO EM</w:t>
            </w:r>
          </w:p>
          <w:p>
            <w:pPr>
              <w:pStyle w:val="TableParagraph"/>
              <w:spacing w:line="208" w:lineRule="auto" w:before="0"/>
              <w:ind w:right="41"/>
              <w:rPr>
                <w:sz w:val="20"/>
              </w:rPr>
            </w:pPr>
            <w:r>
              <w:rPr>
                <w:sz w:val="20"/>
              </w:rPr>
              <w:t>EXAME. 1. Tratam os autos de apelação cível interposta contra a sentença de fls. 84-88, prolatada pelo Juízo da 1ª Vara Cível da Comarca de Acopiara, em sede de Ação Declaratória de Inexistência de Débito c/c Indenização por Danos Morais c/c Repetição do Indébito, proposta por Maria Auserina Araujo de Souza em face de Confederação </w:t>
            </w:r>
            <w:r>
              <w:rPr>
                <w:spacing w:val="-3"/>
                <w:sz w:val="20"/>
              </w:rPr>
              <w:t>Nacional </w:t>
            </w:r>
            <w:r>
              <w:rPr>
                <w:sz w:val="20"/>
              </w:rPr>
              <w:t>dos Agricultores Familiares e Empreend. Fam. Rurais do Brasil ¿ CONAFER. II. QUESTÃO EM DISCUSSÃO. 2. As questões em discussão consistem em analisar: (i) se a contratação firmada pelas partes é válida; (ii) se é devida a condenação por danos morais;</w:t>
            </w:r>
          </w:p>
          <w:p>
            <w:pPr>
              <w:pStyle w:val="TableParagraph"/>
              <w:spacing w:line="208" w:lineRule="auto" w:before="0"/>
              <w:ind w:right="62"/>
              <w:rPr>
                <w:sz w:val="20"/>
              </w:rPr>
            </w:pPr>
            <w:r>
              <w:rPr>
                <w:sz w:val="20"/>
              </w:rPr>
              <w:t>(iii) se devem ser majorados os honorários sucumbenciais. III. RAZÕES DE DECIDIR. 3. A instituição promovida não foi capaz de produzir prova impeditiva, modificativa ou mesmo extintiva do direito alegado na inicial. Portanto, a não comprovação da realização do negócio jurídico para justificar os descontos no benefício da promovente, implica a nulidade do pacto impugnado. 4. No entanto, ¿quando a situação experimentada não tem o condão de expor a parte a dor, vexame, sofrimento ou constrangimento perante terceiros, não há falar em dano moral, uma vez que se trata de mero aborrecimento ou dissabor" (AgInt no AREsp 1.354.773/MS, Rel. Ministro Raul Araújo, Quarta Turma, julgado em 02/04/2019, DJe de 24/04/2019). 5. Portanto, em que pese se reconhecer a nulidade do contrato, tendo em vista que a parte promovida não comprovou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manifestação de vontade do demandante em firmar a avença, não se vislumbra a ocorrência de prejuízos imateriais, uma vez que as parcelas indevidamente descontadas correspondem a um valor irrisório. IV. DISPOSITIVO E TESE. 6. Recurso conhecido e </w:t>
            </w:r>
            <w:r>
              <w:rPr>
                <w:spacing w:val="-6"/>
                <w:sz w:val="20"/>
              </w:rPr>
              <w:t>não </w:t>
            </w:r>
            <w:r>
              <w:rPr>
                <w:sz w:val="20"/>
              </w:rPr>
              <w:t>provido. DISPOSITIVOS RELEVANTES CITADOS: CDC, arts. 2º, 3º, § 2º, 6º, 14, § 3º, I e</w:t>
            </w:r>
          </w:p>
          <w:p>
            <w:pPr>
              <w:pStyle w:val="TableParagraph"/>
              <w:spacing w:line="208" w:lineRule="auto" w:before="0"/>
              <w:ind w:right="20"/>
              <w:rPr>
                <w:sz w:val="20"/>
              </w:rPr>
            </w:pPr>
            <w:r>
              <w:rPr>
                <w:sz w:val="20"/>
              </w:rPr>
              <w:t>II. JURISPRUDÊNCIAS RELEVANTES CITADAS: AgInt no AREsp 1.354.773/MS, Rel. Ministro Raul Araújo, Quarta Turma, julgado em 02/04/2019, DJe de 24/04/2019; TJ/CE - AC 00220595720178060029 Acopiara, Relator: FRANCISCO MAURO FERREIRA LIBERATO, Data de Julgamento: 19/04/2023, 1ª Câmara Direito Privado, Data de Publicação: 19/04/2023; e TJ/CE - Apelação Cível: 0201199-17.2022.8.06.0113 Jucás, Relator: JOSE RICARDO VIDAL PATROCÍNIO, Data de Julgamento: 31/01/2024, 1ª Câmara Direito Privado, Data de Publicação: 31/01/2024) (Apelação Cível - 0203471- 71.2024.8.06.0029, Rel. Desembargador(a) JOSE EVANDRO NOGUEIRA LIMA FILHO, 4ª Câmara Direito Privado, data do julgamento: 27/05/2025, data da publicação: 28/05/2025).&amp;#160;&lt;/span&gt;&lt;/p&gt;&lt;p style="line-height: 1.7999999999999998; text-indent: 71pt; text-align: justify; margin-top: 6pt; margin-bottom: 6pt;" dir="ltr"&gt;&amp;#160;&lt;/p&gt;&lt;p style="line-height: 1.7999999999999998; text-indent: 71pt; text-align: justify; margin-top: 6pt; margin-bottom: 6pt;" dir="ltr"&gt; &lt;span style="font-size: 12pt; font-family: 'Times New Roman',serif; color: #131314; background-color: transparent; font-weight: 700; font-style: normal; font-variant: normal; text-decoration: none; vertical-align: baseline; white-space: pre-wrap;"&gt;DISPOSITIVO.&lt;/span&gt;&lt;/p&gt;&lt;p style="line-height: 1.7999999999999998; text- indent: 71pt; text-align: justify; margin-top: 6pt; margin-bottom: 6pt;" dir="ltr"&gt; &lt;span style="font-size: 12pt; font-family: 'Times New Roman',serif; color: #000000; background- color: transparent; font-weight: 400; font-style: normal; font-variant: normal; text-decoration: none; vertical-align: baseline; white-space: pre-wrap;"&gt;Ante o exposto e fundamentado, CONHEÇO o Recurso de Apelação Cível interposto por MANOEL FERREIRA LIMA para DAR-LHE PARCIAL PROVIMENTO, e em consequência:&lt;/span&gt;&lt;/p&gt;&lt;p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pre-wrap;"&gt;1. DECLARAR a inexistência do contrato de empréstimo discutido nos autos.&lt;/span&gt;&lt;/p&gt;&lt;p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pre-wrap;"&gt;2. CONDENAR a Apelada, NU FINANCEIRA S.A. a restituir à apelante os valores indevidamente descontados de seu benefício previdenciário, na forma dobrada, nos termos do art. 42, parágrafo único, do CDC. O valor da repetição de indébito será corrigido monetariamente pelo INPC e juros de mora de 1% (um por cento) ao mês em relação a cada desconto indevido, consoante Súmulas nº 43 e 54 do STJ, aplicando-se o disposto na Lei 14.905/2024 a partir de sua vigência, de modo que a correção monetária será pelo IPCA e juros de mora pela taxa Selic, deduzido o índice de correção monetária (art. 406 do CC).&lt;/span&gt;&lt;/p&gt;&lt;p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 align: baseline; white-space: pre-wrap;"&gt;3. INDEFERIR o pedido de condenação por </w:t>
            </w:r>
            <w:r>
              <w:rPr>
                <w:spacing w:val="-4"/>
                <w:sz w:val="20"/>
              </w:rPr>
              <w:t>danos </w:t>
            </w:r>
            <w:r>
              <w:rPr>
                <w:sz w:val="20"/>
              </w:rPr>
              <w:t>morais.&amp;#160;&lt;/span&gt;&lt;/p&gt;&lt;p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 align: baseline; white-space: pre-wrap;"&gt;Diante da sucumbência recíproca, as partes deverão ratear as custas e arcar com honorários de advogado no montante de R$ 500,00 (quinhentos reais), com as ressalvas de o autor ser beneficiário da justiça gratuita.&lt;/span&gt;</w:t>
            </w:r>
          </w:p>
          <w:p>
            <w:pPr>
              <w:pStyle w:val="TableParagraph"/>
              <w:tabs>
                <w:tab w:pos="972" w:val="left" w:leader="none"/>
                <w:tab w:pos="4332" w:val="left" w:leader="none"/>
              </w:tabs>
              <w:spacing w:line="208" w:lineRule="auto" w:before="0"/>
              <w:ind w:right="50"/>
              <w:rPr>
                <w:sz w:val="20"/>
              </w:rPr>
            </w:pPr>
            <w:r>
              <w:rPr>
                <w:sz w:val="20"/>
              </w:rPr>
              <w:t>&lt;span style="font-size: 8.5pt; font-family: Arial,sans-serif; color: #000000; background- color: transparent; font-weight: 400; font-style: normal; font-variant: normal; text-decoration: none; vertical-align: baseline; white-space: pre-wrap;"&gt;&amp;#160;&lt;/span&gt; &lt;span style="text- indent: 70.8661pt;"&gt;&amp;#160;&lt;/span&gt;&lt;/p&gt;&lt;p style="line-height: 1.7999999999999998; text- indent: 71pt; text-align: justify; margin-top: 6pt; margin-bottom: 6pt;" dir="ltr"&gt; &lt;span style="font-size: 12pt; font-family: 'Times New Roman',serif; color: #000000; background- color: transparent; font-weight: 400; font-style: normal; font-variant: normal; text-decoration: none; vertical-align: baseline; white-space: pre-wrap;"&gt;É como voto.&lt;/span&gt;&lt;/p&gt;&lt;p style="line-height: 1.7999999999999998; text-indent: 71pt; text-align: justify; margin-top: 6pt; margin-bottom: 6pt;" dir="ltr"&gt; &lt;span style="font-size: 12pt; font-family: 'Times New Roman',serif; color: #000000; background-color: transparent; font-weight: 400; font-style: normal; font-variant: normal; text-decoration: none; vertical-align: baseline; white-space: pre-wrap;"&gt;&amp;#160;&lt;/span&gt; &lt;span style="font-family: &amp;quot;times new roman&amp;quot;, </w:t>
            </w:r>
            <w:r>
              <w:rPr>
                <w:spacing w:val="-3"/>
                <w:sz w:val="20"/>
              </w:rPr>
              <w:t>times; </w:t>
            </w:r>
            <w:r>
              <w:rPr>
                <w:sz w:val="20"/>
              </w:rPr>
              <w:t>font-size: medium; text-indent: 8%;"&gt;Fortaleza/CE, data registrada no sistema.&lt;/span&gt;&lt;/p&gt;&lt;p style="text-indent: 8%; text-align: justify;"&gt; &lt;span style="font-size: small;"&gt;</w:t>
              <w:tab/>
              <w:t>&lt;span style="font-size: medium;"&gt;</w:t>
              <w:tab/>
              <w:t>&lt;span style="font-family: &amp;quot;times 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3001260-92.2024.8.06.0029</w:t>
            </w:r>
          </w:p>
        </w:tc>
      </w:tr>
      <w:tr>
        <w:trPr>
          <w:trHeight w:val="2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83" w:val="left" w:leader="none"/>
                <w:tab w:pos="2461" w:val="left" w:leader="none"/>
                <w:tab w:pos="3317" w:val="left" w:leader="none"/>
                <w:tab w:pos="4262" w:val="left" w:leader="none"/>
                <w:tab w:pos="5522" w:val="left" w:leader="none"/>
                <w:tab w:pos="7278" w:val="left" w:leader="none"/>
              </w:tabs>
              <w:spacing w:line="208" w:lineRule="auto" w:before="26"/>
              <w:ind w:right="76"/>
              <w:rPr>
                <w:sz w:val="20"/>
              </w:rPr>
            </w:pPr>
            <w:r>
              <w:rPr>
                <w:sz w:val="20"/>
              </w:rPr>
              <w:t>roman&amp;quot;, times;"&gt;</w:t>
              <w:tab/>
              <w:t>&lt;br /&gt;</w:t>
              <w:tab/>
              <w:t>&lt;/span&gt;</w:t>
              <w:tab/>
              <w:t>&lt;/span&gt; &lt;/span&gt;&lt;/p&gt;&lt;p style="text-indent: 8%; text-align: center;"&gt;  &lt;span style="font-size: medium;"&gt;</w:t>
              <w:tab/>
              <w:t>&lt;strong style="font-size: small;"&gt;</w:t>
              <w:tab/>
              <w:t>&lt;span style="font-family: &amp;quot;times new roman&amp;quot;, times;"&gt;</w:t>
              <w:tab/>
              <w:t>&lt;br /&gt;</w:t>
            </w:r>
          </w:p>
          <w:p>
            <w:pPr>
              <w:pStyle w:val="TableParagraph"/>
              <w:tabs>
                <w:tab w:pos="3622" w:val="left" w:leader="none"/>
                <w:tab w:pos="4240" w:val="left" w:leader="none"/>
                <w:tab w:pos="5297" w:val="left" w:leader="none"/>
                <w:tab w:pos="6242" w:val="left" w:leader="none"/>
              </w:tabs>
              <w:spacing w:line="208" w:lineRule="auto" w:before="0"/>
              <w:ind w:right="203"/>
              <w:rPr>
                <w:sz w:val="20"/>
              </w:rPr>
            </w:pPr>
            <w:r>
              <w:rPr>
                <w:sz w:val="20"/>
              </w:rPr>
              <w:t>&lt;span style="font-size: medium;"&gt;</w:t>
              <w:tab/>
              <w:t>&lt;strong style="font-size: medium;"&gt;FRANCISCO LUCÍDIO DE QUEIROZ JÚNIOR&lt;/strong&gt;</w:t>
              <w:tab/>
              <w:t>&lt;/span&gt;</w:t>
              <w:tab/>
              <w:t>&lt;/span&gt;</w:t>
              <w:tab/>
              <w:t>&lt;/strong&gt;</w:t>
            </w:r>
          </w:p>
          <w:p>
            <w:pPr>
              <w:pStyle w:val="TableParagraph"/>
              <w:tabs>
                <w:tab w:pos="2549" w:val="left" w:leader="none"/>
                <w:tab w:pos="6020" w:val="left" w:leader="none"/>
                <w:tab w:pos="6883" w:val="left" w:leader="none"/>
                <w:tab w:pos="7375" w:val="left" w:leader="none"/>
              </w:tabs>
              <w:spacing w:line="208" w:lineRule="auto" w:before="0"/>
              <w:ind w:right="54"/>
              <w:rPr>
                <w:sz w:val="20"/>
              </w:rPr>
            </w:pPr>
            <w:r>
              <w:rPr>
                <w:sz w:val="20"/>
              </w:rPr>
              <w:t>&lt;/span&gt;&lt;/p&gt;&lt;p style="text-align: center;"&gt;  &lt;span style="font-size: small;"&gt;</w:t>
              <w:tab/>
              <w:t>&lt;strong style="font-size: small;"&gt;</w:t>
              <w:tab/>
              <w:t>&lt;span style="font-size: medium;"&gt;</w:t>
              <w:tab/>
              <w:t>&lt;span style="font- family: &amp;quot;times new roman&amp;quot;, times;"&gt;Desembargador Relator&lt;/span&gt;</w:t>
              <w:tab/>
            </w:r>
            <w:r>
              <w:rPr>
                <w:spacing w:val="-3"/>
                <w:sz w:val="20"/>
              </w:rPr>
              <w:t>&lt;/span&gt;</w:t>
            </w:r>
          </w:p>
          <w:p>
            <w:pPr>
              <w:pStyle w:val="TableParagraph"/>
              <w:tabs>
                <w:tab w:pos="5720" w:val="left" w:leader="none"/>
              </w:tabs>
              <w:spacing w:line="208" w:lineRule="auto" w:before="0"/>
              <w:ind w:right="163"/>
              <w:rPr>
                <w:sz w:val="20"/>
              </w:rPr>
            </w:pPr>
            <w:r>
              <w:rPr>
                <w:sz w:val="20"/>
              </w:rPr>
              <w:t>&lt;/strong&gt; &lt;/span&gt;&lt;/p&gt;&lt;p&gt;&amp;#160;&lt;/p&gt;&lt;br /&gt;&lt;br /&gt;&lt;p&gt;&amp;#160;&lt;/p&gt;&lt;p&gt;&amp;#160;&lt;/p&gt;&lt;p style="text-align: center;"&gt;  &lt;span style="font-size: medium;"&gt;</w:t>
              <w:tab/>
            </w:r>
            <w:r>
              <w:rPr>
                <w:spacing w:val="-1"/>
                <w:sz w:val="20"/>
              </w:rPr>
              <w:t>&lt;strong&gt;&amp;#160;&lt;/strong&gt;</w:t>
            </w:r>
          </w:p>
          <w:p>
            <w:pPr>
              <w:pStyle w:val="TableParagraph"/>
              <w:spacing w:line="205" w:lineRule="exact" w:before="0"/>
              <w:rPr>
                <w:sz w:val="20"/>
              </w:rPr>
            </w:pPr>
            <w:r>
              <w:rPr>
                <w:sz w:val="20"/>
              </w:rPr>
              <w:t>&lt;/span&gt;&lt;/p&gt;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3000324-79.2025.8.06.0143</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322</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Indenização por Dano Moral</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ANTONIO PEREIRA DE LIMA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FRANCISCO REGIOS PEREIRA NETO - (CE25034-A)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DAYCOVAL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ANTONIO DE MORAES DOURADO NETO - (PE23255-A)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0284257-26.2023.8.06.0001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323</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3º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MANTOVANNI COLARES CAVALCANTE</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BANCO C6 S.A.</w:t>
            </w:r>
          </w:p>
        </w:tc>
      </w:tr>
      <w:tr>
        <w:trPr>
          <w:trHeight w:val="6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4234"/>
              <w:rPr>
                <w:sz w:val="20"/>
              </w:rPr>
            </w:pPr>
            <w:r>
              <w:rPr>
                <w:sz w:val="20"/>
              </w:rPr>
              <w:t>DANIEL NUNES ROMERO - </w:t>
            </w:r>
            <w:r>
              <w:rPr>
                <w:spacing w:val="-2"/>
                <w:sz w:val="20"/>
              </w:rPr>
              <w:t>(SP168016-A) </w:t>
            </w:r>
            <w:r>
              <w:rPr>
                <w:sz w:val="20"/>
              </w:rPr>
              <w:t>ARIOSMAR NERIS - (SP232751-A) FLAVIA DOS REIS SILVA - (SP226657-A)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ANTONIO FELIPE VIANA MATOS</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LEANDRO DE ARAUJO SAMPAIO - (CE32509-A)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11"/>
        <w:rPr>
          <w:sz w:val="6"/>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324</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JOEL PEREIRA ROCHA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JULIO MANUEL URQUETA GOMEZ JUNIOR - (SC52867-A)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BRADESCO FINANCIAMENTOS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ROBERTO DOREA PESSOA - (BA12407-A)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13"/>
              <w:rPr>
                <w:sz w:val="20"/>
              </w:rPr>
            </w:pPr>
            <w:r>
              <w:rPr>
                <w:sz w:val="20"/>
              </w:rPr>
              <w:t>&lt;p style="text-align: left;"&gt;&amp;#160;&lt;/p&gt;&lt;p style="text-align: center;"&gt; &lt;img src="data:image/jpeg;base64,/9j/4AAQSkZJRgABAQAAAQABAAD/2wCEAAkGBxETEhUT EREWFhUWExcVGBcXFRgYGxoXHRoXFhkVGRYbHigiGholGxgZLTMjJTUrLzouGB8zOD csNygtLisBCgoKDg0OGxAQGzAlICUrMiswNzE1LTUrNjItNS0yLS0vNzUtLS0tNy81Li0tMi0t Ky0tLy0vLTYtLi0tLS4vNf/AABEIAI0AjQMBIgACEQEDEQH/xAAbAAEAAgMBAQAAAAAAA AAAAAAABQYDBAcCAf/EAEEQAAIBAgQDBgIHBQUJAAAAAAECEQADBBIhMQVBUQY TImFxgTKhQlKCkbHB0SMzcpLwFFNik6I0Q0RUY4PC0uH/xAAaAQEAAwEBAQAAAAAA AAAAAAAAAgMFBAEG/8QALREAAgEDAwMBBgcAAAAAAAAAAAECAxExBCFBEhNRIg</w:t>
            </w:r>
          </w:p>
          <w:p>
            <w:pPr>
              <w:pStyle w:val="TableParagraph"/>
              <w:spacing w:line="208" w:lineRule="auto" w:before="0"/>
              <w:ind w:right="1"/>
              <w:rPr>
                <w:sz w:val="20"/>
              </w:rPr>
            </w:pPr>
            <w:r>
              <w:rPr>
                <w:sz w:val="20"/>
              </w:rPr>
              <w:t>UUMnGx8EJhgZGhwdH/2gAMAwEAAhEDEQA/AO40pSgFKUoBSlR3G+J9wisEzlnyAZson KzSTB5KeVeNpK7PUruyJGlVEdq74fxYYMsDRG13M+JoBjTTTetW5xzFZATfRX8JKwgXc ZhrJ2nnVXvEPJZ2pF4pVLbtC7tJxKWRlUZUey3i1zGXQmNvurw/aK+VVFvW9HbNdz2yzL mOUBIyg5YnTcU70TztSLvSqevaHEWzt36lTtkWGkQSRuIzbA7CvdjtXeCg3bCxzhypH2SD J9xRV6fkdqRbaUpVxWKUpQClKUApSlAKUpQCtPi3DlxFprTkgGCGUwVI1DA9a3Kg+0vG Ut2XVLq96wyKAwkE6FoGugk+oFeStbc9WTndzADOQWNwZmAOQeID6Uu5EH8xWLCW 0LEAmIGkosGA3iOQDYjadjW6mDZpVbJIywrf2e6+8iAx2iB99ZsNwa+GLLYua5j8K7tl+uwg DKOXM1mqEnfZnY5xXJquUyqQYnKf30aEzB0gEidN/ur7fFuD5KW0uAnTcQy7+RrFxnszj7 2WMO2hJOZ7I1KoNg+0qfvqQs8GxgTI9i5GTKYNhtcqgnV51Oc+4qboytg87kfJFWsOhzSC xUtJC2yBlMEaqpkabf8AwWLsfwVbl0tcuN+yZXFuGAbmrGXIIDA6AchrrFR1vg15WJaw2pdj No3JZ8kmFYx8Pzra4Limw95LjoUWSjg2rlsZCYnxaQCFb0FIQamrrY8lJOOzOlUrDh8VbcT bdXHVWDfhWatA5BSlKAUpSgFKUoBSlR3FMWf3VtociWb+7Tm/qYIE85OwNAaHHOIWyr 5zFi1+8P12G1odQDEjmYX6wqg3e3t8SLNq1bWdBlJMcuYHyrT7XccF9has6WLWi/4m27w 9ecT1J51X16GoSl4MvU6uV7U3jJPXe2OPb/fx5BEHzyzWs/aHGHfE3fZyPwqNit/h/CLt3UD Kv1m5jqF50ipzdkcfeqy36nY8njOK/wCav/5z/rQcZxQ/4q//AJr/AK1Kp2aWPFccnyyj8jWDEd nSPguT5MPzH6Vb7vUtdfdyPdkn8f14Ne32kxq7Ym57tm/Ga3LHbfHLvdVv4kX/AMQKg71lk bK6wfx8wedYyKpfVF2Z77xVj+Jl97P9qBibot31S3eOtq6gjx/VMk79Jg6jnXQOHYzvFOYZX U5XXoeo6qRqD085FcA21FdM7Jcfa+oO+JtLDLt31r/2HyPQMalGV9maWk1Xc9Msl+pWLD X1uKHQypEj9CORB5VlqR3ilKUApSlAKj8dgCSblohbkaz8LgfRcfg248xoZClAcf7ZcFRMuIsr lt3GKun93dEyschIPlI00IqLxnAL1uwl9suRyYIdD0iIOs67dDNX/tnbHcY0cs1l/Rz3YPyA++ub 38fdNsIzkosZV5AiQIHLc+tQktzH1dOMam2Xj5m52d4X3zFnEomkfWb9BI++rat1cxUT8O8a TE5Z+tGsdK9cJwgtWkX6qyfXd/zNaWHskP3vd3Moulycmnd5X8URA0ke086sU+naJZDTK a3wbuIQqNFzEDaY8t/Sa12OhJy6CSM0ED+Fwpb7INTVy15c5jz5L7CJrVtvctuXtkZvNQVE cp367Eb1ZTrX+ErlQgnapggOIYVbiQwMH4WgwDyIP9dKqly2VJVt1MH9fQ1f+1fFldrbmdbS kIToHMMfX4l/kqk8TYlg5iT4TAjzH517XlGcFfP3koq0OiTjG9lvv/X5W/k0wpJgCSdAPPpXVO zPAe4HdJpdKhr92ASoO1tJ56fKTuBVA7MIDi7AO3eqfcGR8wK7BwMeG43Nr9yfZsi/6FWu aC5Oz2dTXS584NzC4ZLa5UEDU7kkk6kknUknmazUpUzTFKUoBSlKAUJpUdxtiUFsb3W7 v0Uglz5eANB6kUBTe2GJZsOEQEvi7/eBRubahQmnWFtadSaqN/hN2zftW7yRNxDrzEgm OvStztfxTvMWxWMtoi2g5eE66fxT7AVG4niFy9dR7zZmkLJAk7gT9/yFRzIxq1SM6/ydkXxy SCBp4ZP5D+vzrVs21i4ndWpGBL5dNBDDvAe7nP5T0qBVRz/GtgWQpbPbKwo33KkZojkII 0PWlPSzhUnKUrp2svFjshq4dCUY4yWXE4wW0Zrh0VZnYkdPWem5Ik1Qsdxu5cbNmKjkq kgAdNNz51bcVwO2pti4AzFGdh9EHQBQOY1Op5gbbVBcb7m23d27FsuQTqAIA1++K4tOp Uoqm5dT84O6vpnV9fwrwRmN4n3otjbJbyk+eZjm9Yyj7IrUxLiNCTqN46+lbtrug+W5atlSYD L1iTpPnWbi+BtJbYqgBlQP5h+VXupaST5KZaGTi59S2yR+ExBt3EuDdHVx9kgx8q7Pwi8O 8cKZW6q30PUEKjAekIf+5XEjXQuxvE82GUk+LCPr52GmZ8gMxj/prVsHwZvs6pu4fqdCpSl TNcUpSgFKUoBVe4/je7N67/cYYlf43J0/0J/MasNU7tijGxjQN/2T/YGST6eB/uoRm7RbOf8A AOCvimZUZZVGY5jBMAxvyLQCeU1HX1iQCCVO41Eg8jX3D4h01Ryp01UkbGRt5gfdXzX eqU+T5vqSs1m5aOC5Xu2Z+FrlvfmCwgH1q3druEGTiE1GWLi+Q0zjqY0I6AR5804bdb92H ykHMpidN4HmDU44v3XFy9fLkHmoj2EwvtFd28mpI0aU4RpuL53RYkum7Yt3R4mtAo8akq QpzjqYCn3bnVS43h/2jvLd3cQeJZIkajQczy9as3B8R3d1fqv4G9foH+bT7dSXE+E2yGZSU MEmPhJ31U6fdBrPrR7dQ2tNU7tLc5jg8PmXKkyzCYkAAc55g6/Kt/j7wETzzeyiPxPyqS4PY cYfvIBQFpObUAakmY09D7VW8Xie8uM3LZf4R+u/vUN5VL8Ir1lWNHSu2ZKxiNWLsBisuLF s/DdRkI5bZh+BH2qrhqV7JIzYywF37yfYAk/IGro5PnNK2qsbeTsXBHJsoCZK5rZPUoxtz75Z 963qj+C/A55G9dj2Yg/6gakKtPohSlKAUpSgFRnFsOZ71VzQpS4kTmtnoOZUyQOYLDcipO lAcX7TdnTYPe2vHh31VxrlnZWP4H8683uL2ThFsCyouBsxuZRrOhA6HKE18j611fF8NPia1l 8U57bfA87nnlY9RIPMHcUfi/Y63cYnDfsru5sXNPdG109JHmKi4+DNr6Nq8qfPH+FHAmImZ 0jefKpfAcZA0uiP8QEg+o5V94XdbBYgHE2CSoJyMBqfolW2gHmJqO4hfV7jsihVLHKoAELy EDnFIVHAz03TVn+xaLWPskpF1P3lvXONPGpk66Rv7VYuI9p8HbBm8r6fCnjJ8vDoPeK5rh OH3Ls5LZbKCxIE6ASfesDLBgiCOW1RqtVGmzto+0HRj6Y58ktxnjTXh3du2LVgGcigDMeR eNPb8YqHcTU3w7jFq3hrlprKs7/C5UHLGqz9bUn089q88F7M4jEeILkt7m4+ix1A3b208xUU uEc9SVXUTUr3f0IW2GYhQCWJgACST5DrXRuynAGwwkgHFXVgDcWk5s39akADma3uz vAbdr/ZlzMRBxNwaeYtL9L206sYirVg8GtsGJJOrM2rMepP5DQcoq1RsaGn0ipvqeT3hcOLa Ki7KANdz5k8yay0pXp2ilKUApSlAKUpQCsOKwqXBDqCNx1B6gjVT5jWs1KAguIcILLkdRiL X1XgXF/hfQMfXKf8Rqj8W7FzmbBsWj4rL+G4vlrHzj1NdVrWxmBS5BMhh8Lroy+h6eRkHm DRpPJVVowqK0kcV4Xxe/hGcIMrHwuGBmAZKkcj579Irxwjg9/FNFpJ18TnRV9W6+Q1rovH eB2brAYvwsozLeTw50XVlbowE6e45gSvDuFhkVcndWAPDZHhLDrcO+v1f5pmBHoOKOg 9VpO8Vgr3BOyti2dE/tN0HVm0tIek6gkfaPkKtdvheaDfbvDyWItj0T6Xq0+UVIW0CgBQAAIA AgAdAK9VI74QjBWihSlKExSlKAUpSgFKUoBSlKAUpSgFKUoDDicMlwAOoYBgwnkymQa zUpQClKUApSlAKUpQClKUB//Z" alt="Bem vindo ao PJe · Processo Judicial Eletrônico"</w:t>
            </w:r>
          </w:p>
          <w:p>
            <w:pPr>
              <w:pStyle w:val="TableParagraph"/>
              <w:tabs>
                <w:tab w:pos="1439" w:val="left" w:leader="none"/>
                <w:tab w:pos="6332" w:val="left" w:leader="none"/>
              </w:tabs>
              <w:spacing w:line="208" w:lineRule="auto" w:before="0"/>
              <w:ind w:right="59"/>
              <w:rPr>
                <w:sz w:val="20"/>
              </w:rPr>
            </w:pPr>
            <w:r>
              <w:rPr>
                <w:sz w:val="20"/>
              </w:rPr>
              <w:t>/&gt;&lt;/p&gt;&lt;p style="text-align: center;"&gt;  &lt;span style="font-size: small;"&gt;</w:t>
              <w:tab/>
              <w:t>&lt;strong&gt;ESTADO DO CEARÁ&amp;#160;&lt;/strong&gt; &lt;/span&gt;&lt;/p&gt;&lt;p style="text-align: center;"&gt; &lt;span </w:t>
            </w:r>
            <w:r>
              <w:rPr>
                <w:spacing w:val="-2"/>
                <w:sz w:val="20"/>
              </w:rPr>
              <w:t>style="font- </w:t>
            </w:r>
            <w:r>
              <w:rPr>
                <w:sz w:val="20"/>
              </w:rPr>
              <w:t>size: small;"&gt;</w:t>
              <w:tab/>
              <w:t>&lt;strong&gt;&amp;#160;&lt;/strong&gt; &lt;/span&gt; &lt;strong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small;"&gt;&amp;#160; &amp;#160;PODER JUDICIÁRIO&amp;#160; &amp;#160;&amp;#160;&lt;/strong&gt;&lt;/p&gt;&lt;p</w:t>
            </w:r>
          </w:p>
          <w:p>
            <w:pPr>
              <w:pStyle w:val="TableParagraph"/>
              <w:tabs>
                <w:tab w:pos="5476" w:val="left" w:leader="none"/>
              </w:tabs>
              <w:spacing w:line="208" w:lineRule="auto" w:before="9"/>
              <w:ind w:right="531"/>
              <w:rPr>
                <w:sz w:val="20"/>
              </w:rPr>
            </w:pPr>
            <w:r>
              <w:rPr>
                <w:sz w:val="20"/>
              </w:rPr>
              <w:t>style="text-align: center;"&gt;  &lt;span style="font-size: small;"&gt;</w:t>
              <w:tab/>
              <w:t>&lt;strong&gt;&amp;#160; &amp;#160; &amp;#160; &amp;#160; &amp;#160; TRIBUNAL DE JUSTIÇA ESTADO DO CEARA&amp;#160; </w:t>
            </w:r>
            <w:r>
              <w:rPr>
                <w:spacing w:val="-3"/>
                <w:sz w:val="20"/>
              </w:rPr>
              <w:t>&amp;#160;</w:t>
            </w:r>
          </w:p>
          <w:p>
            <w:pPr>
              <w:pStyle w:val="TableParagraph"/>
              <w:tabs>
                <w:tab w:pos="2438" w:val="left" w:leader="none"/>
              </w:tabs>
              <w:spacing w:line="208" w:lineRule="auto" w:before="0"/>
              <w:ind w:right="193"/>
              <w:rPr>
                <w:sz w:val="20"/>
              </w:rPr>
            </w:pPr>
            <w:r>
              <w:rPr>
                <w:sz w:val="20"/>
              </w:rPr>
              <w:t>&amp;#160; &amp;#160; &amp;#160;&lt;/strong&gt; &lt;/span&gt;&lt;/p&gt;&lt;p style="text-align: center;"&gt; &lt;span style="font-size: small;"&gt;</w:t>
              <w:tab/>
              <w:t>&lt;strong&gt;5ª CÂMARA DE DIREITO</w:t>
            </w:r>
            <w:r>
              <w:rPr>
                <w:spacing w:val="-16"/>
                <w:sz w:val="20"/>
              </w:rPr>
              <w:t> </w:t>
            </w:r>
            <w:r>
              <w:rPr>
                <w:sz w:val="20"/>
              </w:rPr>
              <w:t>PRIVADO&amp;#160;&lt;/strong&gt;</w:t>
            </w:r>
          </w:p>
          <w:p>
            <w:pPr>
              <w:pStyle w:val="TableParagraph"/>
              <w:spacing w:line="190" w:lineRule="exact" w:before="0"/>
              <w:rPr>
                <w:sz w:val="20"/>
              </w:rPr>
            </w:pPr>
            <w:r>
              <w:rPr>
                <w:sz w:val="20"/>
              </w:rPr>
              <w:t>&lt;/span&gt;&lt;/p&gt;&lt;p style="text-align: center;"&gt; &lt;span style="font-size: small;"&gt;</w:t>
            </w:r>
          </w:p>
          <w:p>
            <w:pPr>
              <w:pStyle w:val="TableParagraph"/>
              <w:spacing w:line="200" w:lineRule="exact" w:before="0"/>
              <w:rPr>
                <w:sz w:val="20"/>
              </w:rPr>
            </w:pPr>
            <w:r>
              <w:rPr>
                <w:sz w:val="20"/>
              </w:rPr>
              <w:t>&lt;strong&gt;GABINETE JUIZ CONVOCADO JOSÉ KRENTEL FERREIRA</w:t>
            </w:r>
          </w:p>
          <w:p>
            <w:pPr>
              <w:pStyle w:val="TableParagraph"/>
              <w:tabs>
                <w:tab w:pos="1805" w:val="left" w:leader="none"/>
                <w:tab w:pos="1951" w:val="left" w:leader="none"/>
                <w:tab w:pos="2896" w:val="left" w:leader="none"/>
                <w:tab w:pos="5354" w:val="left" w:leader="none"/>
                <w:tab w:pos="6477" w:val="left" w:leader="none"/>
              </w:tabs>
              <w:spacing w:line="208" w:lineRule="auto" w:before="10"/>
              <w:ind w:right="70"/>
              <w:rPr>
                <w:sz w:val="20"/>
              </w:rPr>
            </w:pPr>
            <w:r>
              <w:rPr>
                <w:sz w:val="20"/>
              </w:rPr>
              <w:t>FILHO&amp;#160;&lt;/strong&gt; &lt;/span&gt;&lt;/p&gt;&lt;p style="text-align: center;"&gt;&amp;#160;&lt;/p&gt;&lt;p style="text-align: center;"&gt;  &lt;span style="color: #ff0000;"&gt;</w:t>
              <w:tab/>
              <w:t>&lt;strong&gt;</w:t>
              <w:tab/>
              <w:t>&lt;span </w:t>
            </w:r>
            <w:r>
              <w:rPr>
                <w:spacing w:val="-2"/>
                <w:sz w:val="20"/>
              </w:rPr>
              <w:t>style="font- </w:t>
            </w:r>
            <w:r>
              <w:rPr>
                <w:sz w:val="20"/>
              </w:rPr>
              <w:t>size: x-large;"&gt;</w:t>
              <w:tab/>
              <w:t>&lt;span style="color: #ff0000;"&gt;OBSERVAR ENTENDIMENTO DA CÂMARA&lt;/span&gt;</w:t>
              <w:tab/>
              <w:tab/>
              <w:t>&lt;/span&gt;</w:t>
              <w:tab/>
              <w:t>&lt;/strong&gt; &lt;/span&gt;&lt;/p&gt;&lt;p style="text-align: left;"&gt; &lt;span style="font-size: medium;"&gt; &lt;strong&gt;PROCESSO:&lt;/strong&gt;&amp;#160;3005526- 75.2025.8.06.0001 -&amp;#160;APELAÇÃO CÍVEL (198)&lt;/span&gt;&lt;/p&gt;&lt;p style="text-align: left;"&gt; &lt;span style="font-size: medium;"&gt;APELANTE: JOEL PEREIRA ROCHA&lt;/span&gt;&lt;/p&gt;&lt;p style="text-align: left;"&gt; &lt;span style="font-size: medium;"&gt;APELADO: BANCO BRADESCO FINANCIAMENTOS S.A.&lt;/span&gt;&lt;/p&gt;&lt;p</w:t>
            </w:r>
          </w:p>
          <w:p>
            <w:pPr>
              <w:pStyle w:val="TableParagraph"/>
              <w:tabs>
                <w:tab w:pos="1917" w:val="left" w:leader="none"/>
              </w:tabs>
              <w:spacing w:line="208" w:lineRule="auto" w:before="0"/>
              <w:ind w:right="60"/>
              <w:rPr>
                <w:sz w:val="20"/>
              </w:rPr>
            </w:pPr>
            <w:r>
              <w:rPr>
                <w:sz w:val="20"/>
              </w:rPr>
              <w:t>style="text-align: left;"&gt;&amp;#160;&lt;/p&gt;&lt;h2 class="western" style="line-height: 200%;</w:t>
            </w:r>
            <w:r>
              <w:rPr>
                <w:spacing w:val="-18"/>
                <w:sz w:val="20"/>
              </w:rPr>
              <w:t> </w:t>
            </w:r>
            <w:r>
              <w:rPr>
                <w:sz w:val="20"/>
              </w:rPr>
              <w:t>text-align: justify;"&gt;  &lt;strong&gt;</w:t>
              <w:tab/>
              <w:t>&lt;span style="font-family: &amp;quot;Times New Roman&amp;quot;, serif;"&gt;</w:t>
            </w:r>
          </w:p>
          <w:p>
            <w:pPr>
              <w:pStyle w:val="TableParagraph"/>
              <w:tabs>
                <w:tab w:pos="3511" w:val="left" w:leader="none"/>
              </w:tabs>
              <w:spacing w:line="190" w:lineRule="exact" w:before="0"/>
              <w:rPr>
                <w:sz w:val="20"/>
              </w:rPr>
            </w:pPr>
            <w:r>
              <w:rPr>
                <w:sz w:val="20"/>
              </w:rPr>
              <w:t>&lt;span style="font-size: medium;"&gt;</w:t>
              <w:tab/>
              <w:t>&lt;span style="font-weight: normal;"&gt;E&lt;/span&gt;</w:t>
            </w:r>
          </w:p>
          <w:p>
            <w:pPr>
              <w:pStyle w:val="TableParagraph"/>
              <w:tabs>
                <w:tab w:pos="985" w:val="left" w:leader="none"/>
                <w:tab w:pos="2328" w:val="left" w:leader="none"/>
                <w:tab w:pos="3786" w:val="left" w:leader="none"/>
                <w:tab w:pos="4306" w:val="left" w:leader="none"/>
                <w:tab w:pos="5206" w:val="left" w:leader="none"/>
                <w:tab w:pos="5799" w:val="left" w:leader="none"/>
                <w:tab w:pos="6151" w:val="left" w:leader="none"/>
                <w:tab w:pos="6866" w:val="left" w:leader="none"/>
              </w:tabs>
              <w:spacing w:line="208" w:lineRule="auto" w:before="8"/>
              <w:ind w:right="322"/>
              <w:rPr>
                <w:sz w:val="20"/>
              </w:rPr>
            </w:pPr>
            <w:r>
              <w:rPr>
                <w:sz w:val="20"/>
              </w:rPr>
              <w:t>&lt;/span&gt;</w:t>
              <w:tab/>
              <w:t>&lt;/span&gt;  &lt;/strong&gt;  &lt;strong&gt;</w:t>
              <w:tab/>
              <w:t>&lt;span style="font-family: &amp;quot;Times New Roman&amp;quot;, serif;"&gt;</w:t>
              <w:tab/>
              <w:t>&lt;span style="font-size: medium;"&gt;</w:t>
              <w:tab/>
              <w:t>&lt;em&gt;</w:t>
              <w:tab/>
              <w:t>&lt;span style="font-weight: normal;"&gt;menta&lt;/span&gt;</w:t>
              <w:tab/>
              <w:t>&lt;/em&gt;</w:t>
              <w:tab/>
              <w:t>&lt;/span&gt;</w:t>
              <w:tab/>
              <w:t>&lt;/span&gt;</w:t>
            </w:r>
            <w:r>
              <w:rPr>
                <w:spacing w:val="41"/>
                <w:sz w:val="20"/>
              </w:rPr>
              <w:t> </w:t>
            </w:r>
            <w:r>
              <w:rPr>
                <w:sz w:val="20"/>
              </w:rPr>
              <w:t>&lt;/strong&gt;</w:t>
            </w:r>
          </w:p>
          <w:p>
            <w:pPr>
              <w:pStyle w:val="TableParagraph"/>
              <w:tabs>
                <w:tab w:pos="1051" w:val="left" w:leader="none"/>
                <w:tab w:pos="2905" w:val="left" w:leader="none"/>
                <w:tab w:pos="7212" w:val="left" w:leader="none"/>
              </w:tabs>
              <w:spacing w:line="208" w:lineRule="auto" w:before="0"/>
              <w:ind w:right="344"/>
              <w:rPr>
                <w:sz w:val="20"/>
              </w:rPr>
            </w:pPr>
            <w:r>
              <w:rPr>
                <w:sz w:val="20"/>
              </w:rPr>
              <w:t>&lt;strong&gt;</w:t>
              <w:tab/>
              <w:t>&lt;span style="font-family: &amp;quot;Times New Roman&amp;quot;, serif;"&gt;</w:t>
              <w:tab/>
              <w:t>&lt;span style="font-size: medium;"&gt;</w:t>
              <w:tab/>
              <w:t>&lt;span style="font-weight: normal;"&gt;: DIREITO PROCESSUAL CIVIL. APELAÇÃO CÍVEL. AÇÃO DECLARATÓRIA DE NULIDADE </w:t>
            </w:r>
            <w:r>
              <w:rPr>
                <w:spacing w:val="-9"/>
                <w:sz w:val="20"/>
              </w:rPr>
              <w:t>DE </w:t>
            </w:r>
            <w:r>
              <w:rPr>
                <w:sz w:val="20"/>
              </w:rPr>
              <w:t>CONTRATO BANCÁRIO C/C REPETIÇÃO DO INDÉBITO E DANOS MORAIS. LITIGÂNCIA ABUSIVA. TEMA 1.198 DO STJ. INDEFERIMENTO DA INICIAL.</w:t>
            </w:r>
          </w:p>
          <w:p>
            <w:pPr>
              <w:pStyle w:val="TableParagraph"/>
              <w:spacing w:line="208" w:lineRule="auto" w:before="0"/>
              <w:ind w:right="182"/>
              <w:rPr>
                <w:sz w:val="20"/>
              </w:rPr>
            </w:pPr>
            <w:r>
              <w:rPr>
                <w:sz w:val="20"/>
              </w:rPr>
              <w:t>&lt;em&gt;ERROR IN PROCEDENDO&lt;/em&gt;. NECESSIDADE DE APLICAÇÃO DO MÉTODO FIXADO PELO STJ. SENTENÇA ANULADA. RECURSO CONHECIDO E PROVIDO.</w:t>
            </w:r>
          </w:p>
          <w:p>
            <w:pPr>
              <w:pStyle w:val="TableParagraph"/>
              <w:tabs>
                <w:tab w:pos="2217" w:val="left" w:leader="none"/>
                <w:tab w:pos="3295" w:val="left" w:leader="none"/>
                <w:tab w:pos="4440" w:val="left" w:leader="none"/>
                <w:tab w:pos="5355" w:val="left" w:leader="none"/>
                <w:tab w:pos="5386" w:val="left" w:leader="none"/>
                <w:tab w:pos="5577" w:val="left" w:leader="none"/>
              </w:tabs>
              <w:spacing w:line="208" w:lineRule="auto" w:before="0"/>
              <w:ind w:right="94"/>
              <w:rPr>
                <w:sz w:val="20"/>
              </w:rPr>
            </w:pPr>
            <w:r>
              <w:rPr>
                <w:sz w:val="20"/>
              </w:rPr>
              <w:t>RETORNO DOS AUTOS À ORIGEM.&lt;/span&gt;</w:t>
              <w:tab/>
              <w:t>&lt;/span&gt;</w:t>
              <w:tab/>
              <w:tab/>
              <w:t>&lt;/span&gt; &lt;/strong&gt;&lt;/h2&gt;&lt;p style="line-height: 200%;" align="justify"&gt;&lt;span style="font-family: &amp;quot;Times New Roman&amp;quot;, serif;"&gt;  &lt;span style="font-size: medium;"&gt;</w:t>
              <w:tab/>
              <w:t>&lt;span style="font-weight: normal;"&gt;I.&lt;/span&gt; &lt;/span&gt;&lt;/span&gt; &lt;strong&gt; &lt;span style="font-family: &amp;quot;Times </w:t>
            </w:r>
            <w:r>
              <w:rPr>
                <w:spacing w:val="-6"/>
                <w:sz w:val="20"/>
              </w:rPr>
              <w:t>New </w:t>
            </w:r>
            <w:r>
              <w:rPr>
                <w:sz w:val="20"/>
              </w:rPr>
              <w:t>Roman&amp;quot;, serif;"&gt;</w:t>
              <w:tab/>
              <w:t>&lt;span style="font-size: medium;"&gt;</w:t>
              <w:tab/>
              <w:tab/>
              <w:tab/>
              <w:t>&lt;span style="font-weight: normal;"&gt;Caso em exame&lt;/span&gt;</w:t>
              <w:tab/>
              <w:t>&lt;/span&gt; &lt;/span&gt;&lt;/strong&gt;&lt;/p&gt;&lt;p style="line-height: 200%;" align="justify"&gt; &lt;span style="font-family: &amp;quot;Times New Roman&amp;quot;, serif;"&gt;</w:t>
            </w:r>
          </w:p>
          <w:p>
            <w:pPr>
              <w:pStyle w:val="TableParagraph"/>
              <w:tabs>
                <w:tab w:pos="2682" w:val="left" w:leader="none"/>
                <w:tab w:pos="2797" w:val="left" w:leader="none"/>
                <w:tab w:pos="3400" w:val="left" w:leader="none"/>
              </w:tabs>
              <w:spacing w:line="208" w:lineRule="auto" w:before="0"/>
              <w:ind w:right="101"/>
              <w:rPr>
                <w:sz w:val="20"/>
              </w:rPr>
            </w:pPr>
            <w:r>
              <w:rPr>
                <w:sz w:val="20"/>
              </w:rPr>
              <w:t>&lt;span style="font-size: medium;"&gt;</w:t>
              <w:tab/>
              <w:t>&lt;span style="font-weight: normal;"&gt;Apelação cível interposta contra sentença que indeferiu a petição inicial e extinguiu, sem resolução de mérito, ação declaratória de nulidade de contrato bancário cumulada com repetição do indébito e indenização por danos morais, sob fundamento de descumprimento da ordem de emenda à inicial, proferida à luz da Recomendação CNJ nº 159/2024 e da tese </w:t>
            </w:r>
            <w:r>
              <w:rPr>
                <w:spacing w:val="-3"/>
                <w:sz w:val="20"/>
              </w:rPr>
              <w:t>firmada </w:t>
            </w:r>
            <w:r>
              <w:rPr>
                <w:sz w:val="20"/>
              </w:rPr>
              <w:t>no Tema 1.198/STJ.&lt;/span&gt;</w:t>
              <w:tab/>
              <w:tab/>
              <w:t>&lt;/span&gt; &lt;/span&gt;&lt;/p&gt;&lt;p style="line-height: 200%;" align="justify"&gt;&lt;span style="font-family: &amp;quot;Times New Roman&amp;quot;, serif;"&gt; &lt;span style="font-size: medium;"&gt;</w:t>
              <w:tab/>
              <w:t>&lt;span style="font-weight: normal;"&gt;II.&lt;/span&gt;</w:t>
            </w:r>
          </w:p>
          <w:p>
            <w:pPr>
              <w:pStyle w:val="TableParagraph"/>
              <w:tabs>
                <w:tab w:pos="883" w:val="left" w:leader="none"/>
                <w:tab w:pos="3874" w:val="left" w:leader="none"/>
                <w:tab w:pos="4243" w:val="left" w:leader="none"/>
              </w:tabs>
              <w:spacing w:line="208" w:lineRule="auto" w:before="0"/>
              <w:ind w:right="26"/>
              <w:rPr>
                <w:sz w:val="20"/>
              </w:rPr>
            </w:pPr>
            <w:r>
              <w:rPr>
                <w:sz w:val="20"/>
              </w:rPr>
              <w:t>&lt;/span&gt;&lt;/span&gt; &lt;strong&gt; &lt;span style="font-family: &amp;quot;Times New Roman&amp;quot;, serif;"&gt;</w:t>
              <w:tab/>
              <w:t>&lt;span style="font-size: medium;"&gt;</w:t>
              <w:tab/>
              <w:t>&lt;span style="font-weight: normal;"&gt;Questão em discussão&lt;/span&gt;</w:t>
              <w:tab/>
              <w:t>&lt;/span&gt; &lt;/span&gt;&lt;/strong&gt;&lt;/p&gt;&lt;p style="line- height: 200%;" align="justify"&gt; &lt;span style="font-family: &amp;quot;Times New Roman&amp;quot;, serif;"&gt;</w:t>
              <w:tab/>
              <w:t>&lt;span style="font-size: medium;"&gt;</w:t>
              <w:tab/>
              <w:t>&lt;span style="font-weight: normal;"&gt;Verificar se o indeferimento da petição inicial, por suposto descumprimento da determinação de emenda, observou o devido procedimento fixado na tese vinculante do STJ (Tema 1.198), ou se configurou vício processual apto a ensejar a anulação da sentença por</w:t>
            </w:r>
          </w:p>
          <w:p>
            <w:pPr>
              <w:pStyle w:val="TableParagraph"/>
              <w:tabs>
                <w:tab w:pos="3864" w:val="left" w:leader="none"/>
              </w:tabs>
              <w:spacing w:line="208" w:lineRule="auto" w:before="0"/>
              <w:ind w:right="282"/>
              <w:rPr>
                <w:sz w:val="20"/>
              </w:rPr>
            </w:pPr>
            <w:r>
              <w:rPr>
                <w:sz w:val="20"/>
              </w:rPr>
              <w:t>&lt;em&gt;error in procedendo&lt;/em&gt;.&lt;/span&gt;</w:t>
              <w:tab/>
              <w:t>&lt;/span&gt; &lt;/span&gt;&lt;/p&gt;&lt;p style="line-height: 200%;" align="justify"&gt;&lt;span style="font-family: &amp;quot;Times New Roman&amp;quot;,</w:t>
            </w:r>
            <w:r>
              <w:rPr>
                <w:spacing w:val="5"/>
                <w:sz w:val="20"/>
              </w:rPr>
              <w:t> </w:t>
            </w:r>
            <w:r>
              <w:rPr>
                <w:spacing w:val="-3"/>
                <w:sz w:val="20"/>
              </w:rPr>
              <w:t>serif;"&gt;</w:t>
            </w:r>
          </w:p>
          <w:p>
            <w:pPr>
              <w:pStyle w:val="TableParagraph"/>
              <w:tabs>
                <w:tab w:pos="3288" w:val="left" w:leader="none"/>
              </w:tabs>
              <w:spacing w:line="190" w:lineRule="exact" w:before="0"/>
              <w:rPr>
                <w:sz w:val="20"/>
              </w:rPr>
            </w:pPr>
            <w:r>
              <w:rPr>
                <w:sz w:val="20"/>
              </w:rPr>
              <w:t>&lt;span style="font-size: medium;"&gt;</w:t>
              <w:tab/>
              <w:t>&lt;span style="font-weight: normal;"&gt;III.&lt;/span&gt;</w:t>
            </w:r>
          </w:p>
          <w:p>
            <w:pPr>
              <w:pStyle w:val="TableParagraph"/>
              <w:tabs>
                <w:tab w:pos="883" w:val="left" w:leader="none"/>
                <w:tab w:pos="1852" w:val="left" w:leader="none"/>
                <w:tab w:pos="2265" w:val="left" w:leader="none"/>
                <w:tab w:pos="4243" w:val="left" w:leader="none"/>
                <w:tab w:pos="5699" w:val="left" w:leader="none"/>
              </w:tabs>
              <w:spacing w:line="208" w:lineRule="auto" w:before="7"/>
              <w:ind w:right="59"/>
              <w:rPr>
                <w:sz w:val="20"/>
              </w:rPr>
            </w:pPr>
            <w:r>
              <w:rPr>
                <w:sz w:val="20"/>
              </w:rPr>
              <w:t>&lt;/span&gt;&lt;/span&gt; &lt;strong&gt; &lt;span style="font-family: &amp;quot;Times New Roman&amp;quot;, serif;"&gt;</w:t>
              <w:tab/>
              <w:t>&lt;span style="font-size: medium;"&gt;</w:t>
              <w:tab/>
              <w:t>&lt;span style="font-weight: normal;"&gt;Razões de decidir&lt;/span&gt;</w:t>
              <w:tab/>
              <w:t>&lt;/span&gt;  &lt;/span&gt;&lt;/strong&gt;&lt;/p&gt;&lt;ol&gt;  &lt;li&gt;</w:t>
              <w:tab/>
              <w:t>&lt;p style="line-height: 200%;" align="justify"&gt;</w:t>
              <w:tab/>
              <w:t>&lt;span style="font-family: &amp;quot;Times New Roman&amp;quot;,</w:t>
            </w:r>
            <w:r>
              <w:rPr>
                <w:spacing w:val="6"/>
                <w:sz w:val="20"/>
              </w:rPr>
              <w:t> </w:t>
            </w:r>
            <w:r>
              <w:rPr>
                <w:spacing w:val="-3"/>
                <w:sz w:val="20"/>
              </w:rPr>
              <w:t>serif;"&gt;</w:t>
            </w:r>
          </w:p>
          <w:p>
            <w:pPr>
              <w:pStyle w:val="TableParagraph"/>
              <w:tabs>
                <w:tab w:pos="3511" w:val="left" w:leader="none"/>
              </w:tabs>
              <w:spacing w:line="190" w:lineRule="exact" w:before="0"/>
              <w:rPr>
                <w:sz w:val="20"/>
              </w:rPr>
            </w:pPr>
            <w:r>
              <w:rPr>
                <w:sz w:val="20"/>
              </w:rPr>
              <w:t>&lt;span style="font-size: medium;"&gt;</w:t>
              <w:tab/>
              <w:t>&lt;span style="font-weight: normal;"&gt;O&lt;/span&gt;</w:t>
            </w:r>
          </w:p>
          <w:p>
            <w:pPr>
              <w:pStyle w:val="TableParagraph"/>
              <w:tabs>
                <w:tab w:pos="985" w:val="left" w:leader="none"/>
                <w:tab w:pos="1439" w:val="left" w:leader="none"/>
                <w:tab w:pos="1985" w:val="left" w:leader="none"/>
                <w:tab w:pos="2265" w:val="left" w:leader="none"/>
                <w:tab w:pos="2439" w:val="left" w:leader="none"/>
                <w:tab w:pos="2697" w:val="left" w:leader="none"/>
                <w:tab w:pos="3108" w:val="left" w:leader="none"/>
                <w:tab w:pos="3642" w:val="left" w:leader="none"/>
                <w:tab w:pos="4229" w:val="left" w:leader="none"/>
                <w:tab w:pos="5285" w:val="left" w:leader="none"/>
                <w:tab w:pos="5595" w:val="left" w:leader="none"/>
                <w:tab w:pos="5910" w:val="left" w:leader="none"/>
                <w:tab w:pos="6022" w:val="left" w:leader="none"/>
                <w:tab w:pos="6231" w:val="left" w:leader="none"/>
                <w:tab w:pos="7298" w:val="left" w:leader="none"/>
              </w:tabs>
              <w:spacing w:line="208" w:lineRule="auto" w:before="9"/>
              <w:ind w:right="59"/>
              <w:rPr>
                <w:sz w:val="20"/>
              </w:rPr>
            </w:pPr>
            <w:r>
              <w:rPr>
                <w:sz w:val="20"/>
              </w:rPr>
              <w:t>&lt;/span&gt;</w:t>
              <w:tab/>
              <w:t>&lt;/span&gt;</w:t>
              <w:tab/>
              <w:t>&lt;strong&gt;</w:t>
              <w:tab/>
              <w:t>&lt;span style="font-family: &amp;quot;Times New Roman&amp;quot;, serif;"&gt;</w:t>
              <w:tab/>
              <w:tab/>
              <w:t>&lt;span style="font-size: medium;"&gt;</w:t>
              <w:tab/>
              <w:tab/>
              <w:tab/>
              <w:t>&lt;span style="font- weight: normal;"&gt;Tema 1.198/STJ&lt;/span&gt;</w:t>
              <w:tab/>
              <w:t>&lt;/span&gt;</w:t>
              <w:tab/>
              <w:t>&lt;/span&gt;</w:t>
              <w:tab/>
              <w:tab/>
              <w:t>&lt;/strong&gt;</w:t>
              <w:tab/>
              <w:t>&lt;span style="font-family: &amp;quot;Times New Roman&amp;quot;, serif;"&gt;</w:t>
              <w:tab/>
              <w:tab/>
              <w:t>&lt;span style="font-size: medium;"&gt;</w:t>
              <w:tab/>
              <w:t>&lt;span style="font-weight: normal;"&gt;fixou que, constatados indícios de litigância abusiva, o juiz pode exigir, de modo fundamentado e com observância à razoabilidade do caso concreto, a emenda da inicial, respeitadas as regras de distribuição do ônus da prova.&lt;/span&gt;</w:t>
              <w:tab/>
              <w:tab/>
              <w:t>&lt;/span&gt;</w:t>
              <w:tab/>
              <w:t>&lt;/span&gt;&lt;/p&gt;  &lt;/li&gt;  &lt;li&gt;</w:t>
              <w:tab/>
              <w:t>&lt;p style="line-height: 200%;" align="justify"&gt;</w:t>
              <w:tab/>
              <w:t>&lt;span style="font-family: &amp;quot;Times New Roman&amp;quot;,</w:t>
            </w:r>
            <w:r>
              <w:rPr>
                <w:spacing w:val="6"/>
                <w:sz w:val="20"/>
              </w:rPr>
              <w:t> </w:t>
            </w:r>
            <w:r>
              <w:rPr>
                <w:spacing w:val="-3"/>
                <w:sz w:val="20"/>
              </w:rPr>
              <w:t>serif;"&gt;</w:t>
            </w:r>
          </w:p>
          <w:p>
            <w:pPr>
              <w:pStyle w:val="TableParagraph"/>
              <w:tabs>
                <w:tab w:pos="3511" w:val="left" w:leader="none"/>
              </w:tabs>
              <w:spacing w:line="205" w:lineRule="exact" w:before="0"/>
              <w:rPr>
                <w:sz w:val="20"/>
              </w:rPr>
            </w:pPr>
            <w:r>
              <w:rPr>
                <w:sz w:val="20"/>
              </w:rPr>
              <w:t>&lt;span style="font-size: medium;"&gt;</w:t>
              <w:tab/>
              <w:t>&lt;span style="font-weight: normal;"&gt;A extinção do</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487" w:val="left" w:leader="none"/>
              </w:tabs>
              <w:spacing w:line="215" w:lineRule="exact"/>
              <w:rPr>
                <w:sz w:val="20"/>
              </w:rPr>
            </w:pPr>
            <w:r>
              <w:rPr>
                <w:sz w:val="20"/>
              </w:rPr>
              <w:t>processo, sem observância integral desse método, configura&lt;/span&gt;</w:t>
              <w:tab/>
              <w:t>&lt;/span&gt;</w:t>
            </w:r>
          </w:p>
          <w:p>
            <w:pPr>
              <w:pStyle w:val="TableParagraph"/>
              <w:tabs>
                <w:tab w:pos="1040" w:val="left" w:leader="none"/>
                <w:tab w:pos="2163" w:val="left" w:leader="none"/>
              </w:tabs>
              <w:spacing w:line="200" w:lineRule="exact" w:before="0"/>
              <w:rPr>
                <w:sz w:val="20"/>
              </w:rPr>
            </w:pPr>
            <w:r>
              <w:rPr>
                <w:sz w:val="20"/>
              </w:rPr>
              <w:t>&lt;/span&gt;</w:t>
              <w:tab/>
              <w:t>&lt;strong&gt;</w:t>
              <w:tab/>
              <w:t>&lt;span style="font-family: &amp;quot;Times New Roman&amp;quot;, serif;"&gt;</w:t>
            </w:r>
          </w:p>
          <w:p>
            <w:pPr>
              <w:pStyle w:val="TableParagraph"/>
              <w:tabs>
                <w:tab w:pos="2263" w:val="left" w:leader="none"/>
                <w:tab w:pos="3319" w:val="left" w:leader="none"/>
                <w:tab w:pos="3622" w:val="left" w:leader="none"/>
                <w:tab w:pos="3962" w:val="left" w:leader="none"/>
                <w:tab w:pos="4265" w:val="left" w:leader="none"/>
                <w:tab w:pos="5332" w:val="left" w:leader="none"/>
                <w:tab w:pos="5651" w:val="left" w:leader="none"/>
                <w:tab w:pos="6596" w:val="left" w:leader="none"/>
                <w:tab w:pos="7433" w:val="left" w:leader="none"/>
              </w:tabs>
              <w:spacing w:line="208" w:lineRule="auto" w:before="9"/>
              <w:ind w:right="168"/>
              <w:rPr>
                <w:sz w:val="20"/>
              </w:rPr>
            </w:pPr>
            <w:r>
              <w:rPr>
                <w:sz w:val="20"/>
              </w:rPr>
              <w:t>&lt;span style="font-size: medium;"&gt;</w:t>
              <w:tab/>
              <w:tab/>
              <w:t>&lt;span style="font-weight: normal;"&gt;error in procedendo&lt;/span&gt;</w:t>
              <w:tab/>
              <w:t>&lt;/span&gt;</w:t>
              <w:tab/>
              <w:t>&lt;/span&gt;</w:t>
              <w:tab/>
              <w:t>&lt;/strong&gt;</w:t>
              <w:tab/>
              <w:t>&lt;span style="font-family: &amp;quot;Times New Roman&amp;quot;, serif;"&gt;</w:t>
              <w:tab/>
              <w:t>&lt;span style="font-size: medium;"&gt;</w:t>
              <w:tab/>
            </w:r>
            <w:r>
              <w:rPr>
                <w:spacing w:val="-4"/>
                <w:sz w:val="20"/>
              </w:rPr>
              <w:t>&lt;span </w:t>
            </w:r>
            <w:r>
              <w:rPr>
                <w:sz w:val="20"/>
              </w:rPr>
              <w:t>style="font-weight: normal;"&gt;, por violação dos arts.&lt;/span&gt;</w:t>
              <w:tab/>
              <w:tab/>
              <w:t>&lt;/span&gt;</w:t>
              <w:tab/>
              <w:t>&lt;/span&gt;</w:t>
            </w:r>
          </w:p>
          <w:p>
            <w:pPr>
              <w:pStyle w:val="TableParagraph"/>
              <w:tabs>
                <w:tab w:pos="1162" w:val="left" w:leader="none"/>
                <w:tab w:pos="1550" w:val="left" w:leader="none"/>
                <w:tab w:pos="1629" w:val="left" w:leader="none"/>
                <w:tab w:pos="1762" w:val="left" w:leader="none"/>
                <w:tab w:pos="2685" w:val="left" w:leader="none"/>
                <w:tab w:pos="2784" w:val="left" w:leader="none"/>
                <w:tab w:pos="2819" w:val="left" w:leader="none"/>
                <w:tab w:pos="3016" w:val="left" w:leader="none"/>
                <w:tab w:pos="3630" w:val="left" w:leader="none"/>
                <w:tab w:pos="3764" w:val="left" w:leader="none"/>
                <w:tab w:pos="3962" w:val="left" w:leader="none"/>
                <w:tab w:pos="4028" w:val="left" w:leader="none"/>
                <w:tab w:pos="4318" w:val="left" w:leader="none"/>
                <w:tab w:pos="4698" w:val="left" w:leader="none"/>
                <w:tab w:pos="4831" w:val="left" w:leader="none"/>
                <w:tab w:pos="4973" w:val="left" w:leader="none"/>
                <w:tab w:pos="5264" w:val="left" w:leader="none"/>
                <w:tab w:pos="5706" w:val="left" w:leader="none"/>
                <w:tab w:pos="5974" w:val="left" w:leader="none"/>
                <w:tab w:pos="6255" w:val="left" w:leader="none"/>
                <w:tab w:pos="7097" w:val="left" w:leader="none"/>
                <w:tab w:pos="7387" w:val="left" w:leader="none"/>
                <w:tab w:pos="7433" w:val="left" w:leader="none"/>
              </w:tabs>
              <w:spacing w:line="208" w:lineRule="auto" w:before="0"/>
              <w:ind w:right="93"/>
              <w:rPr>
                <w:sz w:val="20"/>
              </w:rPr>
            </w:pPr>
            <w:r>
              <w:rPr>
                <w:sz w:val="20"/>
              </w:rPr>
              <w:t>&lt;strong&gt;</w:t>
              <w:tab/>
              <w:t>&lt;span style="font-family: &amp;quot;Times New Roman&amp;quot;, serif;"&gt;</w:t>
              <w:tab/>
              <w:tab/>
              <w:tab/>
              <w:t>&lt;span style="font-size: medium;"&gt;</w:t>
              <w:tab/>
              <w:tab/>
              <w:tab/>
              <w:tab/>
              <w:t>&lt;span style="font-weight: normal;"&gt;9º, 10 e 321 do CPC&lt;/span&gt;</w:t>
              <w:tab/>
              <w:tab/>
              <w:t>&lt;/span&gt;</w:t>
              <w:tab/>
              <w:t>&lt;/span&gt;</w:t>
              <w:tab/>
              <w:t>&lt;/strong&gt;</w:t>
              <w:tab/>
              <w:t>&lt;span style="font-family: &amp;quot;Times New Roman&amp;quot;, serif;"&gt;</w:t>
              <w:tab/>
              <w:tab/>
              <w:t>&lt;span style="font-size: medium;"&gt;</w:t>
              <w:tab/>
              <w:tab/>
              <w:t>&lt;span style="font- weight: normal;"&gt;e dos princípios da&lt;/span&gt;</w:t>
              <w:tab/>
              <w:tab/>
              <w:t>&lt;/span&gt;</w:t>
              <w:tab/>
              <w:t>&lt;/span&gt;</w:t>
              <w:tab/>
              <w:t>&lt;strong&gt;</w:t>
              <w:tab/>
              <w:tab/>
              <w:t>&lt;span style="font-family: &amp;quot;Times New Roman&amp;quot;, serif;"&gt;</w:t>
              <w:tab/>
              <w:tab/>
              <w:t>&lt;span style="font-size: medium;"&gt;</w:t>
              <w:tab/>
              <w:tab/>
              <w:t>&lt;span style="font-weight: normal;"&gt;primazia do julgamento de mérito&lt;/span&gt;</w:t>
              <w:tab/>
              <w:tab/>
              <w:tab/>
              <w:t>&lt;/span&gt;</w:t>
              <w:tab/>
              <w:tab/>
              <w:tab/>
              <w:t>&lt;/span&gt;</w:t>
              <w:tab/>
              <w:tab/>
              <w:t>&lt;/strong&gt;</w:t>
              <w:tab/>
              <w:tab/>
              <w:t>&lt;span style="font-family: &amp;quot;Times New Roman&amp;quot;, serif;"&gt;</w:t>
              <w:tab/>
              <w:tab/>
              <w:tab/>
              <w:t>&lt;span style="font-size: medium;"&gt;</w:t>
              <w:tab/>
              <w:tab/>
              <w:tab/>
              <w:t>&lt;span style="font-weight: normal;"&gt;e da&lt;/span&gt;</w:t>
              <w:tab/>
              <w:tab/>
              <w:tab/>
              <w:t>&lt;/span&gt;</w:t>
              <w:tab/>
              <w:tab/>
              <w:t>&lt;/span&gt;</w:t>
              <w:tab/>
              <w:tab/>
              <w:t>&lt;strong&gt;</w:t>
              <w:tab/>
              <w:t>&lt;span style="font-family: &amp;quot;Times New Roman&amp;quot;, serif;"&gt;</w:t>
              <w:tab/>
              <w:tab/>
              <w:t>&lt;span style="font-size: medium;"&gt;</w:t>
              <w:tab/>
              <w:tab/>
              <w:t>&lt;span style="font-weight: normal;"&gt;cooperação processual&lt;/span&gt;</w:t>
            </w:r>
          </w:p>
          <w:p>
            <w:pPr>
              <w:pStyle w:val="TableParagraph"/>
              <w:tabs>
                <w:tab w:pos="1096" w:val="left" w:leader="none"/>
                <w:tab w:pos="1571" w:val="left" w:leader="none"/>
                <w:tab w:pos="2006" w:val="left" w:leader="none"/>
                <w:tab w:pos="2041" w:val="left" w:leader="none"/>
                <w:tab w:pos="2328" w:val="left" w:leader="none"/>
                <w:tab w:pos="2951" w:val="left" w:leader="none"/>
                <w:tab w:pos="3108" w:val="left" w:leader="none"/>
                <w:tab w:pos="5219" w:val="left" w:leader="none"/>
                <w:tab w:pos="5799" w:val="left" w:leader="none"/>
              </w:tabs>
              <w:spacing w:line="208" w:lineRule="auto" w:before="0"/>
              <w:ind w:right="114"/>
              <w:rPr>
                <w:sz w:val="20"/>
              </w:rPr>
            </w:pPr>
            <w:r>
              <w:rPr>
                <w:sz w:val="20"/>
              </w:rPr>
              <w:t>&lt;/span&gt;</w:t>
              <w:tab/>
              <w:t>&lt;/span&gt;</w:t>
              <w:tab/>
              <w:tab/>
              <w:t>&lt;/strong&gt;</w:t>
              <w:tab/>
              <w:tab/>
              <w:t>&lt;span style="font-family: &amp;quot;Times New Roman&amp;quot;, serif;"&gt;</w:t>
              <w:tab/>
              <w:tab/>
              <w:tab/>
              <w:t>&lt;span style="font-size: medium;"&gt;</w:t>
              <w:tab/>
              <w:t>&lt;span style="font-weight: normal;"&gt;.&lt;/span&gt;</w:t>
              <w:tab/>
              <w:t>&lt;/span&gt;</w:t>
              <w:tab/>
              <w:t>&lt;/span&gt;&lt;/p&gt;  &lt;/li&gt;  &lt;li&gt;</w:t>
              <w:tab/>
              <w:t>&lt;p style="line-height: 200%;" align="justify"&gt;</w:t>
              <w:tab/>
              <w:t>&lt;span style="font-family: &amp;quot;Times New Roman&amp;quot;, serif;"&gt;</w:t>
            </w:r>
          </w:p>
          <w:p>
            <w:pPr>
              <w:pStyle w:val="TableParagraph"/>
              <w:tabs>
                <w:tab w:pos="2785" w:val="left" w:leader="none"/>
                <w:tab w:pos="3511" w:val="left" w:leader="none"/>
                <w:tab w:pos="3730" w:val="left" w:leader="none"/>
                <w:tab w:pos="4073" w:val="left" w:leader="none"/>
                <w:tab w:pos="4731" w:val="left" w:leader="none"/>
                <w:tab w:pos="5854" w:val="left" w:leader="none"/>
              </w:tabs>
              <w:spacing w:line="208" w:lineRule="auto" w:before="0"/>
              <w:ind w:right="115"/>
              <w:rPr>
                <w:sz w:val="20"/>
              </w:rPr>
            </w:pPr>
            <w:r>
              <w:rPr>
                <w:sz w:val="20"/>
              </w:rPr>
              <w:t>&lt;span style="font-size: medium;"&gt;</w:t>
              <w:tab/>
              <w:t>&lt;span style="font-weight: normal;"&gt;Compete ao juiz, conforme arts.&lt;/span&gt;</w:t>
              <w:tab/>
              <w:t>&lt;/span&gt;</w:t>
              <w:tab/>
              <w:tab/>
              <w:t>&lt;/span&gt;</w:t>
              <w:tab/>
              <w:t>&lt;strong&gt;</w:t>
              <w:tab/>
              <w:t>&lt;span style="font-family: &amp;quot;Times New Roman&amp;quot;, serif;"&gt;</w:t>
              <w:tab/>
              <w:tab/>
              <w:t>&lt;span style="font-size: medium;"&gt;</w:t>
            </w:r>
          </w:p>
          <w:p>
            <w:pPr>
              <w:pStyle w:val="TableParagraph"/>
              <w:tabs>
                <w:tab w:pos="6357" w:val="left" w:leader="none"/>
              </w:tabs>
              <w:spacing w:line="190" w:lineRule="exact" w:before="0"/>
              <w:rPr>
                <w:sz w:val="20"/>
              </w:rPr>
            </w:pPr>
            <w:r>
              <w:rPr>
                <w:sz w:val="20"/>
              </w:rPr>
              <w:t>&lt;span style="font-weight: normal;"&gt;370 e 139, VI, do CPC&lt;/span&gt;</w:t>
              <w:tab/>
              <w:t>&lt;/span&gt;</w:t>
            </w:r>
          </w:p>
          <w:p>
            <w:pPr>
              <w:pStyle w:val="TableParagraph"/>
              <w:tabs>
                <w:tab w:pos="985" w:val="left" w:leader="none"/>
                <w:tab w:pos="2052" w:val="left" w:leader="none"/>
              </w:tabs>
              <w:spacing w:line="200" w:lineRule="exact" w:before="0"/>
              <w:rPr>
                <w:sz w:val="20"/>
              </w:rPr>
            </w:pPr>
            <w:r>
              <w:rPr>
                <w:sz w:val="20"/>
              </w:rPr>
              <w:t>&lt;/span&gt;</w:t>
              <w:tab/>
              <w:t>&lt;/strong&gt;</w:t>
              <w:tab/>
              <w:t>&lt;span style="font-family: &amp;quot;Times New Roman&amp;quot;, serif;"&gt;</w:t>
            </w:r>
          </w:p>
          <w:p>
            <w:pPr>
              <w:pStyle w:val="TableParagraph"/>
              <w:tabs>
                <w:tab w:pos="3511" w:val="left" w:leader="none"/>
                <w:tab w:pos="5353" w:val="left" w:leader="none"/>
                <w:tab w:pos="6298" w:val="left" w:leader="none"/>
              </w:tabs>
              <w:spacing w:line="208" w:lineRule="auto" w:before="8"/>
              <w:ind w:right="158"/>
              <w:rPr>
                <w:sz w:val="20"/>
              </w:rPr>
            </w:pPr>
            <w:r>
              <w:rPr>
                <w:sz w:val="20"/>
              </w:rPr>
              <w:t>&lt;span style="font-size: medium;"&gt;</w:t>
              <w:tab/>
              <w:t>&lt;span style="font-weight: normal;"&gt;, determinar </w:t>
            </w:r>
            <w:r>
              <w:rPr>
                <w:spacing w:val="-9"/>
                <w:sz w:val="20"/>
              </w:rPr>
              <w:t>as </w:t>
            </w:r>
            <w:r>
              <w:rPr>
                <w:sz w:val="20"/>
              </w:rPr>
              <w:t>provas necessárias ao julgamento do mérito e promover diligências instrutórias que assegurem a adequada formação de seu convencimento, devendo evitar decisões prematuras que inviabilizem o exame de mérito.&lt;/span&gt;</w:t>
              <w:tab/>
              <w:t>&lt;/span&gt;</w:t>
              <w:tab/>
              <w:t>&lt;/span&gt;&lt;/p&gt; &lt;/li&gt;</w:t>
            </w:r>
          </w:p>
          <w:p>
            <w:pPr>
              <w:pStyle w:val="TableParagraph"/>
              <w:tabs>
                <w:tab w:pos="584" w:val="left" w:leader="none"/>
                <w:tab w:pos="1550" w:val="left" w:leader="none"/>
                <w:tab w:pos="2784" w:val="left" w:leader="none"/>
                <w:tab w:pos="4352" w:val="left" w:leader="none"/>
                <w:tab w:pos="4726" w:val="left" w:leader="none"/>
                <w:tab w:pos="5297" w:val="left" w:leader="none"/>
                <w:tab w:pos="5706" w:val="left" w:leader="none"/>
                <w:tab w:pos="6255" w:val="left" w:leader="none"/>
                <w:tab w:pos="6298" w:val="left" w:leader="none"/>
                <w:tab w:pos="6366" w:val="left" w:leader="none"/>
                <w:tab w:pos="7420" w:val="left" w:leader="none"/>
              </w:tabs>
              <w:spacing w:line="208" w:lineRule="auto" w:before="0"/>
              <w:ind w:right="65"/>
              <w:rPr>
                <w:sz w:val="20"/>
              </w:rPr>
            </w:pPr>
            <w:r>
              <w:rPr>
                <w:sz w:val="20"/>
              </w:rPr>
              <w:t>&lt;li&gt;</w:t>
              <w:tab/>
              <w:t>&lt;p style="line-height: 200%;" align="justify"&gt;</w:t>
              <w:tab/>
              <w:t>&lt;span style="font-family: &amp;quot;Times New Roman&amp;quot;, serif;"&gt;</w:t>
              <w:tab/>
              <w:t>&lt;span style="font-size: medium;"&gt;</w:t>
              <w:tab/>
              <w:t>&lt;span style="font- weight: normal;"&gt;A jurisprudência do&lt;/span&gt;</w:t>
              <w:tab/>
              <w:t>&lt;/span&gt;</w:t>
              <w:tab/>
              <w:t>&lt;/span&gt;</w:t>
              <w:tab/>
              <w:tab/>
              <w:t>&lt;strong&gt;</w:t>
              <w:tab/>
              <w:t>&lt;span style="font-family: &amp;quot;Times New Roman&amp;quot;, serif;"&gt;</w:t>
              <w:tab/>
              <w:tab/>
              <w:t>&lt;span style="font-size: medium;"&gt;</w:t>
              <w:tab/>
              <w:t>&lt;span style="font-weight: normal;"&gt;TJCE&lt;/span&gt;</w:t>
              <w:tab/>
              <w:tab/>
              <w:tab/>
              <w:t>&lt;/span&gt;</w:t>
            </w:r>
          </w:p>
          <w:p>
            <w:pPr>
              <w:pStyle w:val="TableParagraph"/>
              <w:tabs>
                <w:tab w:pos="985" w:val="left" w:leader="none"/>
                <w:tab w:pos="2052" w:val="left" w:leader="none"/>
              </w:tabs>
              <w:spacing w:line="190" w:lineRule="exact" w:before="0"/>
              <w:rPr>
                <w:sz w:val="20"/>
              </w:rPr>
            </w:pPr>
            <w:r>
              <w:rPr>
                <w:sz w:val="20"/>
              </w:rPr>
              <w:t>&lt;/span&gt;</w:t>
              <w:tab/>
              <w:t>&lt;/strong&gt;</w:t>
              <w:tab/>
              <w:t>&lt;span style="font-family: &amp;quot;Times New Roman&amp;quot;, serif;"&gt;</w:t>
            </w:r>
          </w:p>
          <w:p>
            <w:pPr>
              <w:pStyle w:val="TableParagraph"/>
              <w:spacing w:line="208" w:lineRule="auto" w:before="9"/>
              <w:ind w:right="169"/>
              <w:jc w:val="both"/>
              <w:rPr>
                <w:sz w:val="20"/>
              </w:rPr>
            </w:pPr>
            <w:r>
              <w:rPr>
                <w:sz w:val="20"/>
              </w:rPr>
              <w:t>&lt;span style="font-size: medium;"&gt;      &lt;span style="font-weight: normal;"&gt;reconhece </w:t>
            </w:r>
            <w:r>
              <w:rPr>
                <w:spacing w:val="-6"/>
                <w:sz w:val="20"/>
              </w:rPr>
              <w:t>que </w:t>
            </w:r>
            <w:r>
              <w:rPr>
                <w:sz w:val="20"/>
              </w:rPr>
              <w:t>o indeferimento liminar da petição inicial, por suposta litigância abusiva, sem observância dos critérios do Tema 1.198/STJ, constitui&lt;/span&gt; &lt;/span&gt; &lt;/span&gt; &lt;strong&gt;</w:t>
            </w:r>
          </w:p>
          <w:p>
            <w:pPr>
              <w:pStyle w:val="TableParagraph"/>
              <w:tabs>
                <w:tab w:pos="2017" w:val="left" w:leader="none"/>
              </w:tabs>
              <w:spacing w:line="208" w:lineRule="auto" w:before="0"/>
              <w:ind w:right="235"/>
              <w:jc w:val="both"/>
              <w:rPr>
                <w:sz w:val="20"/>
              </w:rPr>
            </w:pPr>
            <w:r>
              <w:rPr>
                <w:sz w:val="20"/>
              </w:rPr>
              <w:t>&lt;span style="font-family: &amp;quot;Times New Roman&amp;quot;, serif;"&gt; &lt;span </w:t>
            </w:r>
            <w:r>
              <w:rPr>
                <w:spacing w:val="-2"/>
                <w:sz w:val="20"/>
              </w:rPr>
              <w:t>style="font- </w:t>
            </w:r>
            <w:r>
              <w:rPr>
                <w:sz w:val="20"/>
              </w:rPr>
              <w:t>size: medium;"&gt;</w:t>
              <w:tab/>
              <w:t>&lt;span style="font-weight: normal;"&gt;erro de método&lt;/span&gt;</w:t>
            </w:r>
          </w:p>
          <w:p>
            <w:pPr>
              <w:pStyle w:val="TableParagraph"/>
              <w:tabs>
                <w:tab w:pos="1096" w:val="left" w:leader="none"/>
                <w:tab w:pos="2041" w:val="left" w:leader="none"/>
                <w:tab w:pos="2328" w:val="left" w:leader="none"/>
                <w:tab w:pos="2829" w:val="left" w:leader="none"/>
                <w:tab w:pos="3108" w:val="left" w:leader="none"/>
                <w:tab w:pos="3774" w:val="left" w:leader="none"/>
                <w:tab w:pos="4073" w:val="left" w:leader="none"/>
                <w:tab w:pos="4774" w:val="left" w:leader="none"/>
                <w:tab w:pos="5799" w:val="left" w:leader="none"/>
                <w:tab w:pos="5897" w:val="left" w:leader="none"/>
              </w:tabs>
              <w:spacing w:line="208" w:lineRule="auto" w:before="0"/>
              <w:ind w:right="71"/>
              <w:rPr>
                <w:sz w:val="20"/>
              </w:rPr>
            </w:pPr>
            <w:r>
              <w:rPr>
                <w:sz w:val="20"/>
              </w:rPr>
              <w:t>&lt;/span&gt;</w:t>
              <w:tab/>
              <w:t>&lt;/span&gt;</w:t>
              <w:tab/>
              <w:t>&lt;/strong&gt;</w:t>
              <w:tab/>
              <w:t>&lt;span style="font-family: &amp;quot;Times New Roman&amp;quot;, serif;"&gt;</w:t>
              <w:tab/>
              <w:tab/>
              <w:t>&lt;span style="font-size: medium;"&gt;</w:t>
              <w:tab/>
              <w:t>&lt;span style="font-weight: normal;"&gt;e impõe a&lt;/span&gt;</w:t>
              <w:tab/>
              <w:t>&lt;/span&gt;</w:t>
              <w:tab/>
              <w:t>&lt;/span&gt;</w:t>
              <w:tab/>
              <w:t>&lt;strong&gt;</w:t>
              <w:tab/>
              <w:tab/>
              <w:t>&lt;span style="font-family: &amp;quot;Times New Roman&amp;quot;, serif;"&gt;</w:t>
              <w:tab/>
              <w:tab/>
              <w:t>&lt;span style="font-size: medium;"&gt;</w:t>
            </w:r>
          </w:p>
          <w:p>
            <w:pPr>
              <w:pStyle w:val="TableParagraph"/>
              <w:tabs>
                <w:tab w:pos="6313" w:val="left" w:leader="none"/>
                <w:tab w:pos="7369" w:val="left" w:leader="none"/>
              </w:tabs>
              <w:spacing w:line="190" w:lineRule="exact" w:before="0"/>
              <w:rPr>
                <w:sz w:val="20"/>
              </w:rPr>
            </w:pPr>
            <w:r>
              <w:rPr>
                <w:sz w:val="20"/>
              </w:rPr>
              <w:t>&lt;span style="font-weight: normal;"&gt;anulação da sentença&lt;/span&gt;</w:t>
              <w:tab/>
              <w:t>&lt;/span&gt;</w:t>
              <w:tab/>
              <w:t>&lt;/span&gt;</w:t>
            </w:r>
          </w:p>
          <w:p>
            <w:pPr>
              <w:pStyle w:val="TableParagraph"/>
              <w:tabs>
                <w:tab w:pos="1107" w:val="left" w:leader="none"/>
                <w:tab w:pos="2905" w:val="left" w:leader="none"/>
                <w:tab w:pos="7268" w:val="left" w:leader="none"/>
              </w:tabs>
              <w:spacing w:line="208" w:lineRule="auto" w:before="9"/>
              <w:ind w:right="75"/>
              <w:rPr>
                <w:sz w:val="20"/>
              </w:rPr>
            </w:pPr>
            <w:r>
              <w:rPr>
                <w:sz w:val="20"/>
              </w:rPr>
              <w:t>&lt;/strong&gt;</w:t>
              <w:tab/>
              <w:t>&lt;span style="font-family: &amp;quot;Times New Roman&amp;quot;, serif;"&gt;</w:t>
              <w:tab/>
              <w:t>&lt;span style="font-size: medium;"&gt;</w:t>
              <w:tab/>
              <w:t>&lt;span style="font-weight: normal;"&gt;(TJCE, Apelação </w:t>
            </w:r>
            <w:r>
              <w:rPr>
                <w:spacing w:val="-4"/>
                <w:sz w:val="20"/>
              </w:rPr>
              <w:t>Cível </w:t>
            </w:r>
            <w:r>
              <w:rPr>
                <w:sz w:val="20"/>
              </w:rPr>
              <w:t>nº 3000837-92.2025.8.06.0031; Apelação Cível nº 3001124-45.2025.8.06.0001, Rel. Juiz</w:t>
            </w:r>
          </w:p>
          <w:p>
            <w:pPr>
              <w:pStyle w:val="TableParagraph"/>
              <w:spacing w:line="190" w:lineRule="exact" w:before="0"/>
              <w:rPr>
                <w:sz w:val="20"/>
              </w:rPr>
            </w:pPr>
            <w:r>
              <w:rPr>
                <w:sz w:val="20"/>
              </w:rPr>
              <w:t>Convocado Mantovanni Colares Cavalcante, 5ª Câmara de Direito Privado, 2025).&lt;/span&gt;</w:t>
            </w:r>
          </w:p>
          <w:p>
            <w:pPr>
              <w:pStyle w:val="TableParagraph"/>
              <w:tabs>
                <w:tab w:pos="985" w:val="left" w:leader="none"/>
                <w:tab w:pos="1682" w:val="left" w:leader="none"/>
                <w:tab w:pos="3253" w:val="left" w:leader="none"/>
              </w:tabs>
              <w:spacing w:line="208" w:lineRule="auto" w:before="10"/>
              <w:ind w:right="533"/>
              <w:rPr>
                <w:sz w:val="20"/>
              </w:rPr>
            </w:pPr>
            <w:r>
              <w:rPr>
                <w:sz w:val="20"/>
              </w:rPr>
              <w:t>&lt;/span&gt;</w:t>
              <w:tab/>
              <w:t>&lt;/span&gt;&lt;/p&gt;  &lt;/li&gt;  &lt;li&gt;</w:t>
              <w:tab/>
              <w:t>&lt;p style="font-weight: normal; line-height: </w:t>
            </w:r>
            <w:r>
              <w:rPr>
                <w:spacing w:val="-3"/>
                <w:sz w:val="20"/>
              </w:rPr>
              <w:t>200%;" </w:t>
            </w:r>
            <w:r>
              <w:rPr>
                <w:sz w:val="20"/>
              </w:rPr>
              <w:t>align="justify"&gt;</w:t>
              <w:tab/>
              <w:t>&lt;span style="font-family: &amp;quot;Times New Roman&amp;quot;, serif;"&gt;</w:t>
            </w:r>
          </w:p>
          <w:p>
            <w:pPr>
              <w:pStyle w:val="TableParagraph"/>
              <w:tabs>
                <w:tab w:pos="1940" w:val="left" w:leader="none"/>
                <w:tab w:pos="2682" w:val="left" w:leader="none"/>
                <w:tab w:pos="2886" w:val="left" w:leader="none"/>
              </w:tabs>
              <w:spacing w:line="208" w:lineRule="auto" w:before="0"/>
              <w:ind w:right="74"/>
              <w:rPr>
                <w:sz w:val="20"/>
              </w:rPr>
            </w:pPr>
            <w:r>
              <w:rPr>
                <w:sz w:val="20"/>
              </w:rPr>
              <w:t>&lt;span style="font-size: medium;"&gt;Assim, a sentença deve ser anulada, com retorno dos autos à origem, para regular prosseguimento do feito e correta aplicação do método </w:t>
            </w:r>
            <w:r>
              <w:rPr>
                <w:spacing w:val="-3"/>
                <w:sz w:val="20"/>
              </w:rPr>
              <w:t>fixado </w:t>
            </w:r>
            <w:r>
              <w:rPr>
                <w:sz w:val="20"/>
              </w:rPr>
              <w:t>pelo STJ.&lt;/span&gt;</w:t>
              <w:tab/>
              <w:t>&lt;/span&gt;</w:t>
              <w:tab/>
              <w:tab/>
              <w:t>&lt;/p&gt; &lt;/li&gt;&lt;/ol&gt;&lt;p style="line-height: 200%;" align="justify"&gt;&lt;span style="font-family: &amp;quot;Times New Roman&amp;quot;, serif;"&gt; &lt;span style="font-size: medium;"&gt;</w:t>
              <w:tab/>
              <w:t>&lt;span style="font-weight: normal;"&gt;IV.&lt;/span&gt;</w:t>
            </w:r>
          </w:p>
          <w:p>
            <w:pPr>
              <w:pStyle w:val="TableParagraph"/>
              <w:tabs>
                <w:tab w:pos="883" w:val="left" w:leader="none"/>
                <w:tab w:pos="3407" w:val="left" w:leader="none"/>
                <w:tab w:pos="4243" w:val="left" w:leader="none"/>
              </w:tabs>
              <w:spacing w:line="208" w:lineRule="auto" w:before="0"/>
              <w:ind w:right="85"/>
              <w:rPr>
                <w:sz w:val="20"/>
              </w:rPr>
            </w:pPr>
            <w:r>
              <w:rPr>
                <w:sz w:val="20"/>
              </w:rPr>
              <w:t>&lt;/span&gt;&lt;/span&gt; &lt;strong&gt; &lt;span style="font-family: &amp;quot;Times New Roman&amp;quot;, serif;"&gt;</w:t>
              <w:tab/>
              <w:t>&lt;span style="font-size: medium;"&gt;</w:t>
              <w:tab/>
              <w:t>&lt;span style="font-weight: normal;"&gt;Dispositivo e tese&lt;/span&gt;</w:t>
              <w:tab/>
              <w:t>&lt;/span&gt; &lt;/span&gt;&lt;/strong&gt;&lt;/p&gt;&lt;p style="line-height: 200%;" align="justify"&gt; &lt;span style="font-family: &amp;quot;Times New Roman&amp;quot;, serif;"&gt;</w:t>
            </w:r>
          </w:p>
          <w:p>
            <w:pPr>
              <w:pStyle w:val="TableParagraph"/>
              <w:tabs>
                <w:tab w:pos="2794" w:val="left" w:leader="none"/>
                <w:tab w:pos="2830" w:val="left" w:leader="none"/>
                <w:tab w:pos="3400" w:val="left" w:leader="none"/>
                <w:tab w:pos="7510" w:val="left" w:leader="none"/>
              </w:tabs>
              <w:spacing w:line="208" w:lineRule="auto" w:before="0"/>
              <w:ind w:right="91"/>
              <w:rPr>
                <w:sz w:val="20"/>
              </w:rPr>
            </w:pPr>
            <w:r>
              <w:rPr>
                <w:sz w:val="20"/>
              </w:rPr>
              <w:t>&lt;span style="font-size: medium;"&gt;</w:t>
              <w:tab/>
              <w:t>&lt;span style="font-weight: normal;"&gt;Recurso conhecido e provido.&lt;/span&gt;</w:t>
              <w:tab/>
              <w:tab/>
              <w:t>&lt;/span&gt; &lt;/span&gt;&lt;/p&gt;&lt;p style="line-height: 200%;" align="justify"&gt;  &lt;span style="font-family: &amp;quot;Times New Roman&amp;quot;, serif;"&gt;</w:t>
              <w:tab/>
            </w:r>
            <w:r>
              <w:rPr>
                <w:spacing w:val="-4"/>
                <w:sz w:val="20"/>
              </w:rPr>
              <w:t>&lt;span </w:t>
            </w:r>
            <w:r>
              <w:rPr>
                <w:sz w:val="20"/>
              </w:rPr>
              <w:t>style="font-size: medium;"&gt;</w:t>
              <w:tab/>
              <w:t>&lt;span style="font-weight: normal;"&gt;Sentença anulada.</w:t>
            </w:r>
          </w:p>
          <w:p>
            <w:pPr>
              <w:pStyle w:val="TableParagraph"/>
              <w:tabs>
                <w:tab w:pos="994" w:val="left" w:leader="none"/>
                <w:tab w:pos="2472" w:val="left" w:leader="none"/>
                <w:tab w:pos="2519" w:val="left" w:leader="none"/>
                <w:tab w:pos="4465" w:val="left" w:leader="none"/>
              </w:tabs>
              <w:spacing w:line="208" w:lineRule="auto" w:before="0"/>
              <w:ind w:right="93"/>
              <w:rPr>
                <w:sz w:val="20"/>
              </w:rPr>
            </w:pPr>
            <w:r>
              <w:rPr>
                <w:sz w:val="20"/>
              </w:rPr>
              <w:t>Determinado o retorno dos autos ao juízo de origem para aplicação do método previsto </w:t>
            </w:r>
            <w:r>
              <w:rPr>
                <w:spacing w:val="-7"/>
                <w:sz w:val="20"/>
              </w:rPr>
              <w:t>no </w:t>
            </w:r>
            <w:r>
              <w:rPr>
                <w:sz w:val="20"/>
              </w:rPr>
              <w:t>Tema 1.198/STJ.&lt;/span&gt;</w:t>
              <w:tab/>
              <w:tab/>
              <w:t>&lt;/span&gt; &lt;/span&gt;&lt;/p&gt;&lt;p style="line-height: 200%;" align="justify"&gt;  &lt;strong&gt;</w:t>
              <w:tab/>
              <w:t>&lt;span style="font-family: &amp;quot;Times New Roman&amp;quot;, serif;"&gt;</w:t>
              <w:tab/>
              <w:t>&lt;span style="font-size: medium;"&gt;</w:t>
              <w:tab/>
              <w:t>&lt;span style="font-weight:</w:t>
            </w:r>
            <w:r>
              <w:rPr>
                <w:spacing w:val="7"/>
                <w:sz w:val="20"/>
              </w:rPr>
              <w:t> </w:t>
            </w:r>
            <w:r>
              <w:rPr>
                <w:spacing w:val="-2"/>
                <w:sz w:val="20"/>
              </w:rPr>
              <w:t>normal;"&gt;Tese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408" w:val="left" w:leader="none"/>
                <w:tab w:pos="2794" w:val="left" w:leader="none"/>
                <w:tab w:pos="3353" w:val="left" w:leader="none"/>
                <w:tab w:pos="7510" w:val="left" w:leader="none"/>
              </w:tabs>
              <w:spacing w:line="208" w:lineRule="auto" w:before="26"/>
              <w:ind w:right="91"/>
              <w:rPr>
                <w:sz w:val="20"/>
              </w:rPr>
            </w:pPr>
            <w:r>
              <w:rPr>
                <w:sz w:val="20"/>
              </w:rPr>
              <w:t>de julgamento:&lt;/span&gt;</w:t>
              <w:tab/>
              <w:t>&lt;/span&gt;</w:t>
              <w:tab/>
              <w:t>&lt;/span&gt; &lt;/strong&gt;&lt;/p&gt;&lt;p style="line-height: 200%;" align="justify"&gt;  &lt;span style="font-family: &amp;quot;Times New Roman&amp;quot;, serif;"&gt;</w:t>
              <w:tab/>
            </w:r>
            <w:r>
              <w:rPr>
                <w:spacing w:val="-4"/>
                <w:sz w:val="20"/>
              </w:rPr>
              <w:t>&lt;span </w:t>
            </w:r>
            <w:r>
              <w:rPr>
                <w:sz w:val="20"/>
              </w:rPr>
              <w:t>style="font-size: medium;"&gt;</w:t>
              <w:tab/>
              <w:t>&lt;span style="font-weight: normal;"&gt;“Configura error in procedendo o indeferimento da petição inicial em ações com indícios de litigância abusiva quando o juízo não observa o método estabelecido no Tema 1.198 do STJ.”&lt;/span&gt;</w:t>
            </w:r>
          </w:p>
          <w:p>
            <w:pPr>
              <w:pStyle w:val="TableParagraph"/>
              <w:tabs>
                <w:tab w:pos="1327" w:val="left" w:leader="none"/>
                <w:tab w:pos="5483" w:val="left" w:leader="none"/>
              </w:tabs>
              <w:spacing w:line="208" w:lineRule="auto" w:before="0"/>
              <w:ind w:right="162"/>
              <w:rPr>
                <w:sz w:val="20"/>
              </w:rPr>
            </w:pPr>
            <w:r>
              <w:rPr>
                <w:sz w:val="20"/>
              </w:rPr>
              <w:t>&lt;/span&gt; &lt;/span&gt;&lt;/p&gt;&lt;p style="line-height: 200%;" align="justify"&gt;&lt;strong&gt; &lt;span style="font-family: &amp;quot;Times New Roman&amp;quot;, serif;"&gt;</w:t>
              <w:tab/>
              <w:t>&lt;span style="font-size: medium;"&gt;</w:t>
              <w:tab/>
              <w:t>&lt;span style="font-weight: normal;"&gt;Dispositivos relevantes</w:t>
            </w:r>
            <w:r>
              <w:rPr>
                <w:spacing w:val="12"/>
                <w:sz w:val="20"/>
              </w:rPr>
              <w:t> </w:t>
            </w:r>
            <w:r>
              <w:rPr>
                <w:spacing w:val="-2"/>
                <w:sz w:val="20"/>
              </w:rPr>
              <w:t>citados:&lt;/span&gt;</w:t>
            </w:r>
          </w:p>
          <w:p>
            <w:pPr>
              <w:pStyle w:val="TableParagraph"/>
              <w:tabs>
                <w:tab w:pos="1327" w:val="left" w:leader="none"/>
                <w:tab w:pos="3493" w:val="left" w:leader="none"/>
                <w:tab w:pos="4021" w:val="left" w:leader="none"/>
                <w:tab w:pos="4237" w:val="left" w:leader="none"/>
                <w:tab w:pos="5483" w:val="left" w:leader="none"/>
              </w:tabs>
              <w:spacing w:line="208" w:lineRule="auto" w:before="0"/>
              <w:ind w:right="60"/>
              <w:rPr>
                <w:sz w:val="20"/>
              </w:rPr>
            </w:pPr>
            <w:r>
              <w:rPr>
                <w:sz w:val="20"/>
              </w:rPr>
              <w:t>&lt;/span&gt; &lt;/span&gt;&lt;/strong&gt;&lt;span style="font-family: &amp;quot;Times New Roman&amp;quot;, serif;"&gt;  &lt;span style="font-size: medium;"&gt;</w:t>
              <w:tab/>
              <w:t>&lt;span style="font-weight: normal;"&gt;CPC, </w:t>
            </w:r>
            <w:r>
              <w:rPr>
                <w:spacing w:val="-4"/>
                <w:sz w:val="20"/>
              </w:rPr>
              <w:t>arts. </w:t>
            </w:r>
            <w:r>
              <w:rPr>
                <w:sz w:val="20"/>
              </w:rPr>
              <w:t>9º, 10, 139, VI, 321, 370, 485, I e IV.</w:t>
              <w:tab/>
              <w:t>&lt;br /&gt;</w:t>
              <w:tab/>
              <w:tab/>
              <w:t>&lt;/span&gt; &lt;/span&gt;&lt;/span&gt; &lt;strong&gt; &lt;span style="font-family: &amp;quot;Times New Roman&amp;quot;, serif;"&gt;</w:t>
              <w:tab/>
              <w:t>&lt;span style="font-size: medium;"&gt;</w:t>
              <w:tab/>
              <w:t>&lt;span style="font-weight: normal;"&gt;Precedente vinculante:&lt;/span&gt;</w:t>
            </w:r>
          </w:p>
          <w:p>
            <w:pPr>
              <w:pStyle w:val="TableParagraph"/>
              <w:tabs>
                <w:tab w:pos="4021" w:val="left" w:leader="none"/>
              </w:tabs>
              <w:spacing w:line="208" w:lineRule="auto" w:before="0"/>
              <w:ind w:right="26"/>
              <w:rPr>
                <w:sz w:val="20"/>
              </w:rPr>
            </w:pPr>
            <w:r>
              <w:rPr>
                <w:sz w:val="20"/>
              </w:rPr>
              <w:t>&lt;/span&gt; &lt;/span&gt;&lt;/strong&gt;&lt;span style="font-family: &amp;quot;Times New Roman&amp;quot;, serif;"&gt;  &lt;span style="font-size: medium;"&gt;</w:t>
              <w:tab/>
              <w:t>&lt;span style="font-weight: normal;"&gt;STJ, </w:t>
            </w:r>
            <w:r>
              <w:rPr>
                <w:spacing w:val="-5"/>
                <w:sz w:val="20"/>
              </w:rPr>
              <w:t>REsp </w:t>
            </w:r>
            <w:r>
              <w:rPr>
                <w:sz w:val="20"/>
              </w:rPr>
              <w:t>2.021.655/DF (Tema 1.198, Rel. Min. Paulo de Tarso Sanseverino, j. 22.05.2024).&lt;/span&gt;</w:t>
            </w:r>
          </w:p>
          <w:p>
            <w:pPr>
              <w:pStyle w:val="TableParagraph"/>
              <w:tabs>
                <w:tab w:pos="1439" w:val="left" w:leader="none"/>
                <w:tab w:pos="2673" w:val="left" w:leader="none"/>
                <w:tab w:pos="4418" w:val="left" w:leader="none"/>
                <w:tab w:pos="5363" w:val="left" w:leader="none"/>
                <w:tab w:pos="5595" w:val="left" w:leader="none"/>
                <w:tab w:pos="6033" w:val="left" w:leader="none"/>
                <w:tab w:pos="6197" w:val="left" w:leader="none"/>
                <w:tab w:pos="7261" w:val="left" w:leader="none"/>
              </w:tabs>
              <w:spacing w:line="208" w:lineRule="auto" w:before="0"/>
              <w:ind w:right="215"/>
              <w:rPr>
                <w:sz w:val="20"/>
              </w:rPr>
            </w:pPr>
            <w:r>
              <w:rPr>
                <w:sz w:val="20"/>
              </w:rPr>
              <w:t>&lt;/span&gt;&lt;/span&gt;&lt;/p&gt;&lt;h2 class="western" style="line-height: 200%;"&gt;  &lt;strong&gt;</w:t>
              <w:tab/>
              <w:t>&lt;span style="font-family: &amp;quot;Times New Roman&amp;quot;, serif;"&gt;</w:t>
              <w:tab/>
              <w:tab/>
              <w:t>&lt;span style="font-size: medium;"&gt;</w:t>
              <w:tab/>
              <w:t>&lt;strong&gt;ACÓRDÃO&lt;/strong&gt;</w:t>
              <w:tab/>
              <w:t>&lt;/span&gt;</w:t>
              <w:tab/>
              <w:t>&lt;/span&gt; &lt;/strong&gt;&lt;/h2&gt;&lt;p style="line-height: 200%;" align="justify"&gt;&lt;strong&gt; &lt;span style="font-family: &amp;quot;Times New Roman&amp;quot;, serif;"&gt;</w:t>
              <w:tab/>
              <w:t>&lt;span style="font-size: medium;"&gt;</w:t>
              <w:tab/>
              <w:t>&lt;span style="font- weight: normal;"&gt;Vistos, relatados e discutidos estes autos&lt;/span&gt;</w:t>
              <w:tab/>
              <w:tab/>
              <w:t>&lt;/span&gt;</w:t>
            </w:r>
          </w:p>
          <w:p>
            <w:pPr>
              <w:pStyle w:val="TableParagraph"/>
              <w:tabs>
                <w:tab w:pos="2682"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acorda a 5ª Câmara de Direito Privado do Tribunal de Justiça do Estado do Ceará, por unanimidade, em&lt;/span&gt;</w:t>
            </w:r>
          </w:p>
          <w:p>
            <w:pPr>
              <w:pStyle w:val="TableParagraph"/>
              <w:tabs>
                <w:tab w:pos="883" w:val="left" w:leader="none"/>
                <w:tab w:pos="4243" w:val="left" w:leader="none"/>
                <w:tab w:pos="7244" w:val="left" w:leader="none"/>
              </w:tabs>
              <w:spacing w:line="208" w:lineRule="auto" w:before="0"/>
              <w:ind w:right="185"/>
              <w:rPr>
                <w:sz w:val="20"/>
              </w:rPr>
            </w:pPr>
            <w:r>
              <w:rPr>
                <w:sz w:val="20"/>
              </w:rPr>
              <w:t>&lt;/span&gt;&lt;/span&gt; &lt;strong&gt; &lt;span style="font-family: &amp;quot;Times New Roman&amp;quot;, serif;"&gt;</w:t>
              <w:tab/>
              <w:t>&lt;span style="font-size: medium;"&gt;</w:t>
              <w:tab/>
              <w:t>&lt;strong&gt;CONHECER&lt;/strong&gt;</w:t>
              <w:tab/>
            </w:r>
            <w:r>
              <w:rPr>
                <w:spacing w:val="-3"/>
                <w:sz w:val="20"/>
              </w:rPr>
              <w:t>&lt;/span&gt;</w:t>
            </w:r>
          </w:p>
          <w:p>
            <w:pPr>
              <w:pStyle w:val="TableParagraph"/>
              <w:tabs>
                <w:tab w:pos="883" w:val="left" w:leader="none"/>
                <w:tab w:pos="1818" w:val="left" w:leader="none"/>
                <w:tab w:pos="3851" w:val="left" w:leader="none"/>
                <w:tab w:pos="4243" w:val="left" w:leader="none"/>
              </w:tabs>
              <w:spacing w:line="208" w:lineRule="auto" w:before="0"/>
              <w:ind w:right="500"/>
              <w:rPr>
                <w:sz w:val="20"/>
              </w:rPr>
            </w:pPr>
            <w:r>
              <w:rPr>
                <w:sz w:val="20"/>
              </w:rPr>
              <w:t>&lt;/span&gt;&lt;/strong&gt;&lt;strong&gt; &lt;span style="font-family: &amp;quot;Times New </w:t>
            </w:r>
            <w:r>
              <w:rPr>
                <w:spacing w:val="-2"/>
                <w:sz w:val="20"/>
              </w:rPr>
              <w:t>Roman&amp;quot;, </w:t>
            </w:r>
            <w:r>
              <w:rPr>
                <w:sz w:val="20"/>
              </w:rPr>
              <w:t>serif;"&gt;</w:t>
              <w:tab/>
              <w:t>&lt;span style="font-size: medium;"&gt;</w:t>
              <w:tab/>
              <w:t>&lt;span style="font-weight: normal;"&gt;do recurso e&lt;/span&gt;</w:t>
              <w:tab/>
              <w:t>&lt;/span&gt; &lt;/span&gt;&lt;/strong&gt; &lt;strong&gt; &lt;span style="font-family: &amp;quot;Times New Roman&amp;quot;, serif;"&gt;</w:t>
              <w:tab/>
              <w:t>&lt;span style="font-size: medium;"&gt;</w:t>
            </w:r>
          </w:p>
          <w:p>
            <w:pPr>
              <w:pStyle w:val="TableParagraph"/>
              <w:tabs>
                <w:tab w:pos="1216" w:val="left" w:leader="none"/>
                <w:tab w:pos="4174" w:val="left" w:leader="none"/>
              </w:tabs>
              <w:spacing w:line="208" w:lineRule="auto" w:before="0"/>
              <w:ind w:right="150"/>
              <w:rPr>
                <w:sz w:val="20"/>
              </w:rPr>
            </w:pPr>
            <w:r>
              <w:rPr>
                <w:sz w:val="20"/>
              </w:rPr>
              <w:t>&lt;strong&gt;DAR-LHE PROVIMENTO&lt;/strong&gt;</w:t>
              <w:tab/>
              <w:t>&lt;/span&gt; &lt;/span&gt;&lt;/strong&gt;&lt;span style="font-family: &amp;quot;Times New Roman&amp;quot;, serif;"&gt; &lt;span style="font-size: medium;"&gt;</w:t>
              <w:tab/>
              <w:t>&lt;span style="font-weight: normal;"&gt;, para&lt;/span&gt;  &lt;/span&gt;&lt;/span&gt;</w:t>
            </w:r>
            <w:r>
              <w:rPr>
                <w:spacing w:val="7"/>
                <w:sz w:val="20"/>
              </w:rPr>
              <w:t> </w:t>
            </w:r>
            <w:r>
              <w:rPr>
                <w:spacing w:val="-3"/>
                <w:sz w:val="20"/>
              </w:rPr>
              <w:t>&lt;strong&gt;</w:t>
            </w:r>
          </w:p>
          <w:p>
            <w:pPr>
              <w:pStyle w:val="TableParagraph"/>
              <w:tabs>
                <w:tab w:pos="1327" w:val="left" w:leader="none"/>
                <w:tab w:pos="6090" w:val="left" w:leader="none"/>
              </w:tabs>
              <w:spacing w:line="208" w:lineRule="auto" w:before="0"/>
              <w:ind w:right="46"/>
              <w:rPr>
                <w:sz w:val="20"/>
              </w:rPr>
            </w:pPr>
            <w:r>
              <w:rPr>
                <w:sz w:val="20"/>
              </w:rPr>
              <w:t>&lt;span style="font-family: &amp;quot;Times New Roman&amp;quot;, serif;"&gt;</w:t>
              <w:tab/>
              <w:t>&lt;span style="font-size: medium;"&gt;</w:t>
              <w:tab/>
              <w:t>&lt;span style="font-weight: normal;"&gt;ANULAR a sentença recorrida&lt;/span&gt;</w:t>
            </w:r>
          </w:p>
          <w:p>
            <w:pPr>
              <w:pStyle w:val="TableParagraph"/>
              <w:tabs>
                <w:tab w:pos="4021" w:val="left" w:leader="none"/>
              </w:tabs>
              <w:spacing w:line="208" w:lineRule="auto" w:before="0"/>
              <w:ind w:right="148"/>
              <w:rPr>
                <w:sz w:val="20"/>
              </w:rPr>
            </w:pPr>
            <w:r>
              <w:rPr>
                <w:sz w:val="20"/>
              </w:rPr>
              <w:t>&lt;/span&gt; &lt;/span&gt;&lt;/strong&gt;&lt;span style="font-family: &amp;quot;Times New Roman&amp;quot;, serif;"&gt;  &lt;span style="font-size: medium;"&gt;</w:t>
              <w:tab/>
              <w:t>&lt;span style="font-weight:</w:t>
            </w:r>
            <w:r>
              <w:rPr>
                <w:spacing w:val="-18"/>
                <w:sz w:val="20"/>
              </w:rPr>
              <w:t> </w:t>
            </w:r>
            <w:r>
              <w:rPr>
                <w:sz w:val="20"/>
              </w:rPr>
              <w:t>normal;"&gt;e&lt;/span&gt;</w:t>
            </w:r>
          </w:p>
          <w:p>
            <w:pPr>
              <w:pStyle w:val="TableParagraph"/>
              <w:tabs>
                <w:tab w:pos="883" w:val="left" w:leader="none"/>
                <w:tab w:pos="4243" w:val="left" w:leader="none"/>
                <w:tab w:pos="6275" w:val="left" w:leader="none"/>
              </w:tabs>
              <w:spacing w:line="208" w:lineRule="auto" w:before="0"/>
              <w:ind w:right="584"/>
              <w:rPr>
                <w:sz w:val="20"/>
              </w:rPr>
            </w:pPr>
            <w:r>
              <w:rPr>
                <w:sz w:val="20"/>
              </w:rPr>
              <w:t>&lt;/span&gt;&lt;/span&gt; &lt;strong&gt; &lt;span style="font-family: &amp;quot;Times New </w:t>
            </w:r>
            <w:r>
              <w:rPr>
                <w:spacing w:val="-2"/>
                <w:sz w:val="20"/>
              </w:rPr>
              <w:t>Roman&amp;quot;, </w:t>
            </w:r>
            <w:r>
              <w:rPr>
                <w:sz w:val="20"/>
              </w:rPr>
              <w:t>serif;"&gt;</w:t>
              <w:tab/>
              <w:t>&lt;span style="font-size: medium;"&gt;</w:t>
              <w:tab/>
              <w:t>&lt;span style="font-weight: normal;"&gt;determinar o retorno dos autos ao juízo de origem&lt;/span&gt;</w:t>
              <w:tab/>
              <w:t>&lt;/span&gt;</w:t>
            </w:r>
          </w:p>
          <w:p>
            <w:pPr>
              <w:pStyle w:val="TableParagraph"/>
              <w:tabs>
                <w:tab w:pos="994" w:val="left" w:leader="none"/>
                <w:tab w:pos="2472" w:val="left" w:leader="none"/>
                <w:tab w:pos="2682" w:val="left" w:leader="none"/>
                <w:tab w:pos="4465" w:val="left" w:leader="none"/>
                <w:tab w:pos="5308" w:val="left" w:leader="none"/>
                <w:tab w:pos="6253" w:val="left" w:leader="none"/>
              </w:tabs>
              <w:spacing w:line="208" w:lineRule="auto" w:before="0"/>
              <w:ind w:right="19"/>
              <w:rPr>
                <w:sz w:val="20"/>
              </w:rPr>
            </w:pPr>
            <w:r>
              <w:rPr>
                <w:sz w:val="20"/>
              </w:rPr>
              <w:t>&lt;/span&gt;&lt;/strong&gt;&lt;span style="font-family: &amp;quot;Times New Roman&amp;quot;, serif;"&gt; &lt;span style="font-size: medium;"&gt;</w:t>
              <w:tab/>
              <w:tab/>
              <w:t>&lt;span style="font-weight: normal;"&gt;, a fim de que observe o método fixado na tese vinculante do Tema 1.198/STJ, nos termos do voto do Relator, </w:t>
            </w:r>
            <w:r>
              <w:rPr>
                <w:spacing w:val="-4"/>
                <w:sz w:val="20"/>
              </w:rPr>
              <w:t>parte </w:t>
            </w:r>
            <w:r>
              <w:rPr>
                <w:sz w:val="20"/>
              </w:rPr>
              <w:t>integrante deste julgado.&lt;/span&gt; &lt;/span&gt;&lt;/span&gt;&lt;/p&gt;&lt;p style="line-height: 200%;" align="justify"&gt;  &lt;strong&gt;</w:t>
              <w:tab/>
              <w:t>&lt;span style="font-family: &amp;quot;Times New Roman&amp;quot;, serif;"&gt;</w:t>
              <w:tab/>
              <w:t>&lt;span style="font-size: medium;"&gt;</w:t>
              <w:tab/>
              <w:t>&lt;span style="font-weight: normal;"&gt;Fortaleza, data registrada no sistema.&lt;/span&gt;</w:t>
              <w:tab/>
              <w:t>&lt;/span&gt;</w:t>
              <w:tab/>
              <w:t>&lt;/span&gt;</w:t>
            </w:r>
          </w:p>
          <w:p>
            <w:pPr>
              <w:pStyle w:val="TableParagraph"/>
              <w:tabs>
                <w:tab w:pos="994" w:val="left" w:leader="none"/>
                <w:tab w:pos="1439" w:val="left" w:leader="none"/>
                <w:tab w:pos="1951" w:val="left" w:leader="none"/>
                <w:tab w:pos="2495" w:val="left" w:leader="none"/>
                <w:tab w:pos="2584" w:val="left" w:leader="none"/>
                <w:tab w:pos="2896" w:val="left" w:leader="none"/>
                <w:tab w:pos="3529" w:val="left" w:leader="none"/>
                <w:tab w:pos="4465" w:val="left" w:leader="none"/>
                <w:tab w:pos="4595" w:val="left" w:leader="none"/>
                <w:tab w:pos="5595" w:val="left" w:leader="none"/>
                <w:tab w:pos="6108" w:val="left" w:leader="none"/>
                <w:tab w:pos="6669" w:val="left" w:leader="none"/>
              </w:tabs>
              <w:spacing w:line="208" w:lineRule="auto" w:before="0"/>
              <w:ind w:right="151"/>
              <w:rPr>
                <w:sz w:val="20"/>
              </w:rPr>
            </w:pPr>
            <w:r>
              <w:rPr>
                <w:sz w:val="20"/>
              </w:rPr>
              <w:t>&lt;/strong&gt;&lt;/p&gt;&lt;p style="line-height: 200%; text-align: center;"&gt;  &lt;strong&gt;</w:t>
              <w:tab/>
              <w:t>&lt;span style="font-family: &amp;quot;Times New Roman&amp;quot;, serif;"&gt;</w:t>
              <w:tab/>
              <w:t>&lt;span style="font-size: medium;"&gt;</w:t>
              <w:tab/>
              <w:t>&lt;span style="font-weight: normal;"&gt;MARIA REGINA OLIVEIRA CÂMARA&lt;/span&gt;</w:t>
              <w:tab/>
              <w:t>&lt;/span&gt;</w:t>
              <w:tab/>
              <w:t>&lt;/span&gt; &lt;/strong&gt;&lt;/p&gt;&lt;p style="line-height: 200%; text- align: center;"&gt;  &lt;strong&gt;</w:t>
              <w:tab/>
              <w:t>&lt;span style="font-family: &amp;quot;Times New Roman&amp;quot;, serif;"&gt;</w:t>
              <w:tab/>
              <w:t>&lt;span style="font-size: medium;"&gt;</w:t>
              <w:tab/>
              <w:t>&lt;span style="font-weight: normal;"&gt;&amp;#160;&lt;/span&gt;</w:t>
              <w:tab/>
              <w:tab/>
              <w:t>&lt;/span&gt;</w:t>
              <w:tab/>
              <w:t>&lt;/span&gt; &lt;/strong&gt; &lt;span style="font-size: medium; font-family: &amp;quot;Times New Roman&amp;quot;, serif;"&gt;Presidente do Órgão Julgador&lt;/span&gt;&lt;/p&gt;&lt;p style="line-height: 200%; text-align: center;"&gt;&amp;#160;&lt;/p&gt;&lt;p style="line-height: 200%; text-align: center;"&gt; &lt;span style="font-size: medium; </w:t>
            </w:r>
            <w:r>
              <w:rPr>
                <w:spacing w:val="-2"/>
                <w:sz w:val="20"/>
              </w:rPr>
              <w:t>font-family: </w:t>
            </w:r>
            <w:r>
              <w:rPr>
                <w:sz w:val="20"/>
              </w:rPr>
              <w:t>&amp;quot;Times New Roman&amp;quot;, serif;"&gt;&amp;#160;&lt;/span&gt;  &lt;strong&gt;</w:t>
              <w:tab/>
              <w:t>&lt;span style="font- family: &amp;quot;Times New Roman&amp;quot;, serif;"&gt;</w:t>
              <w:tab/>
              <w:tab/>
              <w:t>&lt;span style="font-size: medium;"&gt;</w:t>
            </w:r>
          </w:p>
          <w:p>
            <w:pPr>
              <w:pStyle w:val="TableParagraph"/>
              <w:spacing w:line="190" w:lineRule="exact" w:before="0"/>
              <w:rPr>
                <w:sz w:val="20"/>
              </w:rPr>
            </w:pPr>
            <w:r>
              <w:rPr>
                <w:sz w:val="20"/>
              </w:rPr>
              <w:t>&lt;span style="font-weight: normal;"&gt;JOSÉ KRENTEL FERREIRA FILHO&lt;/span&gt;</w:t>
            </w:r>
          </w:p>
          <w:p>
            <w:pPr>
              <w:pStyle w:val="TableParagraph"/>
              <w:tabs>
                <w:tab w:pos="985" w:val="left" w:leader="none"/>
              </w:tabs>
              <w:spacing w:line="200" w:lineRule="exact" w:before="0"/>
              <w:rPr>
                <w:sz w:val="20"/>
              </w:rPr>
            </w:pPr>
            <w:r>
              <w:rPr>
                <w:sz w:val="20"/>
              </w:rPr>
              <w:t>&lt;/span&gt;</w:t>
              <w:tab/>
              <w:t>&lt;/span&gt;  &lt;/strong&gt;&lt;/p&gt;&lt;p style="line-height: 200%; text-align: center;"&gt;</w:t>
            </w:r>
          </w:p>
          <w:p>
            <w:pPr>
              <w:pStyle w:val="TableParagraph"/>
              <w:tabs>
                <w:tab w:pos="1051" w:val="left" w:leader="none"/>
                <w:tab w:pos="2905" w:val="left" w:leader="none"/>
                <w:tab w:pos="7212" w:val="left" w:leader="none"/>
              </w:tabs>
              <w:spacing w:line="208" w:lineRule="auto" w:before="6"/>
              <w:ind w:right="389"/>
              <w:rPr>
                <w:sz w:val="20"/>
              </w:rPr>
            </w:pPr>
            <w:r>
              <w:rPr>
                <w:sz w:val="20"/>
              </w:rPr>
              <w:t>&lt;strong&gt;</w:t>
              <w:tab/>
              <w:t>&lt;span style="font-family: &amp;quot;Times New Roman&amp;quot;, serif;"&gt;</w:t>
              <w:tab/>
            </w:r>
            <w:r>
              <w:rPr>
                <w:spacing w:val="-4"/>
                <w:sz w:val="20"/>
              </w:rPr>
              <w:t>&lt;span </w:t>
            </w:r>
            <w:r>
              <w:rPr>
                <w:sz w:val="20"/>
              </w:rPr>
              <w:t>style="font-size: medium;"&gt;</w:t>
              <w:tab/>
              <w:t>&lt;span style="font-weight: normal;"&gt;&amp;#160;&lt;/span&gt;</w:t>
            </w:r>
          </w:p>
          <w:p>
            <w:pPr>
              <w:pStyle w:val="TableParagraph"/>
              <w:tabs>
                <w:tab w:pos="985" w:val="left" w:leader="none"/>
                <w:tab w:pos="1917" w:val="left" w:leader="none"/>
              </w:tabs>
              <w:spacing w:line="208" w:lineRule="auto" w:before="0"/>
              <w:ind w:right="360"/>
              <w:rPr>
                <w:sz w:val="20"/>
              </w:rPr>
            </w:pPr>
            <w:r>
              <w:rPr>
                <w:sz w:val="20"/>
              </w:rPr>
              <w:t>&lt;/span&gt;</w:t>
              <w:tab/>
              <w:t>&lt;/span&gt; &lt;/strong&gt; &lt;span style="font-size: medium; font-family: &amp;quot;Times New Roman&amp;quot;, serif;"&gt;Relator&lt;/span&gt;&lt;/p&gt;&lt;h2 class="western" style="line-height: 200%;"&gt;  &lt;strong&gt;</w:t>
              <w:tab/>
              <w:t>&lt;span style="font-family: &amp;quot;Times New Roman&amp;quot;, serif;"&gt;</w:t>
            </w:r>
          </w:p>
          <w:p>
            <w:pPr>
              <w:pStyle w:val="TableParagraph"/>
              <w:tabs>
                <w:tab w:pos="3511" w:val="left" w:leader="none"/>
                <w:tab w:pos="6634" w:val="left" w:leader="none"/>
              </w:tabs>
              <w:spacing w:line="190" w:lineRule="exact" w:before="0"/>
              <w:rPr>
                <w:sz w:val="20"/>
              </w:rPr>
            </w:pPr>
            <w:r>
              <w:rPr>
                <w:sz w:val="20"/>
              </w:rPr>
              <w:t>&lt;span style="font-size: medium;"&gt;</w:t>
              <w:tab/>
              <w:t>&lt;strong&gt;RELATÓRIO&lt;/strong&gt;</w:t>
              <w:tab/>
              <w:t>&lt;/span&gt;</w:t>
            </w:r>
          </w:p>
          <w:p>
            <w:pPr>
              <w:pStyle w:val="TableParagraph"/>
              <w:tabs>
                <w:tab w:pos="4484" w:val="left" w:leader="none"/>
              </w:tabs>
              <w:spacing w:line="208" w:lineRule="auto" w:before="9"/>
              <w:ind w:right="375"/>
              <w:rPr>
                <w:sz w:val="20"/>
              </w:rPr>
            </w:pPr>
            <w:r>
              <w:rPr>
                <w:sz w:val="20"/>
              </w:rPr>
              <w:t>&lt;/span&gt; &lt;/strong&gt;&lt;/h2&gt;&lt;p style="line-height: 200%;" align="justify"&gt; &lt;span </w:t>
            </w:r>
            <w:r>
              <w:rPr>
                <w:spacing w:val="-2"/>
                <w:sz w:val="20"/>
              </w:rPr>
              <w:t>style="font- </w:t>
            </w:r>
            <w:r>
              <w:rPr>
                <w:sz w:val="20"/>
              </w:rPr>
              <w:t>family: &amp;quot;Times New Roman&amp;quot;, serif;"&gt;</w:t>
              <w:tab/>
              <w:t>&lt;span style="font-size: medium;"&gt;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063" w:val="left" w:leader="none"/>
              </w:tabs>
              <w:spacing w:line="208" w:lineRule="auto" w:before="26"/>
              <w:ind w:right="171"/>
              <w:rPr>
                <w:sz w:val="20"/>
              </w:rPr>
            </w:pPr>
            <w:r>
              <w:rPr>
                <w:sz w:val="20"/>
              </w:rPr>
              <w:t>&lt;span style="font-weight: normal;"&gt;A demanda tem por objeto ação declaratória de nulidade de contrato bancário, cumulada com pedido de repetição do indébito e indenização por danos morais, ajuizada por beneficiário previdenciário em face de instituição financeira, sob a alegação de inexistência de contratação de empréstimo consignado.&lt;/span&gt;</w:t>
              <w:tab/>
              <w:t>&lt;/span&gt; &lt;/span&gt;&lt;/p&gt;&lt;p style="font-weight: normal; line-height: 200%;" align="justify"&gt;  &lt;span style="font-family: &amp;quot;Times New Roman&amp;quot;,</w:t>
            </w:r>
            <w:r>
              <w:rPr>
                <w:spacing w:val="6"/>
                <w:sz w:val="20"/>
              </w:rPr>
              <w:t> </w:t>
            </w:r>
            <w:r>
              <w:rPr>
                <w:spacing w:val="-3"/>
                <w:sz w:val="20"/>
              </w:rPr>
              <w:t>serif;"&gt;</w:t>
            </w:r>
          </w:p>
          <w:p>
            <w:pPr>
              <w:pStyle w:val="TableParagraph"/>
              <w:tabs>
                <w:tab w:pos="2217" w:val="left" w:leader="none"/>
              </w:tabs>
              <w:spacing w:line="208" w:lineRule="auto" w:before="0"/>
              <w:ind w:right="86"/>
              <w:rPr>
                <w:sz w:val="20"/>
              </w:rPr>
            </w:pPr>
            <w:r>
              <w:rPr>
                <w:sz w:val="20"/>
              </w:rPr>
              <w:t>&lt;span style="font-size: medium;"&gt;O Juízo de origem, ao analisar a petição inicial, identificou indícios de litigância abusiva, com base na Recomendação CNJ nº 159/2024 e no Tema 1198 do STJ, e determinou a emenda da inicial, exigindo documentos essenciais à admissibilidade da ação, como extratos bancários, declaração pessoal e comprovação de tentativa de solução administrativa.&lt;/span&gt; &lt;/span&gt;&lt;/p&gt;&lt;p style="font-weight: normal; line-height: 200%;" align="justify"&gt; &lt;span style="font-family: &amp;quot;Times New Roman&amp;quot;, serif;"&gt;</w:t>
              <w:tab/>
              <w:t>&lt;span style="font-size: medium;"&gt;Intimada, a parte autora apresentou manifestação, sem cumprir as determinações judiciais, limitando-se a alegar dificuldades genéricas.&lt;/span&gt; &lt;/span&gt;&lt;/p&gt;&lt;p style="font-weight: normal; line-height: 200%;" align="justify"&gt; &lt;span style="font-family: &amp;quot;Times New Roman&amp;quot;, serif;"&gt;</w:t>
            </w:r>
          </w:p>
          <w:p>
            <w:pPr>
              <w:pStyle w:val="TableParagraph"/>
              <w:tabs>
                <w:tab w:pos="994" w:val="left" w:leader="none"/>
                <w:tab w:pos="2573" w:val="left" w:leader="none"/>
                <w:tab w:pos="2673" w:val="left" w:leader="none"/>
                <w:tab w:pos="4465" w:val="left" w:leader="none"/>
                <w:tab w:pos="7000" w:val="left" w:leader="none"/>
              </w:tabs>
              <w:spacing w:line="208" w:lineRule="auto" w:before="0"/>
              <w:ind w:right="75"/>
              <w:rPr>
                <w:sz w:val="20"/>
              </w:rPr>
            </w:pPr>
            <w:r>
              <w:rPr>
                <w:sz w:val="20"/>
              </w:rPr>
              <w:t>&lt;span style="font-size: medium;"&gt;Diante do descumprimento injustificado, o magistrado indeferiu a petição inicial e extinguiu o feito sem resolução de mérito, com fundamento </w:t>
            </w:r>
            <w:r>
              <w:rPr>
                <w:spacing w:val="-6"/>
                <w:sz w:val="20"/>
              </w:rPr>
              <w:t>nos </w:t>
            </w:r>
            <w:r>
              <w:rPr>
                <w:sz w:val="20"/>
              </w:rPr>
              <w:t>arts. 321, parágrafo único, 485, I e IV, e 290 do CPC.&lt;/span&gt; &lt;/span&gt;&lt;/p&gt;&lt;p style="font- weight: normal; line-height: 200%;" align="justify"&gt; &lt;span style="font-family: &amp;quot;Times New Roman&amp;quot;, serif;"&gt;</w:t>
              <w:tab/>
              <w:tab/>
              <w:t>&lt;span style="font-size: medium;"&gt;A parte autora interpôs apelação, alegando cerceamento de defesa e violação ao contraditório e à primazia do julgamento de mérito, pleiteando a anulação da sentença ou, subsidiariamente, o retorno dos autos à origem para instrução.&lt;/span&gt; &lt;/span&gt;&lt;/p&gt;&lt;h2 class="western" style="line- height: 200%;"&gt;  &lt;strong&gt;</w:t>
              <w:tab/>
              <w:t>&lt;span style="font-family: &amp;quot;Times New Roman&amp;quot;, serif;"&gt;</w:t>
              <w:tab/>
              <w:t>&lt;span style="font-size: medium;"&gt;</w:t>
              <w:tab/>
              <w:t>&lt;strong&gt;VOTO&lt;/strong&gt;</w:t>
              <w:tab/>
              <w:t>&lt;/span&gt;</w:t>
            </w:r>
          </w:p>
          <w:p>
            <w:pPr>
              <w:pStyle w:val="TableParagraph"/>
              <w:spacing w:line="208" w:lineRule="auto" w:before="0"/>
              <w:rPr>
                <w:sz w:val="20"/>
              </w:rPr>
            </w:pPr>
            <w:r>
              <w:rPr>
                <w:sz w:val="20"/>
              </w:rPr>
              <w:t>&lt;/span&gt; &lt;/strong&gt;&lt;/h2&gt;&lt;p style="line-height: 200%;" align="justify"&gt;&lt;span style="font- family: &amp;quot;Times New Roman&amp;quot;, serif;"&gt; &lt;span style="font-size: medium;"&gt;</w:t>
            </w:r>
          </w:p>
          <w:p>
            <w:pPr>
              <w:pStyle w:val="TableParagraph"/>
              <w:spacing w:line="190" w:lineRule="exact" w:before="0"/>
              <w:rPr>
                <w:sz w:val="20"/>
              </w:rPr>
            </w:pPr>
            <w:r>
              <w:rPr>
                <w:sz w:val="20"/>
              </w:rPr>
              <w:t>&lt;span style="font-weight: normal;"&gt;Presentes os pressupostos de admissibilidade,&lt;/span&gt;</w:t>
            </w:r>
          </w:p>
          <w:p>
            <w:pPr>
              <w:pStyle w:val="TableParagraph"/>
              <w:tabs>
                <w:tab w:pos="883" w:val="left" w:leader="none"/>
                <w:tab w:pos="3596" w:val="left" w:leader="none"/>
                <w:tab w:pos="4243" w:val="left" w:leader="none"/>
              </w:tabs>
              <w:spacing w:line="208" w:lineRule="auto" w:before="8"/>
              <w:ind w:right="569"/>
              <w:rPr>
                <w:sz w:val="20"/>
              </w:rPr>
            </w:pPr>
            <w:r>
              <w:rPr>
                <w:sz w:val="20"/>
              </w:rPr>
              <w:t>&lt;/span&gt;&lt;/span&gt; &lt;strong&gt; &lt;span style="font-family: &amp;quot;Times New Roman&amp;quot;, serif;"&gt;</w:t>
              <w:tab/>
              <w:t>&lt;span style="font-size: medium;"&gt;</w:t>
              <w:tab/>
              <w:t>&lt;span style="font-weight: normal;"&gt;conheço do recurso&lt;/span&gt;</w:t>
              <w:tab/>
              <w:t>&lt;/span&gt; &lt;/span&gt;&lt;/strong&gt;&lt;span </w:t>
            </w:r>
            <w:r>
              <w:rPr>
                <w:spacing w:val="-2"/>
                <w:sz w:val="20"/>
              </w:rPr>
              <w:t>style="font- </w:t>
            </w:r>
            <w:r>
              <w:rPr>
                <w:sz w:val="20"/>
              </w:rPr>
              <w:t>family: &amp;quot;Times New Roman&amp;quot;, serif;"&gt; &lt;span style="font-size: medium;"&gt;</w:t>
            </w:r>
          </w:p>
          <w:p>
            <w:pPr>
              <w:pStyle w:val="TableParagraph"/>
              <w:spacing w:line="208" w:lineRule="auto" w:before="0"/>
              <w:ind w:right="264"/>
              <w:rPr>
                <w:sz w:val="20"/>
              </w:rPr>
            </w:pPr>
            <w:r>
              <w:rPr>
                <w:sz w:val="20"/>
              </w:rPr>
              <w:t>&lt;span style="font-weight: normal;"&gt;.&lt;/span&gt; &lt;/span&gt;&lt;/span&gt;&lt;/p&gt;&lt;p style="line-height: 200%;" align="justify"&gt;&lt;span style="font-family: &amp;quot;Times New Roman&amp;quot;, serif;"&gt;</w:t>
            </w:r>
          </w:p>
          <w:p>
            <w:pPr>
              <w:pStyle w:val="TableParagraph"/>
              <w:tabs>
                <w:tab w:pos="2673" w:val="left" w:leader="none"/>
                <w:tab w:pos="3288" w:val="left" w:leader="none"/>
                <w:tab w:pos="6033" w:val="left" w:leader="none"/>
                <w:tab w:pos="6419" w:val="left" w:leader="none"/>
              </w:tabs>
              <w:spacing w:line="208" w:lineRule="auto" w:before="0"/>
              <w:ind w:right="233"/>
              <w:rPr>
                <w:sz w:val="20"/>
              </w:rPr>
            </w:pPr>
            <w:r>
              <w:rPr>
                <w:sz w:val="20"/>
              </w:rPr>
              <w:t>&lt;span style="font-size: medium;"&gt;</w:t>
              <w:tab/>
              <w:t>&lt;span style="font-weight: normal;"&gt;A controvérsia consiste em definir se o indeferimento da petição inicial observou o procedimento delineado pelo&lt;/span&gt; &lt;/span&gt;&lt;/span&gt; &lt;strong&gt; &lt;span style="font-family: &amp;quot;Times New Roman&amp;quot;, serif;"&gt;</w:t>
              <w:tab/>
              <w:t>&lt;span style="font-size: medium;"&gt;</w:t>
              <w:tab/>
              <w:t>&lt;span style="font- weight: normal;"&gt;Superior Tribunal de Justiça no Tema 1.198&lt;/span&gt;</w:t>
              <w:tab/>
              <w:t>&lt;/span&gt;</w:t>
            </w:r>
          </w:p>
          <w:p>
            <w:pPr>
              <w:pStyle w:val="TableParagraph"/>
              <w:tabs>
                <w:tab w:pos="2682"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ou se houve&lt;/span&gt;</w:t>
            </w:r>
          </w:p>
          <w:p>
            <w:pPr>
              <w:pStyle w:val="TableParagraph"/>
              <w:tabs>
                <w:tab w:pos="883" w:val="left" w:leader="none"/>
                <w:tab w:pos="1952" w:val="left" w:leader="none"/>
                <w:tab w:pos="3851" w:val="left" w:leader="none"/>
                <w:tab w:pos="4243" w:val="left" w:leader="none"/>
                <w:tab w:pos="7211" w:val="left" w:leader="none"/>
              </w:tabs>
              <w:spacing w:line="208" w:lineRule="auto" w:before="0"/>
              <w:ind w:right="348"/>
              <w:rPr>
                <w:sz w:val="20"/>
              </w:rPr>
            </w:pPr>
            <w:r>
              <w:rPr>
                <w:sz w:val="20"/>
              </w:rPr>
              <w:t>&lt;/span&gt;&lt;/span&gt; &lt;strong&gt; &lt;span style="font-family: &amp;quot;Times New Roman&amp;quot;, serif;"&gt;</w:t>
              <w:tab/>
              <w:t>&lt;span style="font-size: medium;"&gt;</w:t>
              <w:tab/>
              <w:t>&lt;span style="font-weight: normal;"&gt;vício processual&lt;/span&gt;</w:t>
              <w:tab/>
              <w:t>&lt;/span&gt; &lt;/span&gt;&lt;/strong&gt; &lt;strong&gt; &lt;span style="font-family: &amp;quot;Times New Roman&amp;quot;, serif;"&gt;</w:t>
              <w:tab/>
              <w:t>&lt;span style="font-size: medium;"&gt;</w:t>
              <w:tab/>
              <w:t>&lt;em&gt;</w:t>
            </w:r>
          </w:p>
          <w:p>
            <w:pPr>
              <w:pStyle w:val="TableParagraph"/>
              <w:tabs>
                <w:tab w:pos="6057" w:val="left" w:leader="none"/>
                <w:tab w:pos="6846" w:val="left" w:leader="none"/>
              </w:tabs>
              <w:spacing w:line="190" w:lineRule="exact" w:before="0"/>
              <w:rPr>
                <w:sz w:val="20"/>
              </w:rPr>
            </w:pPr>
            <w:r>
              <w:rPr>
                <w:sz w:val="20"/>
              </w:rPr>
              <w:t>&lt;span style="font-weight: normal;"&gt;(error in procedendo&lt;/span&gt;</w:t>
              <w:tab/>
              <w:t>&lt;/em&gt;</w:t>
              <w:tab/>
              <w:t>&lt;/span&gt;</w:t>
            </w:r>
          </w:p>
          <w:p>
            <w:pPr>
              <w:pStyle w:val="TableParagraph"/>
              <w:tabs>
                <w:tab w:pos="883" w:val="left" w:leader="none"/>
                <w:tab w:pos="1906" w:val="left" w:leader="none"/>
                <w:tab w:pos="4243" w:val="left" w:leader="none"/>
                <w:tab w:pos="4484" w:val="left" w:leader="none"/>
                <w:tab w:pos="5355" w:val="left" w:leader="none"/>
              </w:tabs>
              <w:spacing w:line="208" w:lineRule="auto" w:before="8"/>
              <w:ind w:right="27"/>
              <w:rPr>
                <w:sz w:val="20"/>
              </w:rPr>
            </w:pPr>
            <w:r>
              <w:rPr>
                <w:sz w:val="20"/>
              </w:rPr>
              <w:t>&lt;/span&gt;&lt;/strong&gt;&lt;strong&gt; &lt;span style="font-family: &amp;quot;Times New Roman&amp;quot;, serif;"&gt;</w:t>
              <w:tab/>
              <w:t>&lt;span style="font-size: medium;"&gt;</w:t>
              <w:tab/>
              <w:t>&lt;span style="font-weight: normal;"&gt;)&lt;/span&gt;</w:t>
              <w:tab/>
              <w:t>&lt;/span&gt; &lt;/span&gt;&lt;/strong&gt;&lt;span style="font-family: &amp;quot;Times </w:t>
            </w:r>
            <w:r>
              <w:rPr>
                <w:spacing w:val="-6"/>
                <w:sz w:val="20"/>
              </w:rPr>
              <w:t>New </w:t>
            </w:r>
            <w:r>
              <w:rPr>
                <w:sz w:val="20"/>
              </w:rPr>
              <w:t>Roman&amp;quot;, serif;"&gt;  &lt;span style="font-size: medium;"&gt;</w:t>
              <w:tab/>
              <w:t>&lt;span style="font-weight: normal;"&gt;apto a ensejar a anulação da sentença.&lt;/span&gt; &lt;/span&gt;&lt;/span&gt;&lt;/p&gt;&lt;p style="line-height: 200%;" align="justify"&gt;&lt;span style="font-family: &amp;quot;Times New Roman&amp;quot;, serif;"&gt;  &lt;span style="font-size: medium;"&gt;</w:t>
              <w:tab/>
              <w:t>&lt;span style="font-weight: normal;"&gt;O STJ, ao firmar a tese no&lt;/span&gt; &lt;/span&gt;&lt;/span&gt; &lt;strong&gt; &lt;span style="font- family: &amp;quot;Times New Roman&amp;quot;, serif;"&gt;</w:t>
              <w:tab/>
              <w:t>&lt;span style="font-size: medium;"&gt;</w:t>
            </w:r>
          </w:p>
          <w:p>
            <w:pPr>
              <w:pStyle w:val="TableParagraph"/>
              <w:tabs>
                <w:tab w:pos="5890" w:val="left" w:leader="none"/>
              </w:tabs>
              <w:spacing w:line="190" w:lineRule="exact" w:before="0"/>
              <w:rPr>
                <w:sz w:val="20"/>
              </w:rPr>
            </w:pPr>
            <w:r>
              <w:rPr>
                <w:sz w:val="20"/>
              </w:rPr>
              <w:t>&lt;span style="font-weight: normal;"&gt;REsp 2.021.655/DF&lt;/span&gt;</w:t>
              <w:tab/>
              <w:t>&lt;/span&gt;</w:t>
            </w:r>
          </w:p>
          <w:p>
            <w:pPr>
              <w:pStyle w:val="TableParagraph"/>
              <w:tabs>
                <w:tab w:pos="2682" w:val="left" w:leader="none"/>
                <w:tab w:pos="4021" w:val="left" w:leader="none"/>
              </w:tabs>
              <w:spacing w:line="208" w:lineRule="auto" w:before="9"/>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assentou que, constatados indícios de litigância abusiva, o magistrado pode exigir a emenda da inicial,&lt;/span&gt; &lt;/span&gt;&lt;/span&gt; &lt;span style="font-family: &amp;quot;Times New Roman&amp;quot;, serif;"&gt;  &lt;span style="font-size: medium;"&gt;</w:t>
              <w:tab/>
              <w:t>&lt;strong&gt;desde que fundamente a decisão e observe a razoabilidade do caso concreto&lt;/strong&gt; &lt;/span&gt;&lt;/span&gt;&lt;span style="font- family: &amp;quot;Times New Roman&amp;quot;, serif;"&gt; &lt;span style="font-size: medium;"&gt;</w:t>
            </w:r>
          </w:p>
          <w:p>
            <w:pPr>
              <w:pStyle w:val="TableParagraph"/>
              <w:tabs>
                <w:tab w:pos="2682" w:val="left" w:leader="none"/>
              </w:tabs>
              <w:spacing w:line="208" w:lineRule="auto" w:before="0"/>
              <w:ind w:right="159"/>
              <w:rPr>
                <w:sz w:val="20"/>
              </w:rPr>
            </w:pPr>
            <w:r>
              <w:rPr>
                <w:sz w:val="20"/>
              </w:rPr>
              <w:t>&lt;span style="font-weight: normal;"&gt;, garantindo à parte o direito de manifestação prévia e a autenticidade da postulação.&lt;/span&gt; &lt;/span&gt;&lt;/span&gt;&lt;/p&gt;&lt;p style="line-height: 200%;" align="justify"&gt;&lt;span style="font-family: &amp;quot;Times New Roman&amp;quot;, serif;"&gt; &lt;span style="font-size: medium;"&gt;</w:t>
              <w:tab/>
              <w:t>&lt;span style="font-weight: normal;"&gt;No caso, embora tenha sido determinada a emenda, a sentença indeferitória não indicou, de forma suficiente,&lt;/span&gt; &lt;/span&gt;&lt;/span&gt; &lt;strong&gt; &lt;span style="font-family: &amp;quot;Times </w:t>
            </w:r>
            <w:r>
              <w:rPr>
                <w:spacing w:val="-6"/>
                <w:sz w:val="20"/>
              </w:rPr>
              <w:t>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217" w:val="left" w:leader="none"/>
                <w:tab w:pos="5577" w:val="left" w:leader="none"/>
              </w:tabs>
              <w:spacing w:line="208" w:lineRule="auto" w:before="26"/>
              <w:ind w:right="336"/>
              <w:rPr>
                <w:sz w:val="20"/>
              </w:rPr>
            </w:pPr>
            <w:r>
              <w:rPr>
                <w:sz w:val="20"/>
              </w:rPr>
              <w:t>Roman&amp;quot;, serif;"&gt;</w:t>
              <w:tab/>
              <w:t>&lt;span style="font-size: medium;"&gt;</w:t>
              <w:tab/>
              <w:t>&lt;span style="font-weight: normal;"&gt;as razões que tornariam indispensáveis os documentos exigidos&lt;/span&gt;</w:t>
            </w:r>
          </w:p>
          <w:p>
            <w:pPr>
              <w:pStyle w:val="TableParagraph"/>
              <w:tabs>
                <w:tab w:pos="1327" w:val="left" w:leader="none"/>
                <w:tab w:pos="4021" w:val="left" w:leader="none"/>
                <w:tab w:pos="5483" w:val="left" w:leader="none"/>
                <w:tab w:pos="7167" w:val="left" w:leader="none"/>
              </w:tabs>
              <w:spacing w:line="208" w:lineRule="auto" w:before="0"/>
              <w:ind w:right="108"/>
              <w:rPr>
                <w:sz w:val="20"/>
              </w:rPr>
            </w:pPr>
            <w:r>
              <w:rPr>
                <w:sz w:val="20"/>
              </w:rPr>
              <w:t>&lt;/span&gt; &lt;/span&gt;&lt;/strong&gt;&lt;span style="font-family: &amp;quot;Times New Roman&amp;quot;, serif;"&gt;  &lt;span style="font-size: medium;"&gt;</w:t>
              <w:tab/>
              <w:t>&lt;span style="font-weight: normal;"&gt;antes da instrução, tampouco justificou a antecipação do ônus probatório. A ausência de motivação proporcional e específica caracteriza&lt;/span&gt; &lt;/span&gt;&lt;/span&gt; &lt;strong&gt; &lt;span style="font-family: &amp;quot;Times New Roman&amp;quot;, serif;"&gt;</w:t>
              <w:tab/>
              <w:t>&lt;span style="font-size: medium;"&gt;</w:t>
              <w:tab/>
              <w:t>&lt;span style="font-weight: normal;"&gt;error in procedendo&lt;/span&gt;</w:t>
              <w:tab/>
              <w:t>&lt;/span&gt;</w:t>
            </w:r>
          </w:p>
          <w:p>
            <w:pPr>
              <w:pStyle w:val="TableParagraph"/>
              <w:tabs>
                <w:tab w:pos="2682"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pois frustra a correta aplicação do método fixado pelo STJ.&lt;/span&gt; &lt;/span&gt;&lt;/span&gt;&lt;/p&gt;&lt;p style="line-height: 200%;" align="justify"&gt;&lt;span style="font-family: &amp;quot;Times New Roman&amp;quot;, serif;"&gt;</w:t>
            </w:r>
          </w:p>
          <w:p>
            <w:pPr>
              <w:pStyle w:val="TableParagraph"/>
              <w:tabs>
                <w:tab w:pos="1216" w:val="left" w:leader="none"/>
                <w:tab w:pos="2673" w:val="left" w:leader="none"/>
                <w:tab w:pos="3288" w:val="left" w:leader="none"/>
                <w:tab w:pos="3851" w:val="left" w:leader="none"/>
                <w:tab w:pos="4974" w:val="left" w:leader="none"/>
                <w:tab w:pos="6033" w:val="left" w:leader="none"/>
                <w:tab w:pos="7096" w:val="left" w:leader="none"/>
                <w:tab w:pos="7211" w:val="left" w:leader="none"/>
              </w:tabs>
              <w:spacing w:line="208" w:lineRule="auto" w:before="0"/>
              <w:ind w:right="213"/>
              <w:rPr>
                <w:sz w:val="20"/>
              </w:rPr>
            </w:pPr>
            <w:r>
              <w:rPr>
                <w:sz w:val="20"/>
              </w:rPr>
              <w:t>&lt;span style="font-size: medium;"&gt;</w:t>
              <w:tab/>
              <w:t>&lt;span style="font-weight: normal;"&gt;Ressalte-se </w:t>
            </w:r>
            <w:r>
              <w:rPr>
                <w:spacing w:val="-4"/>
                <w:sz w:val="20"/>
              </w:rPr>
              <w:t>que, </w:t>
            </w:r>
            <w:r>
              <w:rPr>
                <w:sz w:val="20"/>
              </w:rPr>
              <w:t>conforme os&lt;/span&gt; &lt;/span&gt;&lt;/span&gt; &lt;strong&gt; &lt;span style="font-family: &amp;quot;Times New Roman&amp;quot;, serif;"&gt;</w:t>
              <w:tab/>
              <w:t>&lt;span style="font-size: medium;"&gt;</w:t>
              <w:tab/>
              <w:t>&lt;span style="font- weight: normal;"&gt;arts. 370 e 139, VI, do CPC&lt;/span&gt;</w:t>
              <w:tab/>
              <w:t>&lt;/span&gt; &lt;/span&gt;&lt;/strong&gt;&lt;span style="font-family: &amp;quot;Times New Roman&amp;quot;, serif;"&gt; &lt;span style="font-size: medium;"&gt;</w:t>
              <w:tab/>
              <w:t>&lt;span style="font-weight: normal;"&gt;, o juiz possui poderes instrutórios para determinar a produção de provas e diligências necessárias à adequada formação de seu convencimento.&lt;/span&gt; &lt;/span&gt;&lt;/span&gt;&lt;/p&gt;&lt;p style="line-height: 200%;" align="justify"&gt;&lt;span style="font-family: &amp;quot;Times New Roman&amp;quot;, serif;"&gt; &lt;span style="font-size: medium;"&gt;</w:t>
              <w:tab/>
              <w:t>&lt;span style="font-weight: normal;"&gt;Antes de extinguir o processo, poderia ter&lt;/span&gt; &lt;/span&gt;&lt;/span&gt; &lt;strong&gt; &lt;span style="font-family: &amp;quot;Times New Roman&amp;quot;, serif;"&gt;</w:t>
              <w:tab/>
              <w:t>&lt;span style="font-size: medium;"&gt;</w:t>
              <w:tab/>
              <w:tab/>
              <w:t>&lt;span style="font-weight: normal;"&gt;perquirido informações complementares&lt;/span&gt;</w:t>
              <w:tab/>
              <w:t>&lt;/span&gt;</w:t>
            </w:r>
          </w:p>
          <w:p>
            <w:pPr>
              <w:pStyle w:val="TableParagraph"/>
              <w:tabs>
                <w:tab w:pos="2217" w:val="left" w:leader="none"/>
                <w:tab w:pos="2682" w:val="left" w:leader="none"/>
                <w:tab w:pos="2884" w:val="left" w:leader="none"/>
                <w:tab w:pos="4484" w:val="left" w:leader="none"/>
                <w:tab w:pos="5577" w:val="left" w:leader="none"/>
                <w:tab w:pos="6989"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requisitado documentos ou intimado a parte para esclarecer pontos específicos, em atenção aos princípios da&lt;/span&gt; &lt;/span&gt;&lt;/span&gt; &lt;strong&gt; &lt;span style="font-family: &amp;quot;Times New Roman&amp;quot;, serif;"&gt;</w:t>
              <w:tab/>
              <w:t>&lt;span style="font-size: medium;"&gt;</w:t>
              <w:tab/>
              <w:t>&lt;span style="font-weight: normal;"&gt;cooperação&lt;/span&gt;</w:t>
              <w:tab/>
              <w:tab/>
              <w:t>&lt;/span&gt; &lt;/span&gt;&lt;/strong&gt;&lt;span style="font-family: &amp;quot;Times New Roman&amp;quot;, serif;"&gt;  &lt;span style="font-size: medium;"&gt;</w:t>
              <w:tab/>
              <w:t>&lt;span style="font-weight: normal;"&gt;e da&lt;/span&gt; &lt;/span&gt;&lt;/span&gt; &lt;strong&gt; &lt;span style="font- family: &amp;quot;Times New Roman&amp;quot;, serif;"&gt;</w:t>
              <w:tab/>
              <w:t>&lt;span style="font-size: medium;"&gt;</w:t>
            </w:r>
          </w:p>
          <w:p>
            <w:pPr>
              <w:pStyle w:val="TableParagraph"/>
              <w:tabs>
                <w:tab w:pos="7091" w:val="left" w:leader="none"/>
              </w:tabs>
              <w:spacing w:line="190" w:lineRule="exact" w:before="0"/>
              <w:rPr>
                <w:sz w:val="20"/>
              </w:rPr>
            </w:pPr>
            <w:r>
              <w:rPr>
                <w:sz w:val="20"/>
              </w:rPr>
              <w:t>&lt;span style="font-weight: normal;"&gt;primazia do julgamento de mérito&lt;/span&gt;</w:t>
              <w:tab/>
              <w:t>&lt;/span&gt;</w:t>
            </w:r>
          </w:p>
          <w:p>
            <w:pPr>
              <w:pStyle w:val="TableParagraph"/>
              <w:tabs>
                <w:tab w:pos="2682" w:val="left" w:leader="none"/>
              </w:tabs>
              <w:spacing w:line="208" w:lineRule="auto" w:before="8"/>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normal;"&gt;.&lt;/span&gt;</w:t>
            </w:r>
          </w:p>
          <w:p>
            <w:pPr>
              <w:pStyle w:val="TableParagraph"/>
              <w:spacing w:line="190" w:lineRule="exact" w:before="0"/>
              <w:rPr>
                <w:sz w:val="20"/>
              </w:rPr>
            </w:pPr>
            <w:r>
              <w:rPr>
                <w:sz w:val="20"/>
              </w:rPr>
              <w:t>&lt;/span&gt;&lt;/span&gt;&lt;/p&gt;&lt;p style="font-weight: normal; line-height: 200%;" align="justify"&gt;</w:t>
            </w:r>
          </w:p>
          <w:p>
            <w:pPr>
              <w:pStyle w:val="TableParagraph"/>
              <w:tabs>
                <w:tab w:pos="1216" w:val="left" w:leader="none"/>
                <w:tab w:pos="2217" w:val="left" w:leader="none"/>
                <w:tab w:pos="4674" w:val="left" w:leader="none"/>
                <w:tab w:pos="5355" w:val="left" w:leader="none"/>
                <w:tab w:pos="5577" w:val="left" w:leader="none"/>
                <w:tab w:pos="6090" w:val="left" w:leader="none"/>
              </w:tabs>
              <w:spacing w:line="208" w:lineRule="auto" w:before="9"/>
              <w:ind w:right="46"/>
              <w:rPr>
                <w:sz w:val="20"/>
              </w:rPr>
            </w:pPr>
            <w:r>
              <w:rPr>
                <w:sz w:val="20"/>
              </w:rPr>
              <w:t>&lt;span style="font-family: &amp;quot;Times New Roman&amp;quot;, serif;"&gt;</w:t>
              <w:tab/>
              <w:t>&lt;span style="font-size: medium;"&gt;A jurisprudência desta Corte já consolidou entendimento no mesmo sentido:&lt;/span&gt; &lt;/span&gt;&lt;/p&gt;&lt;blockquote style="line-height: 200%; text-align: justify; margin-left: 8cm; background: transparent; page-break-before: auto;"&gt;&lt;strong&gt;“&lt;span style="font-family: &amp;quot;Times New Roman&amp;quot;, serif;"&gt; &lt;span style="font-size: medium;"&gt;</w:t>
              <w:tab/>
              <w:t>&lt;span style="font-weight: normal;"&gt;O indeferimento liminar da petição inicial, em razão da possível prática de litigância abusiva, configura erro de método, ao afrontar o direito de a parte autora não ser surpreendida por decisão judicial (...). Recurso conhecido e provido, anulando-se a sentença recorrida, a fim de que os autos retornem ao juízo de primeiro grau, que deverá aplicar o método fixado na tese vinculante do Tema 1.198 do STJ.”&amp;#160;&lt;/span&gt; &lt;/span&gt;&lt;/span&gt;&lt;/strong&gt;&lt;span style="font-family: &amp;quot;Times New Roman&amp;quot;, serif;"&gt;  &lt;span style="font-size: medium;"&gt;</w:t>
              <w:tab/>
              <w:t>&lt;span style="font-weight: normal;"&gt;(TJCE, Apelação Cível nº 3000837-92.2025.8.06.0031, Rel. Juiz Convocado&lt;/span&gt; &lt;/span&gt;&lt;/span&gt; &lt;strong&gt; &lt;span style="font-family: &amp;quot;Times </w:t>
            </w:r>
            <w:r>
              <w:rPr>
                <w:spacing w:val="-6"/>
                <w:sz w:val="20"/>
              </w:rPr>
              <w:t>New </w:t>
            </w:r>
            <w:r>
              <w:rPr>
                <w:sz w:val="20"/>
              </w:rPr>
              <w:t>Roman&amp;quot;, serif;"&gt;</w:t>
              <w:tab/>
              <w:t>&lt;span style="font-size: medium;"&gt;</w:t>
              <w:tab/>
              <w:tab/>
              <w:t>&lt;span style="font-weight: normal;"&gt;Mantovanni Colares Cavalcante&lt;/span&gt;</w:t>
              <w:tab/>
              <w:t>&lt;/span&gt; &lt;/span&gt;&lt;/strong&gt;&lt;span style="font-family: &amp;quot;Times New Roman&amp;quot;, serif;"&gt; &lt;span style="font-size: medium;"&gt;</w:t>
              <w:tab/>
              <w:t>&lt;span style="font-weight: normal;"&gt;, 5ª Câmara de Direito Privado, j.</w:t>
            </w:r>
          </w:p>
          <w:p>
            <w:pPr>
              <w:pStyle w:val="TableParagraph"/>
              <w:tabs>
                <w:tab w:pos="883" w:val="left" w:leader="none"/>
              </w:tabs>
              <w:spacing w:line="208" w:lineRule="auto" w:before="0"/>
              <w:ind w:right="233"/>
              <w:rPr>
                <w:sz w:val="20"/>
              </w:rPr>
            </w:pPr>
            <w:r>
              <w:rPr>
                <w:sz w:val="20"/>
              </w:rPr>
              <w:t>15.08.2025)&lt;/span&gt; &lt;/span&gt;&lt;/span&gt;&lt;/blockquote&gt;&lt;p style="font-weight: normal; line- height: 200%;" align="justify"&gt; &lt;span style="font-family: &amp;quot;Times New </w:t>
            </w:r>
            <w:r>
              <w:rPr>
                <w:spacing w:val="-2"/>
                <w:sz w:val="20"/>
              </w:rPr>
              <w:t>Roman&amp;quot;, </w:t>
            </w:r>
            <w:r>
              <w:rPr>
                <w:sz w:val="20"/>
              </w:rPr>
              <w:t>serif;"&gt;</w:t>
              <w:tab/>
              <w:t>&lt;span style="font-size: medium;"&gt;E, no mesmo sentido:&lt;/span&gt;</w:t>
            </w:r>
          </w:p>
          <w:p>
            <w:pPr>
              <w:pStyle w:val="TableParagraph"/>
              <w:tabs>
                <w:tab w:pos="1327" w:val="left" w:leader="none"/>
                <w:tab w:pos="5483" w:val="left" w:leader="none"/>
                <w:tab w:pos="6665" w:val="left" w:leader="none"/>
                <w:tab w:pos="6989" w:val="left" w:leader="none"/>
              </w:tabs>
              <w:spacing w:line="208" w:lineRule="auto" w:before="0"/>
              <w:ind w:right="141"/>
              <w:rPr>
                <w:sz w:val="20"/>
              </w:rPr>
            </w:pPr>
            <w:r>
              <w:rPr>
                <w:sz w:val="20"/>
              </w:rPr>
              <w:t>&lt;/span&gt;&lt;/p&gt;&lt;blockquote style="line-height: 200%; text-align: justify; margin-left: 8cm; background: transparent; page-break-before: auto;"&gt;&lt;strong&gt;“&lt;span style="font-family: &amp;quot;Times New Roman&amp;quot;, serif;"&gt;  &lt;span style="font-size: medium;"&gt;</w:t>
              <w:tab/>
              <w:t>&lt;span style="font-weight: normal;"&gt;Constatados indícios de litigância abusiva, o juiz deve determinar a emenda da inicial,&lt;/span&gt; &lt;/span&gt;&lt;/span&gt;&lt;/strong&gt; &lt;strong&gt; &lt;span style="font-family: &amp;quot;Times New Roman&amp;quot;, serif;"&gt;</w:t>
              <w:tab/>
              <w:t>&lt;span style="font-size: medium;"&gt;</w:t>
              <w:tab/>
              <w:t>&lt;strong&gt;observando a razoabilidade e a proporcionalidade, sob pena de nulidade da sentença por error in procedendo. É vedado o indeferimento da petição </w:t>
            </w:r>
            <w:r>
              <w:rPr>
                <w:spacing w:val="-3"/>
                <w:sz w:val="20"/>
              </w:rPr>
              <w:t>inicial </w:t>
            </w:r>
            <w:r>
              <w:rPr>
                <w:sz w:val="20"/>
              </w:rPr>
              <w:t>com base em critérios genéricos ou sem motivação adequada.&lt;/strong&gt;</w:t>
              <w:tab/>
              <w:t>&lt;/span&gt;</w:t>
            </w:r>
          </w:p>
          <w:p>
            <w:pPr>
              <w:pStyle w:val="TableParagraph"/>
              <w:tabs>
                <w:tab w:pos="883" w:val="left" w:leader="none"/>
                <w:tab w:pos="4243" w:val="left" w:leader="none"/>
              </w:tabs>
              <w:spacing w:line="208" w:lineRule="auto" w:before="0"/>
              <w:ind w:right="508"/>
              <w:rPr>
                <w:sz w:val="20"/>
              </w:rPr>
            </w:pPr>
            <w:r>
              <w:rPr>
                <w:sz w:val="20"/>
              </w:rPr>
              <w:t>&lt;/span&gt;&lt;/strong&gt;&lt;strong&gt; &lt;span style="font-family: &amp;quot;Times New </w:t>
            </w:r>
            <w:r>
              <w:rPr>
                <w:spacing w:val="-2"/>
                <w:sz w:val="20"/>
              </w:rPr>
              <w:t>Roman&amp;quot;, </w:t>
            </w:r>
            <w:r>
              <w:rPr>
                <w:sz w:val="20"/>
              </w:rPr>
              <w:t>serif;"&gt;</w:t>
              <w:tab/>
              <w:t>&lt;span style="font-size: medium;"&gt;</w:t>
              <w:tab/>
              <w:t>&lt;span style="font-weight: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3005526-75.2025.8.06.0001</w:t>
            </w:r>
          </w:p>
        </w:tc>
      </w:tr>
      <w:tr>
        <w:trPr>
          <w:trHeight w:val="90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540" w:val="left" w:leader="none"/>
                <w:tab w:pos="2673" w:val="left" w:leader="none"/>
                <w:tab w:pos="5363" w:val="left" w:leader="none"/>
                <w:tab w:pos="6033" w:val="left" w:leader="none"/>
                <w:tab w:pos="6989" w:val="left" w:leader="none"/>
              </w:tabs>
              <w:spacing w:line="208" w:lineRule="auto" w:before="26"/>
              <w:ind w:right="92"/>
              <w:rPr>
                <w:sz w:val="20"/>
              </w:rPr>
            </w:pPr>
            <w:r>
              <w:rPr>
                <w:sz w:val="20"/>
              </w:rPr>
              <w:t>normal;"&gt;”&amp;#160;&lt;/span&gt;</w:t>
              <w:tab/>
              <w:t>&lt;/span&gt; &lt;/span&gt;&lt;/strong&gt;&lt;span style="font-family: &amp;quot;Times New Roman&amp;quot;, serif;"&gt;  &lt;span style="font-size: medium;"&gt;</w:t>
              <w:tab/>
              <w:t>&lt;span style="font-weight: normal;"&gt;(TJCE, Apelação Cível nº 3001124-45.2025.8.06.0001, Rel. Juiz Convocado&lt;/span&gt; &lt;/span&gt;&lt;/span&gt; &lt;strong&gt; &lt;span style="font-family: &amp;quot;Times New Roman&amp;quot;, serif;"&gt;</w:t>
              <w:tab/>
              <w:tab/>
              <w:t>&lt;span style="font-size: medium;"&gt;</w:t>
              <w:tab/>
              <w:t>&lt;span style="font- weight: normal;"&gt;Mantovanni Colares Cavalcante&lt;/span&gt;</w:t>
              <w:tab/>
              <w:t>&lt;/span&gt;</w:t>
            </w:r>
          </w:p>
          <w:p>
            <w:pPr>
              <w:pStyle w:val="TableParagraph"/>
              <w:tabs>
                <w:tab w:pos="2682"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5ª Câmara de Direito Privado, j. 19.06.2025)&lt;/span&gt;  &lt;/span&gt;&lt;/span&gt;&lt;/blockquote&gt;&lt;p style="line-height: 200%;" align="justify"&gt;&lt;span style="font-family: &amp;quot;Times New Roman&amp;quot;, serif;"&gt;</w:t>
            </w:r>
          </w:p>
          <w:p>
            <w:pPr>
              <w:pStyle w:val="TableParagraph"/>
              <w:tabs>
                <w:tab w:pos="2217" w:val="left" w:leader="none"/>
                <w:tab w:pos="3288" w:val="left" w:leader="none"/>
                <w:tab w:pos="3318" w:val="left" w:leader="none"/>
                <w:tab w:pos="5577" w:val="left" w:leader="none"/>
                <w:tab w:pos="6989" w:val="left" w:leader="none"/>
              </w:tabs>
              <w:spacing w:line="208" w:lineRule="auto" w:before="0"/>
              <w:ind w:right="19"/>
              <w:rPr>
                <w:sz w:val="20"/>
              </w:rPr>
            </w:pPr>
            <w:r>
              <w:rPr>
                <w:sz w:val="20"/>
              </w:rPr>
              <w:t>&lt;span style="font-size: medium;"&gt;</w:t>
              <w:tab/>
              <w:t>&lt;span style="font-weight: normal;"&gt;Dessa forma, o indeferimento prematuro da inicial violou o devido processo legal, sendo imprescindível a anulação da sentença, com retorno dos autos à origem para a correta aplicação do </w:t>
            </w:r>
            <w:r>
              <w:rPr>
                <w:spacing w:val="-3"/>
                <w:sz w:val="20"/>
              </w:rPr>
              <w:t>método </w:t>
            </w:r>
            <w:r>
              <w:rPr>
                <w:sz w:val="20"/>
              </w:rPr>
              <w:t>do&lt;/span&gt; &lt;/span&gt;&lt;/span&gt; &lt;strong&gt; &lt;span style="font-family: &amp;quot;Times New Roman&amp;quot;, serif;"&gt;</w:t>
              <w:tab/>
              <w:t>&lt;span style="font-size: medium;"&gt;</w:t>
              <w:tab/>
              <w:t>&lt;span style="font-weight: normal;"&gt;Tema 1.198/STJ&lt;/span&gt;</w:t>
              <w:tab/>
              <w:tab/>
              <w:t>&lt;/span&gt; &lt;/span&gt;&lt;/strong&gt;&lt;span style="font-family: &amp;quot;Times New Roman&amp;quot;, serif;"&gt;  &lt;span style="font-size: medium;"&gt;</w:t>
              <w:tab/>
              <w:t>&lt;span style="font-weight: normal;"&gt;.&lt;/span&gt; &lt;/span&gt;&lt;/span&gt;&lt;/p&gt;&lt;h2 class="western"</w:t>
            </w:r>
          </w:p>
          <w:p>
            <w:pPr>
              <w:pStyle w:val="TableParagraph"/>
              <w:tabs>
                <w:tab w:pos="2328" w:val="left" w:leader="none"/>
                <w:tab w:pos="3550" w:val="left" w:leader="none"/>
              </w:tabs>
              <w:spacing w:line="208" w:lineRule="auto" w:before="0"/>
              <w:ind w:right="785"/>
              <w:rPr>
                <w:sz w:val="20"/>
              </w:rPr>
            </w:pPr>
            <w:r>
              <w:rPr>
                <w:sz w:val="20"/>
              </w:rPr>
              <w:t>style="line-height: 200%;"&gt;  &lt;strong&gt;</w:t>
              <w:tab/>
              <w:t>&lt;span style="font-family: &amp;quot;Times </w:t>
            </w:r>
            <w:r>
              <w:rPr>
                <w:spacing w:val="-6"/>
                <w:sz w:val="20"/>
              </w:rPr>
              <w:t>New </w:t>
            </w:r>
            <w:r>
              <w:rPr>
                <w:sz w:val="20"/>
              </w:rPr>
              <w:t>Roman&amp;quot;, serif;"&gt;</w:t>
              <w:tab/>
              <w:t>&lt;span style="font-size: medium;"&gt;</w:t>
            </w:r>
          </w:p>
          <w:p>
            <w:pPr>
              <w:pStyle w:val="TableParagraph"/>
              <w:tabs>
                <w:tab w:pos="1327" w:val="left" w:leader="none"/>
                <w:tab w:pos="2217" w:val="left" w:leader="none"/>
                <w:tab w:pos="3285" w:val="left" w:leader="none"/>
                <w:tab w:pos="3451" w:val="left" w:leader="none"/>
                <w:tab w:pos="4230" w:val="left" w:leader="none"/>
                <w:tab w:pos="5483" w:val="left" w:leader="none"/>
                <w:tab w:pos="5577" w:val="left" w:leader="none"/>
                <w:tab w:pos="6989" w:val="left" w:leader="none"/>
              </w:tabs>
              <w:spacing w:line="208" w:lineRule="auto" w:before="0"/>
              <w:ind w:right="37"/>
              <w:rPr>
                <w:sz w:val="20"/>
              </w:rPr>
            </w:pPr>
            <w:r>
              <w:rPr>
                <w:sz w:val="20"/>
              </w:rPr>
              <w:t>&lt;strong&gt;DISPOSITIVO&lt;/strong&gt;</w:t>
              <w:tab/>
              <w:t>&lt;/span&gt;</w:t>
              <w:tab/>
              <w:t>&lt;/span&gt; &lt;/strong&gt;&lt;/h2&gt;&lt;p style="line- height: 200%;" align="justify"&gt;&lt;strong&gt; &lt;span style="font-family: &amp;quot;Times New Roman&amp;quot;, serif;"&gt;</w:t>
              <w:tab/>
              <w:t>&lt;span style="font-size: medium;"&gt;</w:t>
              <w:tab/>
              <w:tab/>
              <w:t>&lt;span style="font-weight: normal;"&gt;Diante do exposto&lt;/span&gt;</w:t>
              <w:tab/>
              <w:tab/>
              <w:t>&lt;/span&gt; &lt;/span&gt;&lt;/strong&gt;&lt;span style="font-family: &amp;quot;Times New Roman&amp;quot;, serif;"&gt;  &lt;span style="font-size: medium;"&gt;</w:t>
              <w:tab/>
              <w:t>&lt;span style="font-weight: normal;"&gt;, voto no sentido de&lt;/span&gt; &lt;/span&gt;&lt;/span&gt; &lt;strong&gt; </w:t>
            </w:r>
            <w:r>
              <w:rPr>
                <w:spacing w:val="-4"/>
                <w:sz w:val="20"/>
              </w:rPr>
              <w:t>&lt;span </w:t>
            </w:r>
            <w:r>
              <w:rPr>
                <w:sz w:val="20"/>
              </w:rPr>
              <w:t>style="font-family: &amp;quot;Times New Roman&amp;quot;, serif;"&gt;</w:t>
              <w:tab/>
              <w:t>&lt;span style="font-size: medium;"&gt;</w:t>
              <w:tab/>
              <w:t>&lt;span style="font-weight: normal;"&gt;CONHECER do recurso e DAR-LHE PROVIMENTO, para ANULAR a sentença recorrida&lt;/span&gt;</w:t>
              <w:tab/>
              <w:tab/>
              <w:t>&lt;/span&gt;</w:t>
            </w:r>
          </w:p>
          <w:p>
            <w:pPr>
              <w:pStyle w:val="TableParagraph"/>
              <w:tabs>
                <w:tab w:pos="2682"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medium;"&gt;</w:t>
              <w:tab/>
              <w:t>&lt;span style="font-weight: normal;"&gt;, determinando o&lt;/span&gt;</w:t>
            </w:r>
          </w:p>
          <w:p>
            <w:pPr>
              <w:pStyle w:val="TableParagraph"/>
              <w:tabs>
                <w:tab w:pos="883" w:val="left" w:leader="none"/>
                <w:tab w:pos="3608" w:val="left" w:leader="none"/>
                <w:tab w:pos="4243" w:val="left" w:leader="none"/>
              </w:tabs>
              <w:spacing w:line="208" w:lineRule="auto" w:before="0"/>
              <w:ind w:right="126"/>
              <w:rPr>
                <w:sz w:val="20"/>
              </w:rPr>
            </w:pPr>
            <w:r>
              <w:rPr>
                <w:sz w:val="20"/>
              </w:rPr>
              <w:t>&lt;/span&gt;&lt;/span&gt; &lt;strong&gt; &lt;span style="font-family: &amp;quot;Times New Roman&amp;quot;, serif;"&gt;</w:t>
              <w:tab/>
              <w:t>&lt;span style="font-size: medium;"&gt;</w:t>
              <w:tab/>
              <w:t>&lt;span style="font-weight: normal;"&gt;retorno dos autos ao Juízo de origem&lt;/span&gt;</w:t>
              <w:tab/>
              <w:t>&lt;/span&gt; &lt;/span&gt;&lt;/strong&gt;&lt;span style="font- family: &amp;quot;Times New Roman&amp;quot;, serif;"&gt; &lt;span style="font-size: medium;"&gt;</w:t>
            </w:r>
          </w:p>
          <w:p>
            <w:pPr>
              <w:pStyle w:val="TableParagraph"/>
              <w:tabs>
                <w:tab w:pos="4199" w:val="left" w:leader="none"/>
              </w:tabs>
              <w:spacing w:line="208" w:lineRule="auto" w:before="0"/>
              <w:ind w:right="139"/>
              <w:rPr>
                <w:sz w:val="20"/>
              </w:rPr>
            </w:pPr>
            <w:r>
              <w:rPr>
                <w:sz w:val="20"/>
              </w:rPr>
              <w:t>&lt;span style="font-weight: normal;"&gt;para o regular prosseguimento do feito, em conformidade com o método fixado pelo STJ.&lt;/span&gt; &lt;/span&gt;&lt;/span&gt;&lt;/p&gt;&lt;p style="line- height: 200%;" align="justify"&gt; &lt;span style="font-family: &amp;quot;Times New Roman&amp;quot;, serif; font-size: small;"&gt;É como voto.&lt;/span&gt;&lt;/p&gt;&lt;p style="line-height: 200%; text-align: center;"&gt; &lt;span style="font-family: &amp;quot;Times New Roman&amp;quot;, serif; font-size: small;"&gt;JOSÉ KRENTEL FERREIRA FILHO&lt;/span&gt;&lt;/p&gt;&lt;p style="line-height: 200%; </w:t>
            </w:r>
            <w:r>
              <w:rPr>
                <w:spacing w:val="-4"/>
                <w:sz w:val="20"/>
              </w:rPr>
              <w:t>text- </w:t>
            </w:r>
            <w:r>
              <w:rPr>
                <w:sz w:val="20"/>
              </w:rPr>
              <w:t>align: center;"&gt; &lt;span style="font-family: &amp;quot;Times New Roman&amp;quot;, serif; font-size: small;"&gt;Relator&lt;/span&gt;&lt;/p&gt;&lt;p style="line-height: 200%; text-align: center;"&gt;&amp;#160;&lt;/p&gt;&lt;p&gt;&amp;#160;&lt;/p&gt;&lt;p&gt;&amp;#160;&lt;/p&gt;&lt;p&gt;&amp;#160;&lt;/p&gt;&lt;p style="text-align: center;"&gt;  &lt;span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325</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Exoneração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OSMAR GRANGEIRO DA CRUZ</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15" w:lineRule="exact"/>
              <w:rPr>
                <w:sz w:val="20"/>
              </w:rPr>
            </w:pPr>
            <w:r>
              <w:rPr>
                <w:sz w:val="20"/>
              </w:rPr>
              <w:t>MARCIO DOS SANTOS RIOS - (CE44386-A)</w:t>
            </w:r>
          </w:p>
          <w:p>
            <w:pPr>
              <w:pStyle w:val="TableParagraph"/>
              <w:spacing w:line="215" w:lineRule="exact" w:before="0"/>
              <w:rPr>
                <w:sz w:val="20"/>
              </w:rPr>
            </w:pPr>
            <w:r>
              <w:rPr>
                <w:sz w:val="20"/>
              </w:rPr>
              <w:t>THIAGO BEZERRA TENORIO DA SILVA - (CE36631-A)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Socorro Tavares Santana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CARLOS ERNANDES SILVA - (CE43630-A)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13"/>
              <w:rPr>
                <w:sz w:val="20"/>
              </w:rPr>
            </w:pPr>
            <w:r>
              <w:rPr>
                <w:sz w:val="20"/>
              </w:rPr>
              <w:t>&lt;p style="text-align: left;"&gt;&amp;#160;&lt;/p&gt;&lt;p style="text-align: center;"&gt; &lt;img src="data:image/jpeg;base64,/9j/4AAQSkZJRgABAQAAAQABAAD/2wCEAAkGBxETEhUT EREWFhUWExcVGBcXFRgYGxoXHRoXFhkVGRYbHigiGholGxgZLTMjJTUrLzouGB8zOD csNygtLisBCgoKDg0OGxAQGzAlICUrMiswNzE1LTUrNjItNS0yLS0vNzUtLS0tNy81Li0tMi0t Ky0tLy0vLTYtLi0tLS4vNf/AABEIAI0AjQMBIgACEQEDEQH/xAAbAAEAAgMBAQAAAAAAA AAAAAAABQYDBAcCAf/EAEEQAAIBAgQDBgIHBQUJAAAAAAECEQADBBIhMQVBUQY TImFxgTKhQlKCkbHB0SMzcpLwFFNik6I0Q0RUY4PC0uH/xAAaAQEAAwEBAQAAAAAA AAAAAAAAAgMFBAEG/8QALREAAgEDAwMBBgcAAAAAAAAAAAECAxExBCFBEhNRIg</w:t>
            </w:r>
          </w:p>
          <w:p>
            <w:pPr>
              <w:pStyle w:val="TableParagraph"/>
              <w:spacing w:line="208" w:lineRule="auto" w:before="0"/>
              <w:ind w:right="1"/>
              <w:rPr>
                <w:sz w:val="20"/>
              </w:rPr>
            </w:pPr>
            <w:r>
              <w:rPr>
                <w:sz w:val="20"/>
              </w:rPr>
              <w:t>UUMnGx8EJhgZGhwdH/2gAMAwEAAhEDEQA/AO40pSgFKUoBSlR3G+J9wisEzlnyAZson KzSTB5KeVeNpK7PUruyJGlVEdq74fxYYMsDRG13M+JoBjTTTetW5xzFZATfRX8JKwgXc ZhrJ2nnVXvEPJZ2pF4pVLbtC7tJxKWRlUZUey3i1zGXQmNvurw/aK+VVFvW9HbNdz2yzL mOUBIyg5YnTcU70TztSLvSqevaHEWzt36lTtkWGkQSRuIzbA7CvdjtXeCg3bCxzhypH2SD J9xRV6fkdqRbaUpVxWKUpQClKUApSlAKUpQCtPi3DlxFprTkgGCGUwVI1DA9a3Kg+0vG Ut2XVLq96wyKAwkE6FoGugk+oFeStbc9WTndzADOQWNwZmAOQeID6Uu5EH8xWLCW 0LEAmIGkosGA3iOQDYjadjW6mDZpVbJIywrf2e6+8iAx2iB99ZsNwa+GLLYua5j8K7tl+uwg DKOXM1mqEnfZnY5xXJquUyqQYnKf30aEzB0gEidN/ur7fFuD5KW0uAnTcQy7+RrFxnszj7 2WMO2hJOZ7I1KoNg+0qfvqQs8GxgTI9i5GTKYNhtcqgnV51Oc+4qboytg87kfJFWsOhzSC xUtJC2yBlMEaqpkabf8AwWLsfwVbl0tcuN+yZXFuGAbmrGXIIDA6AchrrFR1vg15WJaw2pdj No3JZ8kmFYx8Pzra4Limw95LjoUWSjg2rlsZCYnxaQCFb0FIQamrrY8lJOOzOlUrDh8VbcT bdXHVWDfhWatA5BSlKAUpSgFKUoBSlR3FMWf3VtociWb+7Tm/qYIE85OwNAaHHOIWyr 5zFi1+8P12G1odQDEjmYX6wqg3e3t8SLNq1bWdBlJMcuYHyrT7XccF9has6WLWi/4m27w 9ecT1J51X16GoSl4MvU6uV7U3jJPXe2OPb/fx5BEHzyzWs/aHGHfE3fZyPwqNit/h/CLt3UD Kv1m5jqF50ipzdkcfeqy36nY8njOK/wCav/5z/rQcZxQ/4q//AJr/AK1Kp2aWPFccnyyj8jWDEd nSPguT5MPzH6Vb7vUtdfdyPdkn8f14Ne32kxq7Ym57tm/Ga3LHbfHLvdVv4kX/AMQKg71lk bK6wfx8wedYyKpfVF2Z77xVj+Jl97P9qBibot31S3eOtq6gjx/VMk79Jg6jnXQOHYzvFOYZX U5XXoeo6qRqD085FcA21FdM7Jcfa+oO+JtLDLt31r/2HyPQMalGV9maWk1Xc9Msl+pWLD X1uKHQypEj9CORB5VlqR3ilKUApSlAKj8dgCSblohbkaz8LgfRcfg248xoZClAcf7ZcFRMuIsr lt3GKun93dEyschIPlI00IqLxnAL1uwl9suRyYIdD0iIOs67dDNX/tnbHcY0cs1l/Rz3YPyA++ub 38fdNsIzkosZV5AiQIHLc+tQktzH1dOMam2Xj5m52d4X3zFnEomkfWb9BI++rat1cxUT8O8a TE5Z+tGsdK9cJwgtWkX6qyfXd/zNaWHskP3vd3Moulycmnd5X8URA0ke086sU+naJZDTK a3wbuIQqNFzEDaY8t/Sa12OhJy6CSM0ED+Fwpb7INTVy15c5jz5L7CJrVtvctuXtkZvNQVE cp367Eb1ZTrX+ErlQgnapggOIYVbiQwMH4WgwDyIP9dKqly2VJVt1MH9fQ1f+1fFldrbmdbS kIToHMMfX4l/kqk8TYlg5iT4TAjzH517XlGcFfP3koq0OiTjG9lvv/X5W/k0wpJgCSdAPPpXVO zPAe4HdJpdKhr92ASoO1tJ56fKTuBVA7MIDi7AO3eqfcGR8wK7BwMeG43Nr9yfZsi/6FWu aC5Oz2dTXS584NzC4ZLa5UEDU7kkk6kknUknmazUpUzTFKUoBSlKAUJpUdxtiUFsb3W7 v0Uglz5eANB6kUBTe2GJZsOEQEvi7/eBRubahQmnWFtadSaqN/hN2zftW7yRNxDrzEgm OvStztfxTvMWxWMtoi2g5eE66fxT7AVG4niFy9dR7zZmkLJAk7gT9/yFRzIxq1SM6/ydkXxy SCBp4ZP5D+vzrVs21i4ndWpGBL5dNBDDvAe7nP5T0qBVRz/GtgWQpbPbKwo33KkZojkII 0PWlPSzhUnKUrp2svFjshq4dCUY4yWXE4wW0Zrh0VZnYkdPWem5Ik1Qsdxu5cbNmKjkq kgAdNNz51bcVwO2pti4AzFGdh9EHQBQOY1Op5gbbVBcb7m23d27FsuQTqAIA1++K4tOp Uoqm5dT84O6vpnV9fwrwRmN4n3otjbJbyk+eZjm9Yyj7IrUxLiNCTqN46+lbtrug+W5atlSYD L1iTpPnWbi+BtJbYqgBlQP5h+VXupaST5KZaGTi59S2yR+ExBt3EuDdHVx9kgx8q7Pwi8O 8cKZW6q30PUEKjAekIf+5XEjXQuxvE82GUk+LCPr52GmZ8gMxj/prVsHwZvs6pu4fqdCpSl TNcUpSgFKUoBVe4/je7N67/cYYlf43J0/0J/MasNU7tijGxjQN/2T/YGST6eB/uoRm7RbOf8A AOCvimZUZZVGY5jBMAxvyLQCeU1HX1iQCCVO41Eg8jX3D4h01Ryp01UkbGRt5gfdXzX eqU+T5vqSs1m5aOC5Xu2Z+FrlvfmCwgH1q3druEGTiE1GWLi+Q0zjqY0I6AR5804bdb92H ykHMpidN4HmDU44v3XFy9fLkHmoj2EwvtFd28mpI0aU4RpuL53RYkum7Yt3R4mtAo8akq QpzjqYCn3bnVS43h/2jvLd3cQeJZIkajQczy9as3B8R3d1fqv4G9foH+bT7dSXE+E2yGZSU MEmPhJ31U6fdBrPrR7dQ2tNU7tLc5jg8PmXKkyzCYkAAc55g6/Kt/j7wETzzeyiPxPyqS4PY cYfvIBQFpObUAakmY09D7VW8Xie8uM3LZf4R+u/vUN5VL8Ir1lWNHSu2ZKxiNWLsBisuLF s/DdRkI5bZh+BH2qrhqV7JIzYywF37yfYAk/IGro5PnNK2qsbeTsXBHJsoCZK5rZPUoxtz75Z 963qj+C/A55G9dj2Yg/6gakKtPohSlKAUpSgFRnFsOZ71VzQpS4kTmtnoOZUyQOYLDcipO lAcX7TdnTYPe2vHh31VxrlnZWP4H8683uL2ThFsCyouBsxuZRrOhA6HKE18j611fF8NPia1l 8U57bfA87nnlY9RIPMHcUfi/Y63cYnDfsru5sXNPdG109JHmKi4+DNr6Nq8qfPH+FHAmImZ 0jefKpfAcZA0uiP8QEg+o5V94XdbBYgHE2CSoJyMBqfolW2gHmJqO4hfV7jsihVLHKoAELy EDnFIVHAz03TVn+xaLWPskpF1P3lvXONPGpk66Rv7VYuI9p8HbBm8r6fCnjJ8vDoPeK5rh OH3Ls5LZbKCxIE6ASfesDLBgiCOW1RqtVGmzto+0HRj6Y58ktxnjTXh3du2LVgGcigDMeR eNPb8YqHcTU3w7jFq3hrlprKs7/C5UHLGqz9bUn089q88F7M4jEeILkt7m4+ix1A3b208xUU uEc9SVXUTUr3f0IW2GYhQCWJgACST5DrXRuynAGwwkgHFXVgDcWk5s39akADma3uz vAbdr/ZlzMRBxNwaeYtL9L206sYirVg8GtsGJJOrM2rMepP5DQcoq1RsaGn0ipvqeT3hcOLa Ki7KANdz5k8yay0pXp2ilKUApSlAKUpQCsOKwqXBDqCNx1B6gjVT5jWs1KAguIcILLkdRiL X1XgXF/hfQMfXKf8Rqj8W7FzmbBsWj4rL+G4vlrHzj1NdVrWxmBS5BMhh8Lroy+h6eRkHm DRpPJVVowqK0kcV4Xxe/hGcIMrHwuGBmAZKkcj579Irxwjg9/FNFpJ18TnRV9W6+Q1rovH eB2brAYvwsozLeTw50XVlbowE6e45gSvDuFhkVcndWAPDZHhLDrcO+v1f5pmBHoOKOg 9VpO8Vgr3BOyti2dE/tN0HVm0tIek6gkfaPkKtdvheaDfbvDyWItj0T6Xq0+UVIW0CgBQAAIA AgAdAK9VI74QjBWihSlKExSlKAUpSgFKUoBSlKAUpSgFKUoDDicMlwAOoYBgwnkymQa zUpQClKUApSlAKUpQClKUB//Z" alt="Bem vindo ao PJe · Processo Judicial Eletrônico"</w:t>
            </w:r>
          </w:p>
          <w:p>
            <w:pPr>
              <w:pStyle w:val="TableParagraph"/>
              <w:tabs>
                <w:tab w:pos="1439" w:val="left" w:leader="none"/>
                <w:tab w:pos="6332" w:val="left" w:leader="none"/>
              </w:tabs>
              <w:spacing w:line="208" w:lineRule="auto" w:before="0"/>
              <w:ind w:right="59"/>
              <w:rPr>
                <w:sz w:val="20"/>
              </w:rPr>
            </w:pPr>
            <w:r>
              <w:rPr>
                <w:sz w:val="20"/>
              </w:rPr>
              <w:t>/&gt;&lt;/p&gt;&lt;p style="text-align: center;"&gt;  &lt;span style="font-size: small;"&gt;</w:t>
              <w:tab/>
              <w:t>&lt;strong&gt;ESTADO DO CEARÁ&amp;#160;&lt;/strong&gt; &lt;/span&gt;&lt;/p&gt;&lt;p style="text-align: center;"&gt; &lt;span </w:t>
            </w:r>
            <w:r>
              <w:rPr>
                <w:spacing w:val="-2"/>
                <w:sz w:val="20"/>
              </w:rPr>
              <w:t>style="font- </w:t>
            </w:r>
            <w:r>
              <w:rPr>
                <w:sz w:val="20"/>
              </w:rPr>
              <w:t>size: small;"&gt;</w:t>
              <w:tab/>
              <w:t>&lt;strong&gt;&amp;#160;&lt;/strong&gt; &lt;/span&gt; &lt;strong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small;"&gt;&amp;#160; &amp;#160;PODER JUDICIÁRIO&amp;#160; &amp;#160;&amp;#160;&lt;/strong&gt;&lt;/p&gt;&lt;p</w:t>
            </w:r>
          </w:p>
          <w:p>
            <w:pPr>
              <w:pStyle w:val="TableParagraph"/>
              <w:tabs>
                <w:tab w:pos="5476" w:val="left" w:leader="none"/>
              </w:tabs>
              <w:spacing w:line="208" w:lineRule="auto" w:before="9"/>
              <w:ind w:right="531"/>
              <w:rPr>
                <w:sz w:val="20"/>
              </w:rPr>
            </w:pPr>
            <w:r>
              <w:rPr>
                <w:sz w:val="20"/>
              </w:rPr>
              <w:t>style="text-align: center;"&gt;  &lt;span style="font-size: small;"&gt;</w:t>
              <w:tab/>
              <w:t>&lt;strong&gt;&amp;#160; &amp;#160; &amp;#160; &amp;#160; &amp;#160; TRIBUNAL DE JUSTIÇA ESTADO DO CEARA&amp;#160; </w:t>
            </w:r>
            <w:r>
              <w:rPr>
                <w:spacing w:val="-3"/>
                <w:sz w:val="20"/>
              </w:rPr>
              <w:t>&amp;#160;</w:t>
            </w:r>
          </w:p>
          <w:p>
            <w:pPr>
              <w:pStyle w:val="TableParagraph"/>
              <w:tabs>
                <w:tab w:pos="2438" w:val="left" w:leader="none"/>
              </w:tabs>
              <w:spacing w:line="208" w:lineRule="auto" w:before="0"/>
              <w:ind w:right="193"/>
              <w:rPr>
                <w:sz w:val="20"/>
              </w:rPr>
            </w:pPr>
            <w:r>
              <w:rPr>
                <w:sz w:val="20"/>
              </w:rPr>
              <w:t>&amp;#160; &amp;#160; &amp;#160;&lt;/strong&gt; &lt;/span&gt;&lt;/p&gt;&lt;p style="text-align: center;"&gt; &lt;span style="font-size: small;"&gt;</w:t>
              <w:tab/>
              <w:t>&lt;strong&gt;5ª CÂMARA DE DIREITO</w:t>
            </w:r>
            <w:r>
              <w:rPr>
                <w:spacing w:val="-16"/>
                <w:sz w:val="20"/>
              </w:rPr>
              <w:t> </w:t>
            </w:r>
            <w:r>
              <w:rPr>
                <w:sz w:val="20"/>
              </w:rPr>
              <w:t>PRIVADO&amp;#160;&lt;/strong&gt;</w:t>
            </w:r>
          </w:p>
          <w:p>
            <w:pPr>
              <w:pStyle w:val="TableParagraph"/>
              <w:spacing w:line="190" w:lineRule="exact" w:before="0"/>
              <w:rPr>
                <w:sz w:val="20"/>
              </w:rPr>
            </w:pPr>
            <w:r>
              <w:rPr>
                <w:sz w:val="20"/>
              </w:rPr>
              <w:t>&lt;/span&gt;&lt;/p&gt;&lt;p style="text-align: center;"&gt; &lt;span style="font-size: small;"&gt;</w:t>
            </w:r>
          </w:p>
          <w:p>
            <w:pPr>
              <w:pStyle w:val="TableParagraph"/>
              <w:spacing w:line="200" w:lineRule="exact" w:before="0"/>
              <w:rPr>
                <w:sz w:val="20"/>
              </w:rPr>
            </w:pPr>
            <w:r>
              <w:rPr>
                <w:sz w:val="20"/>
              </w:rPr>
              <w:t>&lt;strong&gt;GABINETE JUIZ CONVOCADO JOSÉ KRENTEL FERREIRA FILHO&lt;/strong&gt;</w:t>
            </w:r>
          </w:p>
          <w:p>
            <w:pPr>
              <w:pStyle w:val="TableParagraph"/>
              <w:spacing w:line="208" w:lineRule="auto" w:before="10"/>
              <w:ind w:right="98"/>
              <w:rPr>
                <w:sz w:val="20"/>
              </w:rPr>
            </w:pPr>
            <w:r>
              <w:rPr>
                <w:sz w:val="20"/>
              </w:rPr>
              <w:t>&lt;/span&gt;&lt;/p&gt;&lt;p style="text-align: center;"&gt;&amp;#160;&lt;/p&gt;&lt;p style="text-align: left;"&gt; &lt;span style="font-size: small;"&gt; &lt;strong&gt;PROCESSO:&lt;/strong&gt;&amp;#160;0200214- 12.2022.8.06.0125 -&amp;#160;APELAÇÃO CÍVEL (198)&lt;/span&gt;&lt;/p&gt;&lt;p style="text-align: left;"&gt; &lt;span style="font-size: small;"&gt;APELANTE: OSMAR GRANGEIRO DA CRUZ&lt;/span&gt;&lt;/p&gt;&lt;p style="text-align: left;"&gt; &lt;span style="font-size: small;"&gt;APELADO: SOCORRO TAVARES SANTANA&lt;/span&gt;&lt;/p&gt;&lt;p style="text-align: left;"&gt;&amp;#160;&lt;/p&gt;&lt;div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font-weight: bold; font-variant-ligatures: none</w:t>
            </w:r>
          </w:p>
          <w:p>
            <w:pPr>
              <w:pStyle w:val="TableParagraph"/>
              <w:spacing w:line="208" w:lineRule="auto" w:before="0"/>
              <w:ind w:right="164"/>
              <w:rPr>
                <w:sz w:val="20"/>
              </w:rPr>
            </w:pPr>
            <w:r>
              <w:rPr>
                <w:sz w:val="20"/>
              </w:rPr>
              <w:t>!important;" lang="PT-BR" xml:lang="PT-BR"&gt;EMENTA:&lt;/span&gt;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w:t>
            </w:r>
          </w:p>
          <w:p>
            <w:pPr>
              <w:pStyle w:val="TableParagraph"/>
              <w:spacing w:line="208" w:lineRule="auto" w:before="0"/>
              <w:ind w:right="260"/>
              <w:rPr>
                <w:sz w:val="20"/>
              </w:rPr>
            </w:pPr>
            <w:r>
              <w:rPr>
                <w:sz w:val="20"/>
              </w:rPr>
              <w:t>!important;" lang="PT-BR" xml:lang="PT-BR"&gt;APELAÇÃO CÍVEL. AÇÃO DE EXONERAÇÃO DE ALIMENTOS. SENTENÇA DE IMPROCEDÊNCIA. RECURSO INTERPOSTO PELO AUTOR. OFENSA AO PRINCÍPIO DA DIALETICIDADE. RAZÕES RECURSAIS QUE SE LIMITAM A REPRODUZIR OS ARGUMENTOS DA INICIAL. AUSÊNCIA DE IMPUGNAÇÃO ESPECÍFICA AOS FUNDAMENTOS DA SENTENÇA. MANUTENÇÃO INTEGRAL DO JULGADO. MAJORAÇÃO DOS HONORÁRIOS ADVOCATÍCIOS, NOS TERMOS DO ART. 85, §11, DO CPC. RECURSO NÃO</w:t>
            </w:r>
          </w:p>
          <w:p>
            <w:pPr>
              <w:pStyle w:val="TableParagraph"/>
              <w:spacing w:line="208" w:lineRule="auto" w:before="0"/>
              <w:ind w:right="17"/>
              <w:rPr>
                <w:sz w:val="20"/>
              </w:rPr>
            </w:pPr>
            <w:r>
              <w:rPr>
                <w:sz w:val="20"/>
              </w:rPr>
              <w:t>CONHECIDO.&lt;/span&gt; &lt;span class="EOP SCXW126305243 BCX0" style="-webkit-user- drag: none; -webkit-tap-highlight-color: transparent; margin: 0px; padding: 0px; user-select: text; font-size: 12pt; line-height: 27px; font-family: &amp;quot;Courier New&amp;quot;, &amp;quot;Courier New_EmbeddedFont&amp;quot;, &amp;quot;Courier New_MSFontService&amp;quot;, monospace;"&gt;&amp;#160;&lt;/span&gt;&lt;/p&gt;&lt;/div&gt;&lt;div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274" w:val="left" w:leader="none"/>
                <w:tab w:pos="4754"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xml:lang="PT-BR"&gt;I. Caso em exame&amp;#160;&amp;#160;&amp;#160;&amp;#160;&amp;#160;&lt;/span&gt;</w:t>
              <w:tab/>
              <w:t>&lt;span class="EOP SCXW126305243 BCX0" style="-webkit-user-drag: none; -webkit-tap-highlight-color: transparent; margin: </w:t>
            </w:r>
            <w:r>
              <w:rPr>
                <w:spacing w:val="-5"/>
                <w:sz w:val="20"/>
              </w:rPr>
              <w:t>0px; </w:t>
            </w:r>
            <w:r>
              <w:rPr>
                <w:sz w:val="20"/>
              </w:rPr>
              <w:t>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01"/>
              <w:rPr>
                <w:sz w:val="20"/>
              </w:rPr>
            </w:pPr>
            <w:r>
              <w:rPr>
                <w:sz w:val="20"/>
              </w:rPr>
              <w:t>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3152" w:val="left" w:leader="none"/>
              </w:tabs>
              <w:spacing w:line="208" w:lineRule="auto" w:before="0"/>
              <w:ind w:right="17"/>
              <w:rPr>
                <w:sz w:val="20"/>
              </w:rPr>
            </w:pPr>
            <w:r>
              <w:rPr>
                <w:sz w:val="20"/>
              </w:rPr>
              <w:t>lang="PT-BR" xml:lang="PT-BR"&gt;1. Cuida-se de Apelação interposta por Osmar Grangeiro da Cruz contra sentença proferida pelo Juízo da Vara Única da Comarca de Missão Velha, nos autos da Ação de Exoneração de Alimentos, na qual pleiteou a cessação do pagamento de pensão alimentícia anteriormente fixada em favor de Socorro Tavares Santana, maior e capaz.&lt;/span&gt;</w:t>
              <w:tab/>
              <w:t>&lt;span class="EOP SCXW126305243 BCX0" style="- 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274" w:val="left" w:leader="none"/>
                <w:tab w:pos="5099"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xml:lang="PT-BR"&gt;II. Questão em discussão.&amp;#160;&amp;#160;&amp;#160;&amp;#160;&amp;#160;&lt;/span&gt;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7534" w:val="left" w:leader="none"/>
              </w:tabs>
              <w:spacing w:line="208" w:lineRule="auto" w:before="0"/>
              <w:ind w:right="38"/>
              <w:rPr>
                <w:sz w:val="20"/>
              </w:rPr>
            </w:pPr>
            <w:r>
              <w:rPr>
                <w:sz w:val="20"/>
              </w:rPr>
              <w:t>lang="PT-BR" xml:lang="PT-BR"&gt;2. Verificar se o recurso preenche os pressupostos de admissibilidade recursal, em especial quanto ao princípio da dialeticidade, que impõe ao recorrente o dever de impugnar, de forma específica e fundamentada, os argumentos utilizados pelo juízo de origem;&amp;#160;&amp;#160;&amp;#160;&amp;#160;&amp;#160;&amp;#160;&lt;/span&gt;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xml:lang="PT-BR"&gt;3. Se a mera reprodução de alegações já constantes na petição inicial e na réplica suprem os requisitos formais de admissibilidade recursal. &amp;#160;&amp;#160;&amp;#160;&amp;#160;&amp;#160;&amp;#160;&lt;/span&gt;</w:t>
            </w:r>
          </w:p>
          <w:p>
            <w:pPr>
              <w:pStyle w:val="TableParagraph"/>
              <w:spacing w:line="208" w:lineRule="auto" w:before="0"/>
              <w:ind w:right="212"/>
              <w:rPr>
                <w:sz w:val="20"/>
              </w:rPr>
            </w:pPr>
            <w:r>
              <w:rPr>
                <w:sz w:val="20"/>
              </w:rPr>
              <w:t>&lt;span class="EOP SCXW126305243 BCX0" style="-webkit-user-drag: none; </w:t>
            </w:r>
            <w:r>
              <w:rPr>
                <w:spacing w:val="-2"/>
                <w:sz w:val="20"/>
              </w:rPr>
              <w:t>-webkit-tap- </w:t>
            </w:r>
            <w:r>
              <w:rPr>
                <w:sz w:val="20"/>
              </w:rPr>
              <w:t>highlight-color: transparent; margin: 0px; padding: 0px; user-select: text; font-size: 12pt;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7"/>
              <w:rPr>
                <w:sz w:val="20"/>
              </w:rPr>
            </w:pPr>
            <w:r>
              <w:rPr>
                <w:sz w:val="20"/>
              </w:rPr>
              <w:t>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7567" w:val="left" w:leader="none"/>
              </w:tabs>
              <w:spacing w:line="208" w:lineRule="auto" w:before="0"/>
              <w:ind w:right="34"/>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xml:lang="PT-BR"&gt;III. RAZÕES DE DECIDIR:&amp;#160;&amp;#160;&amp;#160;&amp;#160;&amp;#160;&amp;#160;&amp;#160;&amp;#160;&amp;#160;&lt;/span&gt;</w:t>
              <w:tab/>
            </w:r>
            <w:r>
              <w:rPr>
                <w:spacing w:val="-4"/>
                <w:sz w:val="20"/>
              </w:rPr>
              <w:t>&lt;span</w:t>
            </w:r>
          </w:p>
          <w:p>
            <w:pPr>
              <w:pStyle w:val="TableParagraph"/>
              <w:spacing w:line="208" w:lineRule="auto" w:before="0"/>
              <w:ind w:right="38"/>
              <w:rPr>
                <w:sz w:val="20"/>
              </w:rPr>
            </w:pPr>
            <w:r>
              <w:rPr>
                <w:sz w:val="20"/>
              </w:rPr>
              <w:t>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8"/>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2975"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xml:lang="PT-BR"&gt;4. A parte recorrente não se desincumbiu do ônus de demonstrar, de forma clara e específica, eventual equívoco na decisão atacada, limitando-se a reproduzir argumentos anteriormente expostos, o que impede a análise do mérito do recurso. Configura-se, assim, inobservância ao art. 1.010 e ao art. 489, §1º, do CPC, ensejando o não conhecimento do recurso.&amp;#160;&amp;#160;&lt;/span&gt;</w:t>
              <w:tab/>
              <w:t>&lt;span class="EOP SCXW126305243 BCX0" style="- 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6099"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xml:lang="PT-BR"&gt;5. Em razão do integral insucesso recursal, majoram-se os honorários advocatícios para 12% do valor da causa, nos termos do art. 85, §11, do CPC.&amp;#160;&amp;#160;&lt;/span&gt;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 w:pos="7212" w:val="left" w:leader="none"/>
              </w:tabs>
              <w:spacing w:line="208" w:lineRule="auto" w:before="26"/>
              <w:ind w:right="119"/>
              <w:rPr>
                <w:sz w:val="20"/>
              </w:rPr>
            </w:pPr>
            <w:r>
              <w:rPr>
                <w:sz w:val="20"/>
              </w:rPr>
              <w:t>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w:t>
            </w:r>
            <w:r>
              <w:rPr>
                <w:spacing w:val="-2"/>
                <w:sz w:val="20"/>
              </w:rPr>
              <w:t>&amp;quot;Courier </w:t>
            </w:r>
            <w:r>
              <w:rPr>
                <w:sz w:val="20"/>
              </w:rPr>
              <w:t>New&amp;quot;, &amp;quot;Courier New_EmbeddedFont&amp;quot;, &amp;quot;Courier New_MSFontService&amp;quot;, monospace; font-variant-ligatures: none !important;" lang="PT-BR" xml:lang="PT-BR"&gt;IV. DISPOSITIVO E TESE&amp;#160;&amp;#160;&amp;#160;&amp;#160;&amp;#160;&amp;#160;&amp;#160;&amp;#160;&amp;#160;&lt;/span&gt;</w:t>
              <w:tab/>
              <w:t>&lt;span</w:t>
            </w:r>
          </w:p>
          <w:p>
            <w:pPr>
              <w:pStyle w:val="TableParagraph"/>
              <w:spacing w:line="208" w:lineRule="auto" w:before="0"/>
              <w:ind w:right="38"/>
              <w:rPr>
                <w:sz w:val="20"/>
              </w:rPr>
            </w:pPr>
            <w:r>
              <w:rPr>
                <w:sz w:val="20"/>
              </w:rPr>
              <w:t>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274" w:val="left" w:leader="none"/>
                <w:tab w:pos="5644"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xml:lang="PT-BR"&gt;6. Ante o exposto, não conheço da apelação, por violação ao princípio da dialeticidade, determinando-se, ainda, a majoração dos honorários advocatícios para 12% do valor da causa a serem pagos ao patrono da parte vencedora.&amp;#160;&amp;#160;&lt;/span&gt;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2330" w:val="left" w:leader="none"/>
                <w:tab w:pos="2684" w:val="left" w:leader="none"/>
                <w:tab w:pos="3386" w:val="left" w:leader="none"/>
                <w:tab w:pos="7394" w:val="left" w:leader="none"/>
              </w:tabs>
              <w:spacing w:line="208" w:lineRule="auto" w:before="0"/>
              <w:ind w:right="17"/>
              <w:rPr>
                <w:sz w:val="20"/>
              </w:rPr>
            </w:pPr>
            <w:r>
              <w:rPr>
                <w:sz w:val="20"/>
              </w:rPr>
              <w:t>lang="PT-BR" xml:lang="PT-BR"&gt;</w:t>
              <w:tab/>
              <w:t>&lt;span class="NormalTextRun SCXW126305243 BCX0" style="-webkit-user-drag: none; -webkit-tap-highlight-color: transparent; margin: </w:t>
            </w:r>
            <w:r>
              <w:rPr>
                <w:spacing w:val="-5"/>
                <w:sz w:val="20"/>
              </w:rPr>
              <w:t>0px; </w:t>
            </w:r>
            <w:r>
              <w:rPr>
                <w:sz w:val="20"/>
              </w:rPr>
              <w:t>padding: 0px; user-select: text;"&gt;Tese de julgamento: Recurso que se limita a reproduzir alegações já apresentadas na inicial e na réplica, sem impugnar os fundamentos determinantes da decisão recorrida, não será conhecido por ofensa ao princípio da dialeticidade (&lt;/span&gt;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transparent;"&gt;arts&lt;/span&gt;</w:t>
              <w:tab/>
              <w:t>&lt;span class="NormalTextRun SCXW126305243 BCX0" style="-webkit-user-drag: none; -webkit-tap-highlight-color: transparent; margin: 0px; padding: 0px; user-select: text;"&gt;. 1.010 e 489, §1º, CPC).&amp;#160;&amp;#160;&lt;/span&gt;</w:t>
              <w:tab/>
              <w:t>&lt;/span&gt;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8"/>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transparent; color: windowtext; text-align: justify;" lang="PT-BR" xml:lang="PT-BR"&gt;</w:t>
            </w:r>
          </w:p>
          <w:p>
            <w:pPr>
              <w:pStyle w:val="TableParagraph"/>
              <w:spacing w:line="208" w:lineRule="auto" w:before="9"/>
              <w:ind w:right="29"/>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xml:lang="PT-BR"&gt;Dispositivos relevantes citados:&amp;#160; Artigo 1.010, inciso II e 85, § 11, do CPC.</w:t>
            </w:r>
            <w:r>
              <w:rPr>
                <w:spacing w:val="-18"/>
                <w:sz w:val="20"/>
              </w:rPr>
              <w:t> </w:t>
            </w:r>
            <w:r>
              <w:rPr>
                <w:sz w:val="20"/>
              </w:rPr>
              <w:t>&amp;#160;&amp;#160;&lt;/span&gt;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8"/>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1518" w:val="left" w:leader="none"/>
                <w:tab w:pos="4963" w:val="left" w:leader="none"/>
                <w:tab w:pos="6198" w:val="left" w:leader="none"/>
                <w:tab w:pos="6380" w:val="left" w:leader="none"/>
                <w:tab w:pos="6453" w:val="left" w:leader="none"/>
                <w:tab w:pos="6886" w:val="left" w:leader="none"/>
                <w:tab w:pos="7098"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w:t>
              <w:tab/>
              <w:tab/>
              <w:t>&lt;span class="NormalTextRun SCXW126305243 BCX0" style="-webkit-user-drag: none; -webkit- tap-highlight-color: transparent; margin: 0px; padding: 0px; user-select: text;"&gt;Jurisprudência relevante citada: STJ -&lt;/span&gt;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transparent;"&gt;AgInt&lt;/span&gt;</w:t>
              <w:tab/>
              <w:t>&lt;span class="NormalTextRun SCXW126305243 BCX0" style="-webkit-user-drag: none; -webkit-tap-highlight-color: transparent; margin: 0px; padding: 0px; user-select: text;"&gt;no&lt;/span&gt;</w:t>
              <w:tab/>
              <w:tab/>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transparent;"&gt;AREsp&lt;/span&gt;</w:t>
              <w:tab/>
              <w:tab/>
              <w:t>&lt;span class="NormalTextRun SCXW126305243 BCX0" style="-webkit-user-drag: none; -webkit- tap-highlight-color: transparent; margin: 0px; padding: 0px; user-select: text;"&gt;: 2097402 SP 2022/0089685-7, Relator.: Ministro SÉRGIO KUKINA, Data de Julgamento: 05/03/2024, T1 - PRIMEIRA TURMA, Data de Publicação:&lt;/span&gt;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text;"&gt;12/03/2024; STJ -&lt;/span&gt;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2762" w:val="left" w:leader="none"/>
                <w:tab w:pos="3652" w:val="left" w:leader="none"/>
                <w:tab w:pos="4174" w:val="left" w:leader="none"/>
                <w:tab w:pos="4863" w:val="left" w:leader="none"/>
                <w:tab w:pos="5074" w:val="left" w:leader="none"/>
              </w:tabs>
              <w:spacing w:line="208" w:lineRule="auto" w:before="0"/>
              <w:ind w:right="95"/>
              <w:rPr>
                <w:sz w:val="20"/>
              </w:rPr>
            </w:pPr>
            <w:r>
              <w:rPr>
                <w:sz w:val="20"/>
              </w:rPr>
              <w:t>repeat-x; background-image: url(&amp;quot;data; border-bottom: 1px solid transparent;"&gt;AgInt&lt;/span&gt;</w:t>
              <w:tab/>
              <w:t>&lt;span class="NormalTextRun SCXW126305243 BCX0" style="-webkit-user-drag: none; -webkit-tap-highlight-color: transparent; margin: 0px; padding: 0px; user-select: text;"&gt;no&lt;/span&gt;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transparent;"&gt;AREsp&lt;/span&gt;</w:t>
              <w:tab/>
              <w:tab/>
              <w:t>&lt;span class="NormalTextRun SCXW126305243 BCX0" style="-webkit-user-drag: none; -webkit-tap-highlight-color: transparent; margin: 0px; padding: 0px; user-select: text;"&gt;: 2380058 SP 2023/0190424-3, Relator.: Ministro SÉRGIO KUKINA, Data de Julgamento: 13/11/2023, T1 - PRIMEIRA TURMA, Data de Publicação:&lt;/span&gt;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text;"&gt;17/11/2023; STJ -&lt;/span&gt;</w:t>
            </w:r>
          </w:p>
          <w:p>
            <w:pPr>
              <w:pStyle w:val="TableParagraph"/>
              <w:spacing w:line="204" w:lineRule="exact" w:before="0"/>
              <w:rPr>
                <w:sz w:val="20"/>
              </w:rPr>
            </w:pPr>
            <w:r>
              <w:rPr>
                <w:sz w:val="20"/>
              </w:rPr>
              <w:t>&lt;span class="NormalTextRun SpellingErrorV2Themed SCXW126305243 BCX0" style="-</w:t>
            </w:r>
          </w:p>
        </w:tc>
      </w:tr>
    </w:tbl>
    <w:p>
      <w:pPr>
        <w:spacing w:after="0" w:line="204"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75"/>
              <w:rPr>
                <w:sz w:val="20"/>
              </w:rPr>
            </w:pPr>
            <w:r>
              <w:rPr>
                <w:sz w:val="20"/>
              </w:rPr>
              <w:t>webkit-user-drag: none; -webkit-tap-highlight-color: transparent; margin: 0px; padding: </w:t>
            </w:r>
            <w:r>
              <w:rPr>
                <w:spacing w:val="-5"/>
                <w:sz w:val="20"/>
              </w:rPr>
              <w:t>0px; </w:t>
            </w:r>
            <w:r>
              <w:rPr>
                <w:sz w:val="20"/>
              </w:rPr>
              <w:t>user-select: text; background-position: 0px 100%; background-repeat: repeat-x; background-image: url(&amp;quot;data; border-bottom: 1px solid transparent;"&gt;AgInt&lt;/span&gt;</w:t>
            </w:r>
          </w:p>
          <w:p>
            <w:pPr>
              <w:pStyle w:val="TableParagraph"/>
              <w:tabs>
                <w:tab w:pos="1828" w:val="left" w:leader="none"/>
                <w:tab w:pos="2862" w:val="left" w:leader="none"/>
              </w:tabs>
              <w:spacing w:line="208" w:lineRule="auto" w:before="0"/>
              <w:ind w:right="186"/>
              <w:rPr>
                <w:sz w:val="20"/>
              </w:rPr>
            </w:pPr>
            <w:r>
              <w:rPr>
                <w:sz w:val="20"/>
              </w:rPr>
              <w:t>&lt;span class="NormalTextRun SCXW126305243 BCX0" style="-webkit-user-drag: none; - webkit-tap-highlight-color: transparent; margin: 0px; padding: 0px; user-select: text;"&gt;no&lt;/span&gt;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w:t>
            </w:r>
            <w:r>
              <w:rPr>
                <w:spacing w:val="-4"/>
                <w:sz w:val="20"/>
              </w:rPr>
              <w:t>solid </w:t>
            </w:r>
            <w:r>
              <w:rPr>
                <w:sz w:val="20"/>
              </w:rPr>
              <w:t>transparent;"&gt;AREsp&lt;/span&gt;</w:t>
              <w:tab/>
              <w:t>&lt;span class="NormalTextRun SCXW126305243 BCX0" style="-webkit-user-drag: none; -webkit-tap-highlight-color: transparent; margin: 0px; padding: 0px; user-select: text;"&gt;: 1875374 TO 2021/0122991-8, Relator.: Ministra ASSUSETE MAGALHÃES, Data de Julgamento: 27/03/2023, T2 - SEGUNDA TURMA,</w:t>
            </w:r>
          </w:p>
          <w:p>
            <w:pPr>
              <w:pStyle w:val="TableParagraph"/>
              <w:tabs>
                <w:tab w:pos="2651" w:val="left" w:leader="none"/>
                <w:tab w:pos="2830" w:val="left" w:leader="none"/>
              </w:tabs>
              <w:spacing w:line="208" w:lineRule="auto" w:before="0"/>
              <w:ind w:right="186"/>
              <w:rPr>
                <w:sz w:val="20"/>
              </w:rPr>
            </w:pPr>
            <w:r>
              <w:rPr>
                <w:sz w:val="20"/>
              </w:rPr>
              <w:t>Data de Publicação:&lt;/span&gt;</w:t>
              <w:tab/>
              <w:tab/>
              <w:t>&lt;span class="NormalTextRun SpellingErrorV2Themed SCXW126305243 BCX0" style="-webkit-user-drag: none; -webkit-tap-highlight-color: transparent; margin: 0px; padding: 0px; user-select: text; background-position: 0px 100%; background-repeat: repeat-x; background-image: url(&amp;quot;data; border-bottom: 1px </w:t>
            </w:r>
            <w:r>
              <w:rPr>
                <w:spacing w:val="-4"/>
                <w:sz w:val="20"/>
              </w:rPr>
              <w:t>solid </w:t>
            </w:r>
            <w:r>
              <w:rPr>
                <w:sz w:val="20"/>
              </w:rPr>
              <w:t>transparent;"&gt;DJe&lt;/span&gt;</w:t>
              <w:tab/>
              <w:t>&lt;span class="NormalTextRun SCXW126305243 BCX0" style="-webkit-user-drag: none; -webkit-tap-highlight-color: transparent; margin: 0px; padding: 0px; user-select: text;"&gt;03/04/2023; STF - RE: 1497523 DF, Relator.: Min .</w:t>
            </w:r>
          </w:p>
          <w:p>
            <w:pPr>
              <w:pStyle w:val="TableParagraph"/>
              <w:tabs>
                <w:tab w:pos="4619" w:val="left" w:leader="none"/>
                <w:tab w:pos="4807" w:val="left" w:leader="none"/>
              </w:tabs>
              <w:spacing w:line="208" w:lineRule="auto" w:before="0"/>
              <w:ind w:right="95"/>
              <w:rPr>
                <w:sz w:val="20"/>
              </w:rPr>
            </w:pPr>
            <w:r>
              <w:rPr>
                <w:sz w:val="20"/>
              </w:rPr>
              <w:t>ANDRÉ MENDONÇA, Data de Julgamento: 19/11/2024, Segunda Turma, Data de Publicação: PROCESSO ELETRÔNICO&lt;/span&gt;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transparent;"&gt;DJe&lt;/span&gt;</w:t>
              <w:tab/>
              <w:tab/>
              <w:t>&lt;span class="NormalTextRun SCXW126305243 BCX0" style="-webkit-user-drag: none; -webkit-tap-highlight-color: transparent; margin: 0px; padding: 0px; user-select: text;"&gt;-s/n DIVULG 05-12-2024 PUBLIC 06-12-2024; TJ-CE - Agravo Interno Cível: 08687222320148060001 Fortaleza, Relator.: LUIZ EVALDO GONÇALVES LEITE, Data de Julgamento: 09/10/2024, 2ª Câmara Direito Público, Data de Publicação: 09/10/2024; TJ-CE - Apelação Cível: 02040391120238060001 Fortaleza, Relator.: FRANCISCO BEZERRA CAVALCANTE,</w:t>
            </w:r>
          </w:p>
          <w:p>
            <w:pPr>
              <w:pStyle w:val="TableParagraph"/>
              <w:tabs>
                <w:tab w:pos="3274" w:val="left" w:leader="none"/>
                <w:tab w:pos="4087" w:val="left" w:leader="none"/>
              </w:tabs>
              <w:spacing w:line="208" w:lineRule="auto" w:before="0"/>
              <w:ind w:right="86"/>
              <w:rPr>
                <w:sz w:val="20"/>
              </w:rPr>
            </w:pPr>
            <w:r>
              <w:rPr>
                <w:sz w:val="20"/>
              </w:rPr>
              <w:t>Data de Julgamento: 15/10/2024, 4ª Câmara Direito Privado, Data de Publicação: 15/10/2024. &amp;#160;&amp;#160;&lt;/span&gt;&lt;/span&gt;</w:t>
              <w:tab/>
              <w:t>&lt;span class="EOP SCXW126305243 </w:t>
            </w:r>
            <w:r>
              <w:rPr>
                <w:spacing w:val="-4"/>
                <w:sz w:val="20"/>
              </w:rPr>
              <w:t>BCX0" </w:t>
            </w:r>
            <w:r>
              <w:rPr>
                <w:sz w:val="20"/>
              </w:rPr>
              <w:t>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xml:lang="PT-BR"&gt;Acórdão: Vistos, relatados e discutidos estes autos, acordam os Desembargadores integrantes da 5ª Câmara Direito Privado do Tribunal de Justiça do Estado do Ceará, por unanimidade, em não conhecer do recurso de Apelação interposta por Osmar Grangeiro da Cruz, nos termos do voto do eminente</w:t>
            </w:r>
            <w:r>
              <w:rPr>
                <w:spacing w:val="12"/>
                <w:sz w:val="20"/>
              </w:rPr>
              <w:t> </w:t>
            </w:r>
            <w:r>
              <w:rPr>
                <w:spacing w:val="-2"/>
                <w:sz w:val="20"/>
              </w:rPr>
              <w:t>Relator.&lt;/span&gt;</w:t>
            </w:r>
          </w:p>
          <w:p>
            <w:pPr>
              <w:pStyle w:val="TableParagraph"/>
              <w:tabs>
                <w:tab w:pos="3968" w:val="left" w:leader="none"/>
              </w:tabs>
              <w:spacing w:line="208" w:lineRule="auto" w:before="0"/>
              <w:ind w:right="17"/>
              <w:rPr>
                <w:sz w:val="20"/>
              </w:rPr>
            </w:pPr>
            <w:r>
              <w:rPr>
                <w:sz w:val="20"/>
              </w:rPr>
              <w:t>&lt;/p&gt; &lt;p class="Paragraph SCXW126305243 BCX0" style="-webkit-user-drag: none; - webkit-tap-highlight-color: transparent; margin: 16px 0px 9.46667px; padding: 0px; user- select: text; overflow-wrap: break-word; white-space-collapse: preserve; vertical-align: baseline; font-kerning: none; background-color: transparent; color: windowtext; text-align: justify;" lang="PT-BR" xml:lang="PT-BR"&gt;</w:t>
              <w:tab/>
              <w:t>&lt;span class="TextRun SCXW126305243 BCX0" style="-webkit-user-drag: none; -webkit-tap-highlight-color: transparent; margin: </w:t>
            </w:r>
            <w:r>
              <w:rPr>
                <w:spacing w:val="-5"/>
                <w:sz w:val="20"/>
              </w:rPr>
              <w:t>0px; </w:t>
            </w:r>
            <w:r>
              <w:rPr>
                <w:sz w:val="20"/>
              </w:rPr>
              <w:t>padding: 0px; user-select: text; font-size: 12pt; line-height: 27px; font-family: &amp;quot;Courier New&amp;quot;, &amp;quot;Courier New_EmbeddedFont&amp;quot;, &amp;quot;Courier New_MSFontService&amp;quot;, monospace; font-variant-ligatures: none !important;"</w:t>
            </w:r>
          </w:p>
          <w:p>
            <w:pPr>
              <w:pStyle w:val="TableParagraph"/>
              <w:tabs>
                <w:tab w:pos="4631" w:val="left" w:leader="none"/>
              </w:tabs>
              <w:spacing w:line="208" w:lineRule="auto" w:before="0"/>
              <w:ind w:right="164"/>
              <w:rPr>
                <w:sz w:val="20"/>
              </w:rPr>
            </w:pPr>
            <w:r>
              <w:rPr>
                <w:sz w:val="20"/>
              </w:rPr>
              <w:t>lang="PT-BR" xml:lang="PT-BR"&gt;&amp;#160;&lt;/span&gt;</w:t>
              <w:tab/>
              <w:t>&lt;span class="TextRun SCXW126305243 BCX0" style="-webkit-user-drag: none; -webkit-tap-highlight-color: transparent; margin: 0px; padding: 0px; user-select: text; font-size: 12pt; line-height: </w:t>
            </w:r>
            <w:r>
              <w:rPr>
                <w:spacing w:val="-4"/>
                <w:sz w:val="20"/>
              </w:rPr>
              <w:t>27px; </w:t>
            </w:r>
            <w:r>
              <w:rPr>
                <w:sz w:val="20"/>
              </w:rPr>
              <w:t>font-family: &amp;quot;Courier New&amp;quot;, &amp;quot;Courier New_EmbeddedFont&amp;quot;, &amp;quot;Courier New_MSFontService&amp;quot;, monospace; font-variant-ligatures: none</w:t>
            </w:r>
          </w:p>
          <w:p>
            <w:pPr>
              <w:pStyle w:val="TableParagraph"/>
              <w:spacing w:line="205" w:lineRule="exact" w:before="0"/>
              <w:rPr>
                <w:sz w:val="20"/>
              </w:rPr>
            </w:pPr>
            <w:r>
              <w:rPr>
                <w:sz w:val="20"/>
              </w:rPr>
              <w:t>!important;" lang="PT-BR" xml:lang="PT-BR"&gt;Fortaleza, data e hora da assinatura</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63" w:val="left" w:leader="none"/>
                <w:tab w:pos="4620" w:val="left" w:leader="none"/>
              </w:tabs>
              <w:spacing w:line="208" w:lineRule="auto" w:before="26"/>
              <w:ind w:right="75"/>
              <w:rPr>
                <w:sz w:val="20"/>
              </w:rPr>
            </w:pPr>
            <w:r>
              <w:rPr>
                <w:sz w:val="20"/>
              </w:rPr>
              <w:t>digital.&lt;/span&gt;</w:t>
              <w:tab/>
              <w:t>&lt;span class="TextRun SCXW126305243 BCX0" style="-webkit-user- drag: none; -webkit-tap-highlight-color: transparent; margin: 0px; padding: 0px; </w:t>
            </w:r>
            <w:r>
              <w:rPr>
                <w:spacing w:val="-2"/>
                <w:sz w:val="20"/>
              </w:rPr>
              <w:t>user-select: </w:t>
            </w:r>
            <w:r>
              <w:rPr>
                <w:sz w:val="20"/>
              </w:rPr>
              <w:t>text; font-size: 12pt; line-height: 27px; font-family: &amp;quot;Courier New&amp;quot;, &amp;quot;Courier New_EmbeddedFont&amp;quot;, &amp;quot;Courier New_MSFontService&amp;quot;, monospace; font- variant-ligatures: none !important;" lang="PT-BR" xml:lang="PT- BR"&gt;&amp;#160;&amp;#160;&amp;#160;&amp;#160;&amp;#160;&lt;/span&gt;</w:t>
              <w:tab/>
              <w:t>&lt;span class="EOP SCXW126305243</w:t>
            </w:r>
          </w:p>
          <w:p>
            <w:pPr>
              <w:pStyle w:val="TableParagraph"/>
              <w:tabs>
                <w:tab w:pos="3274"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center;"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3274" w:val="left" w:leader="none"/>
                <w:tab w:pos="4921" w:val="left" w:leader="none"/>
                <w:tab w:pos="5677" w:val="left" w:leader="none"/>
              </w:tabs>
              <w:spacing w:line="208" w:lineRule="auto" w:before="0"/>
              <w:ind w:right="98"/>
              <w:rPr>
                <w:sz w:val="20"/>
              </w:rPr>
            </w:pPr>
            <w:r>
              <w:rPr>
                <w:sz w:val="20"/>
              </w:rPr>
              <w:t>lang="PT-BR" xml:lang="PT-BR"&gt;</w:t>
              <w:tab/>
              <w:t>&lt;strong&gt;Maria Regina Câmara de Oliveira&amp;#160;&amp;#160;&amp;#160;&lt;/strong&gt;&amp;#160;&amp;#160;&lt;/span&gt;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center;"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xml:lang="PT-BR"&gt;Presidente do Órgão Julgador&amp;#160;&amp;#160;&amp;#160;&amp;#160;&amp;#160;&lt;/span&gt;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center;"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xml:lang="PT-BR"&gt;&amp;#160;&amp;#160;&amp;#160;&amp;#160;&amp;#160;&amp;#160;&lt;/span&gt;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w:t>
            </w:r>
          </w:p>
          <w:p>
            <w:pPr>
              <w:pStyle w:val="TableParagraph"/>
              <w:spacing w:line="208" w:lineRule="auto" w:before="0"/>
              <w:ind w:right="-1"/>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32"/>
              <w:rPr>
                <w:sz w:val="20"/>
              </w:rPr>
            </w:pPr>
            <w:r>
              <w:rPr>
                <w:sz w:val="20"/>
              </w:rPr>
              <w:t>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center;" lang="PT-BR" xml:lang="PT-BR"&gt;</w:t>
            </w:r>
          </w:p>
          <w:p>
            <w:pPr>
              <w:pStyle w:val="TableParagraph"/>
              <w:tabs>
                <w:tab w:pos="1162" w:val="left" w:leader="none"/>
                <w:tab w:pos="6491" w:val="left" w:leader="none"/>
              </w:tabs>
              <w:spacing w:line="208" w:lineRule="auto" w:before="0"/>
              <w:ind w:right="76"/>
              <w:rPr>
                <w:sz w:val="20"/>
              </w:rPr>
            </w:pPr>
            <w:r>
              <w:rPr>
                <w:sz w:val="20"/>
              </w:rPr>
              <w:t>&lt;strong&gt;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w:t>
              <w:tab/>
              <w:t>&lt;span class="NormalTextRun SCXW126305243 BCX0" style="-webkit-user-drag: none; -webkit- tap-highlight-color: transparent; margin: 0px; padding: 0px; user-select:</w:t>
            </w:r>
            <w:r>
              <w:rPr>
                <w:spacing w:val="-18"/>
                <w:sz w:val="20"/>
              </w:rPr>
              <w:t> </w:t>
            </w:r>
            <w:r>
              <w:rPr>
                <w:sz w:val="20"/>
              </w:rPr>
              <w:t>text;"&gt;José&lt;/span&gt;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w:t>
            </w:r>
            <w:r>
              <w:rPr>
                <w:spacing w:val="-5"/>
                <w:sz w:val="20"/>
              </w:rPr>
              <w:t>0px; </w:t>
            </w:r>
            <w:r>
              <w:rPr>
                <w:sz w:val="20"/>
              </w:rPr>
              <w:t>user-select: text; background-position: 0px 100%; background-repeat: repeat-x; background-image: url(&amp;quot;data; border-bottom: 1px solid transparent;"&gt;Krentel&lt;/span&gt;</w:t>
            </w:r>
          </w:p>
          <w:p>
            <w:pPr>
              <w:pStyle w:val="TableParagraph"/>
              <w:tabs>
                <w:tab w:pos="1982" w:val="left" w:leader="none"/>
                <w:tab w:pos="2896" w:val="left" w:leader="none"/>
                <w:tab w:pos="4799" w:val="left" w:leader="none"/>
                <w:tab w:pos="6743" w:val="left" w:leader="none"/>
              </w:tabs>
              <w:spacing w:line="208" w:lineRule="auto" w:before="0"/>
              <w:ind w:right="25"/>
              <w:rPr>
                <w:sz w:val="20"/>
              </w:rPr>
            </w:pPr>
            <w:r>
              <w:rPr>
                <w:sz w:val="20"/>
              </w:rPr>
              <w:t>&lt;span class="NormalTextRun SCXW126305243 BCX0" style="-webkit-user-drag: none; - webkit-tap-highlight-color: transparent; margin: 0px; padding: 0px; user-select: text;"&gt;Ferreira Filho&amp;#160;&amp;#160;&amp;#160;&amp;#160;&amp;#160;&lt;/span&gt;&lt;/span&gt;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w:t>
              <w:tab/>
              <w:t>&lt;/strong&gt;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white-space-collapse: preserve; vertical-align: baseline; font-kerning: none; background-color: transparent; color: windowtext; text-align: center;" lang="PT-BR" xml:lang="PT-BR"&gt;</w:t>
              <w:tab/>
              <w:t>&lt;span class="TextRun SCXW126305243 BCX0" style="-webkit-user- drag: none; -webkit-tap-highlight-color: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xml:lang="PT-BR"&gt;Juiz Convocado - Relator&amp;#160;&amp;#160;&amp;#160;&amp;#160;&amp;#160;&lt;/span&gt;</w:t>
              <w:tab/>
              <w:t>&lt;span class="EOP</w:t>
            </w:r>
            <w:r>
              <w:rPr>
                <w:spacing w:val="7"/>
                <w:sz w:val="20"/>
              </w:rPr>
              <w:t> </w:t>
            </w:r>
            <w:r>
              <w:rPr>
                <w:spacing w:val="-2"/>
                <w:sz w:val="20"/>
              </w:rPr>
              <w:t>SCXW126305243</w:t>
            </w:r>
          </w:p>
          <w:p>
            <w:pPr>
              <w:pStyle w:val="TableParagraph"/>
              <w:tabs>
                <w:tab w:pos="3274"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center;"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6533" w:val="left" w:leader="none"/>
              </w:tabs>
              <w:spacing w:line="208" w:lineRule="auto" w:before="0"/>
              <w:ind w:right="38"/>
              <w:rPr>
                <w:sz w:val="20"/>
              </w:rPr>
            </w:pPr>
            <w:r>
              <w:rPr>
                <w:sz w:val="20"/>
              </w:rPr>
              <w:t>lang="PT-BR" xml:lang="PT-BR"&gt;&amp;#160;&amp;#160;&amp;#160;&amp;#160;&lt;/span&gt;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center;" lang="PT-BR" xml:lang="PT-BR"&gt;</w:t>
            </w:r>
          </w:p>
          <w:p>
            <w:pPr>
              <w:pStyle w:val="TableParagraph"/>
              <w:spacing w:line="205" w:lineRule="exact" w:before="0"/>
              <w:rPr>
                <w:sz w:val="20"/>
              </w:rPr>
            </w:pPr>
            <w:r>
              <w:rPr>
                <w:sz w:val="20"/>
              </w:rPr>
              <w:t>&lt;span class="TextRun SCXW126305243 BCX0" style="-webkit-user-drag: none; -webkit-</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 w:pos="5141" w:val="left" w:leader="none"/>
              </w:tabs>
              <w:spacing w:line="208" w:lineRule="auto" w:before="26"/>
              <w:ind w:right="42"/>
              <w:rPr>
                <w:sz w:val="20"/>
              </w:rPr>
            </w:pPr>
            <w:r>
              <w:rPr>
                <w:sz w:val="20"/>
              </w:rPr>
              <w:t>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 BR"&gt;RELATÓRIO&amp;#160;&amp;#160;&amp;#160;&amp;#160;&lt;/span&gt;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3152" w:val="left" w:leader="none"/>
              </w:tabs>
              <w:spacing w:line="208" w:lineRule="auto" w:before="0"/>
              <w:ind w:right="17"/>
              <w:rPr>
                <w:sz w:val="20"/>
              </w:rPr>
            </w:pPr>
            <w:r>
              <w:rPr>
                <w:sz w:val="20"/>
              </w:rPr>
              <w:t>lang="PT-BR" xml:lang="PT-BR"&gt;Trata-se de Apelação interposta por Osmar Grangeiro da Cruz contra sentença proferida pelo Juízo da Vara Única da Comarca de Missão Velha, nos autos da Ação de Exoneração de Alimentos, na qual pleiteou a cessação do pagamento de pensão alimentícia anteriormente fixada em favor de Socorro Tavares Santana, maior e capaz.&lt;/span&gt;</w:t>
              <w:tab/>
              <w:t>&lt;span class="EOP SCXW126305243 BCX0" style="- 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968" w:val="left" w:leader="none"/>
                <w:tab w:pos="5443"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xml:lang="PT-BR"&gt;Junto os seguintes trechos e dispositivo da r. sentença:&amp;#160;&amp;#160;&lt;/span&gt;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24px 9.46667px 240px; padding: 0px; user- select: text; overflow-wrap: break-word; white-space-collapse: preserve; vertical-align: baseline; font-kerning: none; background-color: transparent; color: windowtext; text-align: justify;" lang="PT-BR" xml:lang="PT-BR"&gt;</w:t>
              <w:tab/>
              <w:t>&lt;span class="TextRun SCXW126305243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 font-variant-ligatures: none !important;" lang="PT-BR" xml:lang="PT-BR"&gt;“Isto posto, considerando tudo mais dos autos consta, JULGO IMPROCEDENTE o pedido constante na inicial, e por consequência extingo o feito com resolução de mérito, nos termos do art. 487, I, do CPC. CONDENAR, por fim, a parte autora, em razão de sua sucumbência, ao pagamento das despesas processuais e dos honorários advocatícios, que fixo em 10% do valor da causa, nos termos do art. 85, § 2º, do NCPC, ficando suspensa a exigibilidade desta quantia, haja vista a concessão dos benefícios da justiça gratuita. Transitada em julgado, arquivem-se os autos com as cautelas de praxe. P. R. I.”&amp;#160;&lt;/span&gt;</w:t>
              <w:tab/>
              <w:t>&lt;span class="EOP SCXW126305243 BCX0"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64"/>
              <w:rPr>
                <w:sz w:val="20"/>
              </w:rPr>
            </w:pPr>
            <w:r>
              <w:rPr>
                <w:sz w:val="20"/>
              </w:rPr>
              <w:t>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spacing w:line="208" w:lineRule="auto" w:before="0"/>
              <w:ind w:right="33"/>
              <w:rPr>
                <w:sz w:val="20"/>
              </w:rPr>
            </w:pPr>
            <w:r>
              <w:rPr>
                <w:sz w:val="20"/>
              </w:rPr>
              <w:t>lang="PT-BR" xml:lang="PT-BR"&gt; &lt;span class="NormalTextRun SCXW126305243 </w:t>
            </w:r>
            <w:r>
              <w:rPr>
                <w:spacing w:val="-4"/>
                <w:sz w:val="20"/>
              </w:rPr>
              <w:t>BCX0" </w:t>
            </w:r>
            <w:r>
              <w:rPr>
                <w:sz w:val="20"/>
              </w:rPr>
              <w:t>style="-webkit-user-drag: none; -webkit-tap-highlight-color: transparent; margin: 0px; padding: 0px; user-select: text;"&gt;O apelante sustenta que vem pagando alimentos à ex- cônjuge há mais de dezesseis anos e alega que, ao contrário do que consta na sentença, não há necessidade de reinserção da apelada no mercado de trabalho, uma vez que&lt;/span&gt; &lt;span class="NormalTextRun SCXW126305243 BCX0" style="-webkit-user- drag: none; -webkit-tap-highlight-color: transparent; margin: 0px; padding: 0px; user-select: text;"&gt;está&lt;/span&gt; &lt;span class="NormalTextRun SCXW126305243 BCX0" style="- webkit-user-drag: none; -webkit-tap-highlight-color: transparent; margin: 0px; padding: 0px; user-select: text;"&gt;se aposentou após a fixação dos alimentos. Aduz, ainda, que houve alteração significativa da situação financeira da parte apelada, que passou a perceber salário de aposentadoria, bem como alteração da situação financeira do apelante, atualmente com 74 anos de idade, acometido por câncer de próstata, necessitando destinar parcela considerável de sua aposentadoria ao tratamento médico, razão pela qual pleiteia a exoneração do encargo alimentar.&amp;#160;&lt;/span&gt;&lt;/span&gt; &lt;span class="LineBreakBlob BlobObject DragDrop SCXW126305243 BCX0" style="-webkit-user- drag: none; -webkit-tap-highlight-color: transparent; margin: 0px; padding: 0px; user-select: text; font-size: 12pt; line-height: 27px; font-family: WordVisiCarriageReturn_MSFontService, &amp;quot;Courier New&amp;quot;, &amp;quot;Courier New_EmbeddedFont&amp;quot;, &amp;quot;Courier New_MSFontService&amp;quot;, monospace;"&gt;</w:t>
            </w:r>
          </w:p>
          <w:p>
            <w:pPr>
              <w:pStyle w:val="TableParagraph"/>
              <w:tabs>
                <w:tab w:pos="3463" w:val="left" w:leader="none"/>
              </w:tabs>
              <w:spacing w:line="208" w:lineRule="auto" w:before="0"/>
              <w:ind w:right="91"/>
              <w:rPr>
                <w:sz w:val="20"/>
              </w:rPr>
            </w:pPr>
            <w:r>
              <w:rPr>
                <w:sz w:val="20"/>
              </w:rPr>
              <w:t>&lt;span class="SCXW126305243 BCX0" style="-webkit-user-drag: none; -webkit-tap- highlight-color: transparent; margin: 0px; padding: 0px; user-select: text; text-wrap-mode: nowrap !important;"&gt;&amp;#160;&lt;/span&gt;</w:t>
              <w:tab/>
              <w:t>&lt;br class="SCXW126305243 BCX0" </w:t>
            </w:r>
            <w:r>
              <w:rPr>
                <w:spacing w:val="-2"/>
                <w:sz w:val="20"/>
              </w:rPr>
              <w:t>style="-webkit- </w:t>
            </w:r>
            <w:r>
              <w:rPr>
                <w:sz w:val="20"/>
              </w:rPr>
              <w:t>user-drag: none; -webkit-tap-highlight-color: transparent; margin: 0px; padding: 0px; user- select: text; text-wrap-mode: nowrap !important;" /&gt; &lt;/span&gt;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w:t>
            </w:r>
          </w:p>
          <w:p>
            <w:pPr>
              <w:pStyle w:val="TableParagraph"/>
              <w:spacing w:line="208" w:lineRule="auto" w:before="0"/>
              <w:ind w:right="75"/>
              <w:rPr>
                <w:sz w:val="20"/>
              </w:rPr>
            </w:pPr>
            <w:r>
              <w:rPr>
                <w:sz w:val="20"/>
              </w:rPr>
              <w:t>!important;" lang="PT-BR" xml:lang="PT-BR"&gt;&amp;#160;&lt;/span&gt; &lt;span class="LineBreakBlob BlobObject DragDrop SCXW126305243 BCX0" style="-webkit-user- drag: none; -webkit-tap-highlight-color: transparent; margin: 0px; padding: 0px; </w:t>
            </w:r>
            <w:r>
              <w:rPr>
                <w:spacing w:val="-2"/>
                <w:sz w:val="20"/>
              </w:rPr>
              <w:t>user-select: </w:t>
            </w:r>
            <w:r>
              <w:rPr>
                <w:sz w:val="20"/>
              </w:rPr>
              <w:t>text; font-size: 12pt; line-height: 27px; font-family: WordVisiCarriageReturn_MSFontService, &amp;quot;Courier New&amp;quot;, &amp;quot;Courier New_EmbeddedFont&amp;quot;, &amp;quot;Courier New_MSFontService&amp;quot;, monospace;"&gt;</w:t>
            </w:r>
          </w:p>
          <w:p>
            <w:pPr>
              <w:pStyle w:val="TableParagraph"/>
              <w:tabs>
                <w:tab w:pos="3463" w:val="left" w:leader="none"/>
              </w:tabs>
              <w:spacing w:line="208" w:lineRule="auto" w:before="0"/>
              <w:ind w:right="91"/>
              <w:rPr>
                <w:sz w:val="20"/>
              </w:rPr>
            </w:pPr>
            <w:r>
              <w:rPr>
                <w:sz w:val="20"/>
              </w:rPr>
              <w:t>&lt;span class="SCXW126305243 BCX0" style="-webkit-user-drag: none; -webkit-tap- highlight-color: transparent; margin: 0px; padding: 0px; user-select: text; text-wrap-mode: nowrap !important;"&gt;&amp;#160;&lt;/span&gt;</w:t>
              <w:tab/>
              <w:t>&lt;br class="SCXW126305243 BCX0" </w:t>
            </w:r>
            <w:r>
              <w:rPr>
                <w:spacing w:val="-2"/>
                <w:sz w:val="20"/>
              </w:rPr>
              <w:t>style="-webkit- </w:t>
            </w:r>
            <w:r>
              <w:rPr>
                <w:sz w:val="20"/>
              </w:rPr>
              <w:t>user-drag: none; -webkit-tap-highlight-color: transparent; margin: 0px; padding: 0px; user- select: text; text-wrap-mode: nowrap !important;" /&gt; &lt;/span&gt;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w:t>
            </w:r>
          </w:p>
          <w:p>
            <w:pPr>
              <w:pStyle w:val="TableParagraph"/>
              <w:tabs>
                <w:tab w:pos="1539" w:val="left" w:leader="none"/>
                <w:tab w:pos="4574" w:val="left" w:leader="none"/>
              </w:tabs>
              <w:spacing w:line="208" w:lineRule="auto" w:before="0"/>
              <w:ind w:right="164"/>
              <w:rPr>
                <w:sz w:val="20"/>
              </w:rPr>
            </w:pPr>
            <w:r>
              <w:rPr>
                <w:sz w:val="20"/>
              </w:rPr>
              <w:t>!important;" lang="PT-BR" xml:lang="PT-BR"&gt;A apelada não apresentou contrarrazões.&amp;#160;&lt;/span&gt; &lt;span class="LineBreakBlob BlobObject DragDrop SCXW126305243 BCX0" style="-webkit-user-drag: none; -webkit-tap-highlight-color: transparent; margin: 0px; padding: 0px; user-select: text; font-size: 12pt; line-height: </w:t>
            </w:r>
            <w:r>
              <w:rPr>
                <w:spacing w:val="-4"/>
                <w:sz w:val="20"/>
              </w:rPr>
              <w:t>27px; </w:t>
            </w:r>
            <w:r>
              <w:rPr>
                <w:sz w:val="20"/>
              </w:rPr>
              <w:t>font-family: WordVisiCarriageReturn_MSFontService, &amp;quot;Courier New&amp;quot;, &amp;quot;Courier New_EmbeddedFont&amp;quot;, &amp;quot;Courier New_MSFontService&amp;quot;, monospace;"&gt;</w:t>
              <w:tab/>
              <w:t>&lt;span class="SCXW126305243 BCX0" style="-webkit-user-drag: none; </w:t>
            </w:r>
            <w:r>
              <w:rPr>
                <w:spacing w:val="-13"/>
                <w:sz w:val="20"/>
              </w:rPr>
              <w:t>- </w:t>
            </w:r>
            <w:r>
              <w:rPr>
                <w:sz w:val="20"/>
              </w:rPr>
              <w:t>webkit-tap-highlight-color: transparent; margin: 0px; padding: 0px; user-select: text; text- wrap-mode: nowrap !important;"&gt;&amp;#160;&lt;/span&gt;</w:t>
              <w:tab/>
              <w:t>&lt;br class="SCXW126305243 BCX0"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42"/>
              <w:rPr>
                <w:sz w:val="20"/>
              </w:rPr>
            </w:pPr>
            <w:r>
              <w:rPr>
                <w:sz w:val="20"/>
              </w:rPr>
              <w:t>style="-webkit-user-drag: none; -webkit-tap-highlight-color: transparent; margin: 0px; padding: 0px; user-select: text; text-wrap-mode: nowrap !important;" /&gt; &lt;/span&gt; &lt;span class="TextRun SCXW126305243 BCX0" style="-webkit-user-drag: none; -webkit-tap- 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xml:lang="PT-BR"&gt;&amp;#160;&lt;/span&gt;</w:t>
            </w:r>
          </w:p>
          <w:p>
            <w:pPr>
              <w:pStyle w:val="TableParagraph"/>
              <w:spacing w:line="208" w:lineRule="auto" w:before="0"/>
              <w:ind w:right="75"/>
              <w:rPr>
                <w:sz w:val="20"/>
              </w:rPr>
            </w:pPr>
            <w:r>
              <w:rPr>
                <w:sz w:val="20"/>
              </w:rPr>
              <w:t>&lt;span class="LineBreakBlob BlobObject DragDrop SCXW126305243 BCX0" style="- webkit-user-drag: none; -webkit-tap-highlight-color: transparent; margin: 0px; padding: 0px; user-select: text; font-size: 12pt; line-height: 27px; font-family: WordVisiCarriageReturn_MSFontService, &amp;quot;Courier New&amp;quot;, &amp;quot;Courier New_EmbeddedFont&amp;quot;, &amp;quot;Courier New_MSFontService&amp;quot;, monospace;"&gt;</w:t>
            </w:r>
          </w:p>
          <w:p>
            <w:pPr>
              <w:pStyle w:val="TableParagraph"/>
              <w:tabs>
                <w:tab w:pos="3463" w:val="left" w:leader="none"/>
              </w:tabs>
              <w:spacing w:line="208" w:lineRule="auto" w:before="0"/>
              <w:ind w:right="91"/>
              <w:rPr>
                <w:sz w:val="20"/>
              </w:rPr>
            </w:pPr>
            <w:r>
              <w:rPr>
                <w:sz w:val="20"/>
              </w:rPr>
              <w:t>&lt;span class="SCXW126305243 BCX0" style="-webkit-user-drag: none; -webkit-tap- highlight-color: transparent; margin: 0px; padding: 0px; user-select: text; text-wrap-mode: nowrap !important;"&gt;&amp;#160;&lt;/span&gt;</w:t>
              <w:tab/>
              <w:t>&lt;br class="SCXW126305243 BCX0" </w:t>
            </w:r>
            <w:r>
              <w:rPr>
                <w:spacing w:val="-2"/>
                <w:sz w:val="20"/>
              </w:rPr>
              <w:t>style="-webkit- </w:t>
            </w:r>
            <w:r>
              <w:rPr>
                <w:sz w:val="20"/>
              </w:rPr>
              <w:t>user-drag: none; -webkit-tap-highlight-color: transparent; margin: 0px; padding: 0px; user- select: text; text-wrap-mode: nowrap !important;" /&gt; &lt;/span&gt; &lt;span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w:t>
            </w:r>
          </w:p>
          <w:p>
            <w:pPr>
              <w:pStyle w:val="TableParagraph"/>
              <w:tabs>
                <w:tab w:pos="1982" w:val="left" w:leader="none"/>
                <w:tab w:pos="2786" w:val="left" w:leader="none"/>
              </w:tabs>
              <w:spacing w:line="208" w:lineRule="auto" w:before="0"/>
              <w:ind w:right="17"/>
              <w:rPr>
                <w:sz w:val="20"/>
              </w:rPr>
            </w:pPr>
            <w:r>
              <w:rPr>
                <w:sz w:val="20"/>
              </w:rPr>
              <w:t>!important;" lang="PT-BR" xml:lang="PT-BR"&gt;O Ministério Público, em parecer de Id 28366719, opinou pelo conhecimento da Apelação, abstendo-se, contudo, de se manifestar quanto ao mérito, diante da inexistência de previsão legal que exija sua intervenção em demandas alimentares entre partes maiores e capazes, ressaltando a ausência de nulidades ou irregularidades processuais.&amp;#160;&lt;/span&gt; &lt;span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lang="PT-BR" xml:lang="PT-BR"&gt;</w:t>
              <w:tab/>
              <w:t>&lt;span class="TextRun SCXW126305243 BCX0" style="-webkit-user- drag: none; -webkit-tap-highlight-color: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xml:lang="PT-BR"&gt;&amp;#160;É o relatório no essencial.&amp;#160;&lt;/span&gt;</w:t>
              <w:tab/>
              <w:t>&lt;span class="EOP SCXW126305243 BCX0" style="-webkit- user-drag: none; -webkit-tap-highlight-color: transparent; margin: 0px; padding: 0px; user- 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center;" lang="PT-BR" xml:lang="PT-BR"&gt;</w:t>
            </w:r>
          </w:p>
          <w:p>
            <w:pPr>
              <w:pStyle w:val="TableParagraph"/>
              <w:tabs>
                <w:tab w:pos="4552"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 BR"&gt;VOTO&amp;#160;&amp;#160;&amp;#160;&amp;#160;&lt;/span&gt;</w:t>
              <w:tab/>
              <w:t>&lt;span class="EOP SCXW126305243</w:t>
            </w:r>
          </w:p>
          <w:p>
            <w:pPr>
              <w:pStyle w:val="TableParagraph"/>
              <w:spacing w:line="208" w:lineRule="auto" w:before="0"/>
              <w:ind w:right="17"/>
              <w:rPr>
                <w:sz w:val="20"/>
              </w:rPr>
            </w:pPr>
            <w:r>
              <w:rPr>
                <w:sz w:val="20"/>
              </w:rPr>
              <w:t>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 w:pos="3931" w:val="left" w:leader="none"/>
                <w:tab w:pos="7178" w:val="left" w:leader="none"/>
              </w:tabs>
              <w:spacing w:line="208" w:lineRule="auto" w:before="26"/>
              <w:ind w:right="98"/>
              <w:rPr>
                <w:sz w:val="20"/>
              </w:rPr>
            </w:pPr>
            <w:r>
              <w:rPr>
                <w:sz w:val="20"/>
              </w:rPr>
              <w:t>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xml:lang="PT-BR"&gt;Versam os autos sobre Apelação interposta por Osmar Grangeiro da Cruz contra sentença proferida pelo Juízo da Vara Única da Comarca de Missão Velha, nos autos da Ação de Exoneração de Alimentos, na qual pleiteou a cessação do pagamento de pensão alimentícia anteriormente fixada em favor de Socorro Tavares Santana, maior e capaz.&lt;/span&gt;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xml:lang="PT-BR"&gt;Todavia, ao examinar detidamente as razões recursais, constata-se óbice intransponível à admissibilidade do apelo, diante da inobservância de requisito essencial ao seu conhecimento.&amp;#160;&amp;#160;&amp;#160;&amp;#160;&lt;/span&gt;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w:t>
            </w:r>
          </w:p>
          <w:p>
            <w:pPr>
              <w:pStyle w:val="TableParagraph"/>
              <w:spacing w:line="208" w:lineRule="auto" w:before="0"/>
              <w:ind w:right="17"/>
              <w:rPr>
                <w:sz w:val="20"/>
              </w:rPr>
            </w:pPr>
            <w:r>
              <w:rPr>
                <w:sz w:val="20"/>
              </w:rPr>
              <w:t>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274" w:val="left" w:leader="none"/>
                <w:tab w:pos="4365"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xml:lang="PT-BR"&gt;Nos termos do artigo 1.010, inciso II, do CPC, o recurso de apelação deve expor, de forma clara e fundamentada, os elementos fáticos e jurídicos que embasam o inconformismo da parte, demonstrando de maneira objetiva os motivos que justificam a reforma da decisão recorrida.&amp;#160;&amp;#160;&amp;#160;&amp;#160;&lt;/span&gt;</w:t>
              <w:tab/>
              <w:t>&lt;span class="EOP SCXW126305243 BCX0" style="-webkit-user-drag: none; -webkit-tap-highlight-color: transparent; margin: </w:t>
            </w:r>
            <w:r>
              <w:rPr>
                <w:spacing w:val="-5"/>
                <w:sz w:val="20"/>
              </w:rPr>
              <w:t>0px; </w:t>
            </w:r>
            <w:r>
              <w:rPr>
                <w:sz w:val="20"/>
              </w:rPr>
              <w:t>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 w:pos="5132" w:val="left" w:leader="none"/>
              </w:tabs>
              <w:spacing w:line="208" w:lineRule="auto" w:before="26"/>
              <w:ind w:right="98"/>
              <w:rPr>
                <w:sz w:val="20"/>
              </w:rPr>
            </w:pPr>
            <w:r>
              <w:rPr>
                <w:sz w:val="20"/>
              </w:rPr>
              <w:t>padding: 0px; user-select: text; font-size: 12pt; line-height: 27px; font-family: &amp;quot;Courier New&amp;quot;, &amp;quot;Courier New_EmbeddedFont&amp;quot;, &amp;quot;Courier New_MSFontService&amp;quot;, monospace; font-variant-ligatures: none !important;" lang="PT-BR" xml:lang="PT-BR"&gt;Trata-se da exigência consagrada no princípio da dialeticidade, segundo o qual cabe ao recorrente impugnar, de forma específica, os fundamentos adotados na sentença, viabilizando o contraditório e a atuação efetiva da instância revisora.&amp;#160;&amp;#160;&amp;#160;&amp;#160;&lt;/span&gt;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w:t>
              <w:tab/>
              <w:t>&lt;span class="NormalTextRun SCXW126305243</w:t>
            </w:r>
          </w:p>
          <w:p>
            <w:pPr>
              <w:pStyle w:val="TableParagraph"/>
              <w:tabs>
                <w:tab w:pos="6097"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text;"&gt;No caso, verifica-se que&lt;/span&gt;</w:t>
              <w:tab/>
              <w:t>&lt;span class="NormalTextRun SCXW126305243 BCX0" style="-webkit-user-drag: none; -webkit- tap-highlight-color: transparent; margin: 0px; padding: 0px; user-select: text;"&gt;o&lt;/span&gt;</w:t>
            </w:r>
          </w:p>
          <w:p>
            <w:pPr>
              <w:pStyle w:val="TableParagraph"/>
              <w:tabs>
                <w:tab w:pos="6856" w:val="left" w:leader="none"/>
              </w:tabs>
              <w:spacing w:line="208" w:lineRule="auto" w:before="0"/>
              <w:ind w:right="38"/>
              <w:rPr>
                <w:sz w:val="20"/>
              </w:rPr>
            </w:pPr>
            <w:r>
              <w:rPr>
                <w:sz w:val="20"/>
              </w:rPr>
              <w:t>&lt;span class="NormalTextRun SCXW126305243 BCX0" style="-webkit-user-drag: none; - webkit-tap-highlight-color: transparent; margin: 0px; padding: 0px; user-select: text;"&gt;apelante não apresentou argumentos novos capazes de infirmar os fundamentos adotados pelo magistrado sentenciante, tendo apenas reproduzido, de maneira quase literal, as alegações expendidas na exordial e na réplica, já devidamente analisadas e rechaçadas pelo Juízo a quo.&amp;#160;&amp;#160;&amp;#160;&amp;#160;&lt;/span&gt;&lt;/span&gt;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6380" w:val="left" w:leader="none"/>
              </w:tabs>
              <w:spacing w:line="208" w:lineRule="auto" w:before="0"/>
              <w:ind w:right="19"/>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w:t>
              <w:tab/>
              <w:t>&lt;span class="NormalTextRun SCXW126305243 BCX0" style="-webkit-user-drag: none; -webkit- tap-highlight-color: transparent; margin: 0px; padding: 0px; user-select: text;"&gt;Tal conduta evidencia a ausência de dialeticidade recursal, pois o recurso não se presta à </w:t>
            </w:r>
            <w:r>
              <w:rPr>
                <w:spacing w:val="-2"/>
                <w:sz w:val="20"/>
              </w:rPr>
              <w:t>reapreciação </w:t>
            </w:r>
            <w:r>
              <w:rPr>
                <w:sz w:val="20"/>
              </w:rPr>
              <w:t>de teses genéricas ou repetitivas, mas sim ao enfrentamento específico da ratio&lt;/span&gt;</w:t>
            </w:r>
          </w:p>
          <w:p>
            <w:pPr>
              <w:pStyle w:val="TableParagraph"/>
              <w:tabs>
                <w:tab w:pos="3151" w:val="left" w:leader="none"/>
                <w:tab w:pos="5288" w:val="left" w:leader="none"/>
              </w:tabs>
              <w:spacing w:line="208" w:lineRule="auto" w:before="0"/>
              <w:ind w:right="4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transparent;"&gt;decidendi&lt;/span&gt;</w:t>
              <w:tab/>
              <w:t>&lt;span class="NormalTextRun SCXW126305243 </w:t>
            </w:r>
            <w:r>
              <w:rPr>
                <w:spacing w:val="-4"/>
                <w:sz w:val="20"/>
              </w:rPr>
              <w:t>BCX0" </w:t>
            </w:r>
            <w:r>
              <w:rPr>
                <w:sz w:val="20"/>
              </w:rPr>
              <w:t>style="-webkit-user-drag: none; -webkit-tap-highlight-color: transparent; margin: 0px; padding: 0px; user-select: text;"&gt;da decisão impugnada.&amp;#160;&amp;#160;&amp;#160;&amp;#160;&lt;/span&gt;&lt;/span&gt;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 w:pos="6578" w:val="left" w:leader="none"/>
              </w:tabs>
              <w:spacing w:line="208" w:lineRule="auto" w:before="26"/>
              <w:ind w:right="98"/>
              <w:rPr>
                <w:sz w:val="20"/>
              </w:rPr>
            </w:pPr>
            <w:r>
              <w:rPr>
                <w:sz w:val="20"/>
              </w:rPr>
              <w:t>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xml:lang="PT-BR"&gt;A jurisprudência pátria é pacífica no sentido de que a ausência de impugnação específica aos fundamentos da sentença acarreta o não conhecimento do recurso, como se extrai dos seguintes precedentes:&amp;#160;&amp;#160;&amp;#160;&amp;#160;&amp;#160;&amp;#160;&amp;#160;&lt;/span&gt;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w:t>
            </w:r>
          </w:p>
          <w:p>
            <w:pPr>
              <w:pStyle w:val="TableParagraph"/>
              <w:spacing w:line="208" w:lineRule="auto" w:before="0"/>
              <w:ind w:right="17"/>
              <w:rPr>
                <w:sz w:val="20"/>
              </w:rPr>
            </w:pPr>
            <w:r>
              <w:rPr>
                <w:sz w:val="20"/>
              </w:rPr>
              <w:t>monospace;"&gt;&amp;#160;&lt;/span&gt;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22"/>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xml:lang="PT-BR"&gt;Supremo Tribunal Federal:&amp;#160;&amp;#160;&amp;#160;&amp;#160;&amp;#160;&amp;#160;&amp;#160;&amp;#160;&amp;#160;&amp;#160;&amp;#160;&lt;/sp</w:t>
            </w:r>
          </w:p>
          <w:p>
            <w:pPr>
              <w:pStyle w:val="TableParagraph"/>
              <w:tabs>
                <w:tab w:pos="601" w:val="left" w:leader="none"/>
              </w:tabs>
              <w:spacing w:line="208" w:lineRule="auto" w:before="0"/>
              <w:ind w:right="17"/>
              <w:rPr>
                <w:sz w:val="20"/>
              </w:rPr>
            </w:pPr>
            <w:r>
              <w:rPr>
                <w:sz w:val="20"/>
              </w:rPr>
              <w:t>an&gt;</w:t>
              <w:tab/>
              <w:t>&lt;span class="EOP SCXW126305243 BCX0" style="-webkit-user-drag: none; - webkit-tap-highlight-color: transparent; margin: 0px; padding: 0px; user-select: text; font- 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2718" w:val="left" w:leader="none"/>
                <w:tab w:pos="7112" w:val="left" w:leader="none"/>
              </w:tabs>
              <w:spacing w:line="208" w:lineRule="auto" w:before="0"/>
              <w:ind w:right="38"/>
              <w:rPr>
                <w:sz w:val="20"/>
              </w:rPr>
            </w:pPr>
            <w:r>
              <w:rPr>
                <w:sz w:val="20"/>
              </w:rPr>
              <w:t>&lt;span class="TextRun SCXW126305243 BCX0" style="-webkit-user-drag: none; -webkit- tap-highlight-color: transparent; margin: 0px; padding: 0px; user-select: text; font-size: </w:t>
            </w:r>
            <w:r>
              <w:rPr>
                <w:spacing w:val="-3"/>
                <w:sz w:val="20"/>
              </w:rPr>
              <w:t>12pt; </w:t>
            </w:r>
            <w:r>
              <w:rPr>
                <w:sz w:val="20"/>
              </w:rPr>
              <w:t>line-height: 20.7px; font-family: &amp;quot;Times New Roman&amp;quot;, &amp;quot;Times New Roman_EmbeddedFont&amp;quot;, &amp;quot;Times New Roman_MSFontService&amp;quot;, serif; font-variant-ligatures: none !important;" lang="PT-BR" xml:lang="PT-BR"&gt;Súmula 283: É inadmissível o recurso extraordinário, quando a decisão recorrida assenta em mais de um fundamento suficiente e o recurso não abrange todos eles.&amp;#160;&amp;#160;&amp;#160;&amp;#160;&amp;#160;&amp;#160;&amp;#160;&amp;#160;&amp;#160;&lt;/span&gt;</w:t>
              <w:tab/>
              <w:t>&lt;span class="TextRun SCXW126305243 BCX0" style="-webkit-user-drag: none; -webkit-tap- highlight-color: transparent; margin: 0px; padding: 0px; user-select: text; font-size: 12pt; line-height: 20.7px; font-family: &amp;quot;Courier New&amp;quot;, &amp;quot;Courier New_EmbeddedFont&amp;quot;, &amp;quot;Courier New_MSFontService&amp;quot;, monospace; font- variant-ligatures: none !important;" lang="PT-BR" xml:lang="PT- BR"&gt;&amp;#160;&amp;#160;&lt;/span&gt;</w:t>
              <w:tab/>
              <w:t>&lt;span class="EOP SCXW126305243 BCX0" style="-webkit- user-drag: none; -webkit-tap-highlight-color: transparent; margin: 0px; padding: 0px; user- select: text; font-size: 12pt; line-height: 20.7px;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4"/>
              <w:rPr>
                <w:sz w:val="20"/>
              </w:rPr>
            </w:pPr>
            <w:r>
              <w:rPr>
                <w:sz w:val="20"/>
              </w:rPr>
              <w:t>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20.7px; font-family: &amp;quot;Courier New&amp;quot;, &amp;quot;Courier New_EmbeddedFont&amp;quot;, &amp;quot;Courier New_MSFontService&amp;quot;, monospace; font- variant-ligatures: none !important;" lang="PT-BR" xml:lang="PT-BR"&gt;Superior Tribunal de Justiça:&amp;#160;&amp;#160;&amp;#160;&amp;#160;&amp;#160;&amp;#160;&amp;#160;&amp;#160;&amp;#160;&amp;#160;&amp;#160;&lt;/sp</w:t>
            </w:r>
          </w:p>
          <w:p>
            <w:pPr>
              <w:pStyle w:val="TableParagraph"/>
              <w:tabs>
                <w:tab w:pos="601" w:val="left" w:leader="none"/>
              </w:tabs>
              <w:spacing w:line="208" w:lineRule="auto" w:before="0"/>
              <w:ind w:right="17"/>
              <w:rPr>
                <w:sz w:val="20"/>
              </w:rPr>
            </w:pPr>
            <w:r>
              <w:rPr>
                <w:sz w:val="20"/>
              </w:rPr>
              <w:t>an&gt;</w:t>
              <w:tab/>
              <w:t>&lt;span class="EOP SCXW126305243 BCX0" style="-webkit-user-drag: none; - webkit-tap-highlight-color: transparent; margin: 0px; padding: 0px; user-select: text; font- size: 12pt; line-height: 20.7px;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246px;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xml:lang="PT-BR"&gt;Súmula 182 STJ: É inviável o agravo do art. 545 do CPC que deixa de atacar especificamente os fundamentos da decisão agravada.&amp;#160;&amp;#160;&amp;#160;&amp;#160;&amp;#160;&amp;#160;&amp;#160;&amp;#160;&amp;#160;&amp;#160;&amp;#160;&lt;/</w:t>
            </w:r>
          </w:p>
          <w:p>
            <w:pPr>
              <w:pStyle w:val="TableParagraph"/>
              <w:tabs>
                <w:tab w:pos="812" w:val="left" w:leader="none"/>
              </w:tabs>
              <w:spacing w:line="208" w:lineRule="auto" w:before="0"/>
              <w:ind w:right="45"/>
              <w:rPr>
                <w:sz w:val="20"/>
              </w:rPr>
            </w:pPr>
            <w:r>
              <w:rPr>
                <w:sz w:val="20"/>
              </w:rPr>
              <w:t>span&gt;</w:t>
              <w:tab/>
              <w:t>&lt;span class="EOP SCXW126305243 BCX0" style="-webkit-user-drag: none; - webkit-tap-highlight-color: transparent; margin: 0px; padding: 0px; user-select: text; font- 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37"/>
              <w:rPr>
                <w:sz w:val="20"/>
              </w:rPr>
            </w:pPr>
            <w:r>
              <w:rPr>
                <w:sz w:val="20"/>
              </w:rPr>
              <w:t>&lt;span class="TextRun SCXW126305243 BCX0" style="-webkit-user-drag: none; -webkit- tap-highlight-color: transparent; margin: 0px; padding: 0px; user-select: text; font-size: </w:t>
            </w:r>
            <w:r>
              <w:rPr>
                <w:spacing w:val="-3"/>
                <w:sz w:val="20"/>
              </w:rPr>
              <w:t>12pt; </w:t>
            </w:r>
            <w:r>
              <w:rPr>
                <w:sz w:val="20"/>
              </w:rPr>
              <w:t>line-height: 20.7px; font-family: &amp;quot;Courier New&amp;quot;, &amp;quot;Courier New_EmbeddedFont&amp;quot;, &amp;quot;Courier New_MSFontService&amp;quot;, monospace; font- variant-ligatures: none !important;" lang="PT-BR" xml:lang="PT-BR"&gt;Tribunal de Justiça </w:t>
            </w:r>
            <w:r>
              <w:rPr>
                <w:spacing w:val="-9"/>
                <w:sz w:val="20"/>
              </w:rPr>
              <w:t>do </w:t>
            </w:r>
            <w:r>
              <w:rPr>
                <w:sz w:val="20"/>
              </w:rPr>
              <w:t>Estado do Ceará:&amp;#160;&amp;#160;&amp;#160;&amp;#160;&amp;#160;&amp;#160;&amp;#160;&amp;#160;&amp;#160;&lt;/span&gt;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w:t>
            </w:r>
            <w:r>
              <w:rPr>
                <w:spacing w:val="8"/>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7568" w:val="left" w:leader="none"/>
              </w:tabs>
              <w:spacing w:line="208" w:lineRule="auto" w:before="0"/>
              <w:ind w:right="34"/>
              <w:rPr>
                <w:sz w:val="20"/>
              </w:rPr>
            </w:pPr>
            <w:r>
              <w:rPr>
                <w:sz w:val="20"/>
              </w:rPr>
              <w:t>&lt;span class="TextRun SCXW126305243 BCX0" style="-webkit-user-drag: none; -webkit- 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xml:lang="PT-BR"&gt;Súmula 43: Não se conhece de recurso quando não é feita a exposição do direito e das razões do pedido de nova decisão.&amp;#160;&amp;#160;&amp;#160;&amp;#160;&amp;#160;&amp;#160;&amp;#160;&amp;#160;&lt;/span&gt;</w:t>
              <w:tab/>
            </w:r>
            <w:r>
              <w:rPr>
                <w:spacing w:val="-4"/>
                <w:sz w:val="20"/>
              </w:rPr>
              <w:t>&lt;span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352" w:val="left" w:leader="none"/>
              </w:tabs>
              <w:spacing w:line="208" w:lineRule="auto" w:before="26"/>
              <w:ind w:right="38"/>
              <w:rPr>
                <w:sz w:val="20"/>
              </w:rPr>
            </w:pPr>
            <w:r>
              <w:rPr>
                <w:sz w:val="20"/>
              </w:rPr>
              <w:t>class="TextRun SCXW126305243 BCX0" style="-webkit-user-drag: none; -webkit-tap- highlight-color: transparent; margin: 0px; padding: 0px; user-select: text; font-size: 12pt; line-height: 20.7px; font-family: &amp;quot;Courier New&amp;quot;, &amp;quot;Courier New_EmbeddedFont&amp;quot;, &amp;quot;Courier New_MSFontService&amp;quot;, monospace; font- variant-ligatures: none !important;" lang="PT-BR" xml:lang="PT- BR"&gt;&amp;#160;&amp;#160;&amp;#160;&lt;/span&gt;</w:t>
              <w:tab/>
              <w:t>&lt;span class="EOP SCXW126305243 BCX0" style="- webkit-user-drag: none; -webkit-tap-highlight-color: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1"/>
              <w:rPr>
                <w:sz w:val="20"/>
              </w:rPr>
            </w:pPr>
            <w:r>
              <w:rPr>
                <w:sz w:val="20"/>
              </w:rPr>
              <w:t>&lt;span class="TextRun SCXW126305243 BCX0" style="-webkit-user-drag: none; -webkit- tap-highlight-color: transparent; margin: 0px; padding: 0px; user-select: text; font-size: 12pt; line-height: 20.7px; font-family: &amp;quot;Courier New&amp;quot;, &amp;quot;Courier New_EmbeddedFont&amp;quot;, &amp;quot;Courier New_MSFontService&amp;quot;, monospace; font- variant-ligatures: none !important;" lang="PT-BR" xml:lang="PT-BR"&gt;Em casos semelhantes, precedentes do Superior Tribunal de Justiça reconhecem a inadmissibilidade da via recursal:&amp;#160;&amp;#160;&amp;#160;&amp;#160;&amp;#160;&amp;#160;&amp;#160;&amp;#160;&amp;#160;&amp;#160;&amp;#160;&lt;/s</w:t>
            </w:r>
          </w:p>
          <w:p>
            <w:pPr>
              <w:pStyle w:val="TableParagraph"/>
              <w:tabs>
                <w:tab w:pos="712" w:val="left" w:leader="none"/>
              </w:tabs>
              <w:spacing w:line="208" w:lineRule="auto" w:before="0"/>
              <w:ind w:right="17"/>
              <w:rPr>
                <w:sz w:val="20"/>
              </w:rPr>
            </w:pPr>
            <w:r>
              <w:rPr>
                <w:sz w:val="20"/>
              </w:rPr>
              <w:t>pan&gt;</w:t>
              <w:tab/>
              <w:t>&lt;span class="EOP SCXW126305243 BCX0" style="-webkit-user-drag: none; - webkit-tap-highlight-color: transparent; margin: 0px; padding: 0px; user-select: text; font- size: 12pt; line-height: 20.7px;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text;"&gt;ADMINISTRATIVO E PROCESSUAL CIVIL. AGRAVO INTERNO NO AGRAVO EM RECURSO ESPECIAL. INÉPCIA DA APELAÇÃO. AUSÊNCIA DE IMPUGNAÇÃO AOS</w:t>
            </w:r>
          </w:p>
          <w:p>
            <w:pPr>
              <w:pStyle w:val="TableParagraph"/>
              <w:tabs>
                <w:tab w:pos="2918" w:val="left" w:leader="none"/>
              </w:tabs>
              <w:spacing w:line="208" w:lineRule="auto" w:before="0"/>
              <w:ind w:right="161"/>
              <w:rPr>
                <w:sz w:val="20"/>
              </w:rPr>
            </w:pPr>
            <w:r>
              <w:rPr>
                <w:sz w:val="20"/>
              </w:rPr>
              <w:t>FUNDAMENTOS DA&lt;/span&gt;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transparent;"&gt;SENTENÇA .&lt;/span&gt;</w:t>
            </w:r>
          </w:p>
          <w:p>
            <w:pPr>
              <w:pStyle w:val="TableParagraph"/>
              <w:tabs>
                <w:tab w:pos="5786" w:val="left" w:leader="none"/>
              </w:tabs>
              <w:spacing w:line="208" w:lineRule="auto" w:before="0"/>
              <w:ind w:right="214"/>
              <w:rPr>
                <w:sz w:val="20"/>
              </w:rPr>
            </w:pPr>
            <w:r>
              <w:rPr>
                <w:sz w:val="20"/>
              </w:rPr>
              <w:t>&lt;span class="NormalTextRun SCXW126305243 BCX0" style="-webkit-user-drag: none; </w:t>
            </w:r>
            <w:r>
              <w:rPr>
                <w:spacing w:val="-19"/>
                <w:sz w:val="20"/>
              </w:rPr>
              <w:t>- </w:t>
            </w:r>
            <w:r>
              <w:rPr>
                <w:sz w:val="20"/>
              </w:rPr>
              <w:t>webkit-tap-highlight-color: transparent; margin: 0px; padding: 0px; user-select: text;"&gt;ARGUMENTAÇÃO RECURSAL GENÉRICA. PETIÇÃO QUE NÃO ATENDE À DIALETICIDADE. INCIDÊNCIA DA SÚMULA 83/STJ.&lt;/span&gt;</w:t>
              <w:tab/>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0px; padding: 0px; user-select: text; background-position: 0px 100%; background-repeat:</w:t>
            </w:r>
          </w:p>
          <w:p>
            <w:pPr>
              <w:pStyle w:val="TableParagraph"/>
              <w:spacing w:line="190" w:lineRule="exact" w:before="0"/>
              <w:jc w:val="both"/>
              <w:rPr>
                <w:sz w:val="20"/>
              </w:rPr>
            </w:pPr>
            <w:r>
              <w:rPr>
                <w:sz w:val="20"/>
              </w:rPr>
              <w:t>repeat-x; background-image: url(&amp;quot;data; border-bottom: 1px solid transparent;"&gt;1</w:t>
            </w:r>
          </w:p>
          <w:p>
            <w:pPr>
              <w:pStyle w:val="TableParagraph"/>
              <w:tabs>
                <w:tab w:pos="1096" w:val="left" w:leader="none"/>
              </w:tabs>
              <w:spacing w:line="208" w:lineRule="auto" w:before="5"/>
              <w:ind w:right="30"/>
              <w:rPr>
                <w:sz w:val="20"/>
              </w:rPr>
            </w:pPr>
            <w:r>
              <w:rPr>
                <w:sz w:val="20"/>
              </w:rPr>
              <w:t>.&lt;/span&gt;</w:t>
              <w:tab/>
              <w:t>&lt;span class="NormalTextRun SCXW126305243 BCX0" style="-webkit-user- drag: none; -webkit-tap-highlight-color: transparent; margin: 0px; padding: 0px; user-select: text;"&gt;No caso, o Tribunal a quo não conheceu do recurso de apelação em razão da ausência de impugnação específica aos fundamentos da sentença, pois o petitório apresentou argumentação genérica, sem infirmar as razões de decidir do Juízo de </w:t>
            </w:r>
            <w:r>
              <w:rPr>
                <w:spacing w:val="-3"/>
                <w:sz w:val="20"/>
              </w:rPr>
              <w:t>primeiro </w:t>
            </w:r>
            <w:r>
              <w:rPr>
                <w:sz w:val="20"/>
              </w:rPr>
              <w:t>grau. 2. Logo, o acórdão recorrido guarda sintonia com a jurisprudência deste STJ sobre o tema, a qual se firmou no sentido de que, embora não seja vedada a repetição, nas razões apelatórias, dos argumentos apresentados em petições anteriores - inicial ou contestação </w:t>
            </w:r>
            <w:r>
              <w:rPr>
                <w:spacing w:val="-18"/>
                <w:sz w:val="20"/>
              </w:rPr>
              <w:t>-</w:t>
            </w:r>
          </w:p>
          <w:p>
            <w:pPr>
              <w:pStyle w:val="TableParagraph"/>
              <w:spacing w:line="205" w:lineRule="exact" w:before="0"/>
              <w:rPr>
                <w:sz w:val="20"/>
              </w:rPr>
            </w:pPr>
            <w:r>
              <w:rPr>
                <w:sz w:val="20"/>
              </w:rPr>
              <w:t>, é certo que a peça recursal deve atender à dialeticidade, combatendo, de forma</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318" w:val="left" w:leader="none"/>
              </w:tabs>
              <w:spacing w:line="208" w:lineRule="auto" w:before="26"/>
              <w:ind w:right="17"/>
              <w:rPr>
                <w:sz w:val="20"/>
              </w:rPr>
            </w:pPr>
            <w:r>
              <w:rPr>
                <w:sz w:val="20"/>
              </w:rPr>
              <w:t>específica e direta, as razões de decidir do magistrado sentenciante, de modo que seja possível depreender do seu texto os motivos para a alteração ou anulação do respectivo ato&lt;/span&gt;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4052" w:val="left" w:leader="none"/>
                <w:tab w:pos="4675" w:val="left" w:leader="none"/>
                <w:tab w:pos="4974" w:val="left" w:leader="none"/>
                <w:tab w:pos="6198" w:val="left" w:leader="none"/>
                <w:tab w:pos="6453" w:val="left" w:leader="none"/>
                <w:tab w:pos="6886" w:val="left" w:leader="none"/>
                <w:tab w:pos="7098" w:val="left" w:leader="none"/>
              </w:tabs>
              <w:spacing w:line="208" w:lineRule="auto" w:before="0"/>
              <w:ind w:right="95"/>
              <w:rPr>
                <w:sz w:val="20"/>
              </w:rPr>
            </w:pPr>
            <w:r>
              <w:rPr>
                <w:sz w:val="20"/>
              </w:rPr>
              <w:t>repeat-x; background-image: url(&amp;quot;data; border-bottom: 1px solid transparent;"&gt;decisório.Incidência&lt;/span&gt;</w:t>
              <w:tab/>
              <w:t>&lt;span class="NormalTextRun SCXW126305243 BCX0" style="-webkit-user-drag: none; -webkit-tap-highlight-color: transparent; margin: 0px; padding: 0px; user-select: text;"&gt;da Súmula 83/STJ . 3. Agravo interno a que se nega provimento. (STJ -&lt;/span&gt;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transparent;"&gt;AgInt&lt;/span&gt;</w:t>
              <w:tab/>
              <w:t>&lt;span class="NormalTextRun SCXW126305243 BCX0" style="-webkit-user-drag: none; -webkit-tap-highlight-color: transparent; margin: 0px; padding: 0px; user-select: text;"&gt;no&lt;/span&gt;</w:t>
              <w:tab/>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transparent;"&gt;AREsp&lt;/span&gt;</w:t>
              <w:tab/>
              <w:tab/>
              <w:t>&lt;span class="NormalTextRun SCXW126305243 BCX0" style="-webkit-user-drag: none; -webkit- tap-highlight-color: transparent; margin: 0px; padding: 0px; user-select: text;"&gt;: 2097402 SP 2022/0089685-7, Relator.: Ministro SÉRGIO KUKINA, Data de Julgamento: 05/03/2024, T1 - PRIMEIRA TURMA, Data de Publicação:&lt;/span&gt;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text;"&gt;12/03/2024).&amp;#160;&amp;#160;&amp;#160;&amp;#160;&amp;#160;&amp;#160;&amp;#160;&amp;#160;&amp;#160;&lt;/span</w:t>
            </w:r>
          </w:p>
          <w:p>
            <w:pPr>
              <w:pStyle w:val="TableParagraph"/>
              <w:tabs>
                <w:tab w:pos="1101" w:val="left" w:leader="none"/>
              </w:tabs>
              <w:spacing w:line="208" w:lineRule="auto" w:before="0"/>
              <w:ind w:right="45"/>
              <w:rPr>
                <w:sz w:val="20"/>
              </w:rPr>
            </w:pPr>
            <w:r>
              <w:rPr>
                <w:sz w:val="20"/>
              </w:rPr>
              <w:t>&gt;&lt;/span&gt;</w:t>
              <w:tab/>
              <w:t>&lt;span class="EOP SCXW126305243 BCX0" style="-webkit-user-drag: none; - webkit-tap-highlight-color: transparent; margin: 0px; padding: 0px; user-select: text; font- 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text;"&gt;ADMINISTRATIVO. PROCESSUAL CIVIL. AGRAVO INTERNO. APELAÇÃO</w:t>
            </w:r>
          </w:p>
          <w:p>
            <w:pPr>
              <w:pStyle w:val="TableParagraph"/>
              <w:tabs>
                <w:tab w:pos="1473" w:val="left" w:leader="none"/>
              </w:tabs>
              <w:spacing w:line="208" w:lineRule="auto" w:before="0"/>
              <w:ind w:right="161"/>
              <w:rPr>
                <w:sz w:val="20"/>
              </w:rPr>
            </w:pPr>
            <w:r>
              <w:rPr>
                <w:sz w:val="20"/>
              </w:rPr>
              <w:t>NÃO&lt;/span&gt;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transparent;"&gt;CONHECIDA .&lt;/span&gt;</w:t>
            </w:r>
          </w:p>
          <w:p>
            <w:pPr>
              <w:pStyle w:val="TableParagraph"/>
              <w:tabs>
                <w:tab w:pos="7464" w:val="left" w:leader="none"/>
              </w:tabs>
              <w:spacing w:line="208" w:lineRule="auto" w:before="0"/>
              <w:ind w:right="138"/>
              <w:rPr>
                <w:sz w:val="20"/>
              </w:rPr>
            </w:pPr>
            <w:r>
              <w:rPr>
                <w:sz w:val="20"/>
              </w:rPr>
              <w:t>&lt;span class="NormalTextRun SCXW126305243 BCX0" style="-webkit-user-drag: none; - webkit-tap-highlight-color: transparent; margin: 0px; padding: 0px; user-select: text;"&gt;AUSÊNCIA DE IMPUGNAÇÃO AOS FUNDAMENTOS DA SENTENÇA. POSSIBILIDADE. PRINCÍPIO DA DIALETICIDADE NÃO OBSERVADO.&lt;/span&gt;</w:t>
              <w:tab/>
            </w:r>
            <w:r>
              <w:rPr>
                <w:spacing w:val="-4"/>
                <w:sz w:val="20"/>
              </w:rPr>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0px; padding: 0px; user-select: text; background-position: 0px 100%; background-repeat:</w:t>
            </w:r>
          </w:p>
          <w:p>
            <w:pPr>
              <w:pStyle w:val="TableParagraph"/>
              <w:spacing w:line="190" w:lineRule="exact" w:before="0"/>
              <w:rPr>
                <w:sz w:val="20"/>
              </w:rPr>
            </w:pPr>
            <w:r>
              <w:rPr>
                <w:sz w:val="20"/>
              </w:rPr>
              <w:t>repeat-x; background-image: url(&amp;quot;data; border-bottom: 1px solid transparent;"&gt;1</w:t>
            </w:r>
          </w:p>
          <w:p>
            <w:pPr>
              <w:pStyle w:val="TableParagraph"/>
              <w:tabs>
                <w:tab w:pos="1096" w:val="left" w:leader="none"/>
              </w:tabs>
              <w:spacing w:line="208" w:lineRule="auto" w:before="5"/>
              <w:ind w:right="75"/>
              <w:rPr>
                <w:sz w:val="20"/>
              </w:rPr>
            </w:pPr>
            <w:r>
              <w:rPr>
                <w:sz w:val="20"/>
              </w:rPr>
              <w:t>.&lt;/span&gt;</w:t>
              <w:tab/>
              <w:t>&lt;span class="NormalTextRun SCXW126305243 BCX0" style="-webkit-user- drag: none; -webkit-tap-highlight-color: transparent; margin: 0px; padding: 0px; </w:t>
            </w:r>
            <w:r>
              <w:rPr>
                <w:spacing w:val="-2"/>
                <w:sz w:val="20"/>
              </w:rPr>
              <w:t>user-select: </w:t>
            </w:r>
            <w:r>
              <w:rPr>
                <w:sz w:val="20"/>
              </w:rPr>
              <w:t>text;"&gt;No caso, observa-se que o Colegiado a quo se manifestou expressamente acerca dos temas necessários à integral solução da lide; não é legítimo confundir a fundamentação deficiente com a sucinta, porém suficiente, mormente quando contrária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474" w:val="left" w:leader="none"/>
                <w:tab w:pos="6155" w:val="left" w:leader="none"/>
                <w:tab w:pos="6753" w:val="left" w:leader="none"/>
                <w:tab w:pos="6842" w:val="left" w:leader="none"/>
              </w:tabs>
              <w:spacing w:line="208" w:lineRule="auto" w:before="26"/>
              <w:ind w:right="17"/>
              <w:rPr>
                <w:sz w:val="20"/>
              </w:rPr>
            </w:pPr>
            <w:r>
              <w:rPr>
                <w:sz w:val="20"/>
              </w:rPr>
              <w:t>aos interesses da parte. 2. O acórdão recorrido adotou solução em consonância com o entendimento firmado no âmbito desta Corte de Justiça, segundo o qual, "embora a mera reprodução da petição inicial nas razões de apelação não&lt;/span&gt;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transparent;"&gt;en&lt;/span&gt;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transparent;"&gt;seje&lt;/span&gt;</w:t>
              <w:tab/>
              <w:tab/>
              <w:t>&lt;span class="NormalTextRun SCXW126305243 BCX0" style="-webkit-user-drag: none; -webkit- tap-highlight-color: transparent; margin: 0px; padding: 0px; user-select: text;"&gt;, por si só, afronta ao princípio da dialeticidade, se a parte não impugna os fundamentos da sentença, não há como conhecer da apelação, por descumprimento do art. 514, II, do CPC/1973, atual&lt;/span&gt;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1673" w:val="left" w:leader="none"/>
                <w:tab w:pos="2319" w:val="left" w:leader="none"/>
                <w:tab w:pos="2529" w:val="left" w:leader="none"/>
                <w:tab w:pos="2595" w:val="left" w:leader="none"/>
                <w:tab w:pos="2651" w:val="left" w:leader="none"/>
                <w:tab w:pos="6052" w:val="left" w:leader="none"/>
                <w:tab w:pos="6235" w:val="left" w:leader="none"/>
                <w:tab w:pos="6998" w:val="left" w:leader="none"/>
                <w:tab w:pos="7164" w:val="left" w:leader="none"/>
                <w:tab w:pos="7210" w:val="left" w:leader="none"/>
              </w:tabs>
              <w:spacing w:line="208" w:lineRule="auto" w:before="0"/>
              <w:ind w:right="17"/>
              <w:rPr>
                <w:sz w:val="20"/>
              </w:rPr>
            </w:pPr>
            <w:r>
              <w:rPr>
                <w:sz w:val="20"/>
              </w:rPr>
              <w:t>repeat-x; background-image: url(&amp;quot;data; border-bottom: 1px solid transparent;"&gt;art&lt;/span&gt;</w:t>
              <w:tab/>
              <w:tab/>
              <w:t>&lt;span class="NormalTextRun SCXW126305243 BCX0" style="-webkit-user-drag: none; -webkit-tap-highlight-color: transparent; margin: 0px; padding: 0px; user-select: text;"&gt;. 1.010, II, do CPC/2015" (&lt;/span&gt;</w:t>
              <w:tab/>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transparent;"&gt;AgInt&lt;/span&gt;</w:t>
              <w:tab/>
              <w:t>&lt;span class="NormalTextRun SCXW126305243 BCX0" style="-webkit-user-drag: none; -webkit- tap-highlight-color: transparent; margin: 0px; padding: 0px; user-select: text;"&gt;no REsp 1.735.914/TO,&lt;/span&gt;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transparent;"&gt;Rel&lt;/span&gt;</w:t>
              <w:tab/>
              <w:tab/>
              <w:tab/>
              <w:t>&lt;span class="NormalTextRun SCXW126305243 BCX0" style="-webkit-user-drag: none; -webkit-tap-highlight-color: transparent; margin: 0px; padding: 0px; user-select: text;"&gt;. Ministro Marco Aurélio&lt;/span&gt;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transparent;"&gt;Bellizze&lt;/span&gt;</w:t>
              <w:tab/>
              <w:tab/>
              <w:t>&lt;span class="NormalTextRun SCXW126305243 BCX0" style="-webkit-user-drag: none; -webkit- tap-highlight-color: transparent; margin: 0px; padding: 0px; user-select: text;"&gt;, Terceira Turma,&lt;/span&gt;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transparent;"&gt;DJe&lt;/span&gt;</w:t>
              <w:tab/>
              <w:tab/>
              <w:tab/>
              <w:t>&lt;span class="NormalTextRun SCXW126305243 BCX0" style="-webkit-user-drag: none; -webkit-tap-highlight-color: transparent; margin: 0px; padding: 0px; user-select: text;"&gt;de 14/8/2018). 3. Agravo interno não&lt;/span&gt;</w:t>
              <w:tab/>
              <w:tab/>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3018" w:val="left" w:leader="none"/>
                <w:tab w:pos="4429" w:val="left" w:leader="none"/>
                <w:tab w:pos="4974" w:val="left" w:leader="none"/>
                <w:tab w:pos="6198" w:val="left" w:leader="none"/>
                <w:tab w:pos="6453" w:val="left" w:leader="none"/>
                <w:tab w:pos="7098" w:val="left" w:leader="none"/>
              </w:tabs>
              <w:spacing w:line="208" w:lineRule="auto" w:before="0"/>
              <w:ind w:right="95"/>
              <w:rPr>
                <w:sz w:val="20"/>
              </w:rPr>
            </w:pPr>
            <w:r>
              <w:rPr>
                <w:sz w:val="20"/>
              </w:rPr>
              <w:t>repeat-x; background-image: url(&amp;quot;data; border-bottom: 1px solid transparent;"&gt;provido.(&lt;/span&gt;</w:t>
              <w:tab/>
              <w:t>&lt;span class="NormalTextRun SCXW126305243 BCX0" style="-webkit-user-drag: none; -webkit-tap-highlight-color: transparent; margin: 0px; padding: 0px; user-select: text;"&gt;STJ -&lt;/span&gt;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transparent;"&gt;AgInt&lt;/span&gt;</w:t>
              <w:tab/>
              <w:t>&lt;span class="NormalTextRun SCXW126305243 BCX0" style="-webkit-user-drag: none; -webkit-tap-highlight-color: transparent; margin: 0px; padding: 0px; user-select: text;"&gt;no&lt;/span&gt;</w:t>
              <w:tab/>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transparent;"&gt;AREsp&lt;/span&gt;</w:t>
              <w:tab/>
              <w:t>&lt;span class="NormalTextRun SCXW126305243 BCX0" style="-webkit-user-drag: none; -webkit- tap-highlight-color: transparent; margin: 0px; padding: 0px; user-select: text;"&gt;: 2380058 SP 2023/0190424-3, Relator.: Ministro SÉRGIO KUKINA, Data de Julgamento: 13/11/2023, T1 - PRIMEIRA TURMA, Data de Publicação:&lt;/span&gt;</w:t>
              <w:tab/>
              <w:t>&lt;span class="NormalTextRun SpellingErrorV2Themed SCXW126305243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886" w:val="left" w:leader="none"/>
              </w:tabs>
              <w:spacing w:line="208" w:lineRule="auto" w:before="26"/>
              <w:ind w:right="113"/>
              <w:rPr>
                <w:sz w:val="20"/>
              </w:rPr>
            </w:pPr>
            <w:r>
              <w:rPr>
                <w:sz w:val="20"/>
              </w:rPr>
              <w:t>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text;"&gt;17/11/2023).&amp;#160;&amp;#160;&amp;#160;&amp;#160;&amp;#160;&amp;#160;&amp;#160;&amp;#160;&amp;#160;&lt;/span</w:t>
            </w:r>
          </w:p>
          <w:p>
            <w:pPr>
              <w:pStyle w:val="TableParagraph"/>
              <w:tabs>
                <w:tab w:pos="1101" w:val="left" w:leader="none"/>
              </w:tabs>
              <w:spacing w:line="208" w:lineRule="auto" w:before="0"/>
              <w:ind w:right="45"/>
              <w:rPr>
                <w:sz w:val="20"/>
              </w:rPr>
            </w:pPr>
            <w:r>
              <w:rPr>
                <w:sz w:val="20"/>
              </w:rPr>
              <w:t>&gt;&lt;/span&gt;</w:t>
              <w:tab/>
              <w:t>&lt;span class="EOP SCXW126305243 BCX0" style="-webkit-user-drag: none; - webkit-tap-highlight-color: transparent; margin: 0px; padding: 0px; user-select: text; font- 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text;"&gt;ADMINISTRATIVO E PROCESSO CIVIL. AGRAVO INTERNO NO AGRAVO EM RECURSO ESPECIAL. SERVIDORA PÚBLICA MUNICIPAL. DEMISSÃO ARBITRÁRIA E</w:t>
            </w:r>
          </w:p>
          <w:p>
            <w:pPr>
              <w:pStyle w:val="TableParagraph"/>
              <w:tabs>
                <w:tab w:pos="4508" w:val="left" w:leader="none"/>
                <w:tab w:pos="7287" w:val="left" w:leader="none"/>
              </w:tabs>
              <w:spacing w:line="208" w:lineRule="auto" w:before="0"/>
              <w:ind w:right="132"/>
              <w:rPr>
                <w:sz w:val="20"/>
              </w:rPr>
            </w:pPr>
            <w:r>
              <w:rPr>
                <w:sz w:val="20"/>
              </w:rPr>
              <w:t>ILEGAL, SEM O DEVIDO PROCESSO&lt;/span&gt;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transparent;"&gt;LEGAL .&lt;/span&gt;</w:t>
              <w:tab/>
              <w:t>&lt;span class="NormalTextRun SCXW126305243 BCX0" style="-webkit-user-drag: none; -webkit- tap-highlight-color: transparent; margin: 0px; padding: 0px; user-select: </w:t>
            </w:r>
            <w:r>
              <w:rPr>
                <w:spacing w:val="-2"/>
                <w:sz w:val="20"/>
              </w:rPr>
              <w:t>text;"&gt;SENTENÇA </w:t>
            </w:r>
            <w:r>
              <w:rPr>
                <w:sz w:val="20"/>
              </w:rPr>
              <w:t>DE PROCEDÊNCIA. APELAÇÃO NÃO CONHECIDA POR FALTA DE DIALETICIDADE. NÃO IMPUGNAÇÃO DOS FUNDAMENTOS DA SENTENÇA. ALEGADA OFENSA</w:t>
            </w:r>
          </w:p>
          <w:p>
            <w:pPr>
              <w:pStyle w:val="TableParagraph"/>
              <w:tabs>
                <w:tab w:pos="1329" w:val="left" w:leader="none"/>
                <w:tab w:pos="5485" w:val="left" w:leader="none"/>
                <w:tab w:pos="7042" w:val="left" w:leader="none"/>
              </w:tabs>
              <w:spacing w:line="208" w:lineRule="auto" w:before="0"/>
              <w:ind w:right="143"/>
              <w:rPr>
                <w:sz w:val="20"/>
              </w:rPr>
            </w:pPr>
            <w:r>
              <w:rPr>
                <w:sz w:val="20"/>
              </w:rPr>
              <w:t>AO&lt;/span&gt;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transparent;"&gt;ART .&lt;/span&gt;</w:t>
              <w:tab/>
              <w:t>&lt;span class="NormalTextRun SCXW126305243 BCX0" style="-webkit-user-drag: none; -webkit- tap-highlight-color: transparent; margin: 0px; padding: 0px; user-select: text;"&gt;1.010, I E </w:t>
            </w:r>
            <w:r>
              <w:rPr>
                <w:spacing w:val="-6"/>
                <w:sz w:val="20"/>
              </w:rPr>
              <w:t>II, </w:t>
            </w:r>
            <w:r>
              <w:rPr>
                <w:sz w:val="20"/>
              </w:rPr>
              <w:t>DO CPC/2015. ACÓRDÃO RECORRIDO EM CONSONÂNCIA COM A JURISPRUDÊNCIA DO STJ. AGRAVO INTERNO&lt;/span&gt;</w:t>
              <w:tab/>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3551" w:val="left" w:leader="none"/>
                <w:tab w:pos="6788" w:val="left" w:leader="none"/>
              </w:tabs>
              <w:spacing w:line="208" w:lineRule="auto" w:before="0"/>
              <w:ind w:right="17"/>
              <w:rPr>
                <w:sz w:val="20"/>
              </w:rPr>
            </w:pPr>
            <w:r>
              <w:rPr>
                <w:sz w:val="20"/>
              </w:rPr>
              <w:t>repeat-x; background-image: url(&amp;quot;data; border-bottom: 1px solid transparent;"&gt;IMPROVIDO .&lt;/span&gt;</w:t>
              <w:tab/>
              <w:t>&lt;span class="NormalTextRun SCXW126305243 BCX0" style="-webkit-user-drag: none; -webkit-tap-highlight-color: transparent; margin: </w:t>
            </w:r>
            <w:r>
              <w:rPr>
                <w:spacing w:val="-5"/>
                <w:sz w:val="20"/>
              </w:rPr>
              <w:t>0px; </w:t>
            </w:r>
            <w:r>
              <w:rPr>
                <w:sz w:val="20"/>
              </w:rPr>
              <w:t>padding: 0px; user-select: text;"&gt;I. Agravo interno aviado contra decisão que julgara recurso interposto contra decisum publicado na vigência do CPC/&lt;/span&gt;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2962" w:val="left" w:leader="none"/>
                <w:tab w:pos="6453" w:val="left" w:leader="none"/>
              </w:tabs>
              <w:spacing w:line="208" w:lineRule="auto" w:before="0"/>
              <w:ind w:right="197"/>
              <w:rPr>
                <w:sz w:val="20"/>
              </w:rPr>
            </w:pPr>
            <w:r>
              <w:rPr>
                <w:sz w:val="20"/>
              </w:rPr>
              <w:t>repeat-x; background-image: url(&amp;quot;data; border-bottom: 1px solid transparent;"&gt;2015.II.&lt;/span&gt;</w:t>
              <w:tab/>
              <w:t>&lt;span class="NormalTextRun SCXW126305243 BCX0" style="-webkit-user-drag: none; -webkit-tap-highlight-color: transparent; margin: 0px; padding: 0px; user-select: text;"&gt;Na origem, trata-se de Ação&lt;/span&gt;</w:t>
              <w:tab/>
              <w:t>&lt;span class="NormalTextRun SpellingErrorV2Themed SCXW126305243 BCX0" style="-webkit- user-drag: none; -webkit-tap-highlight-color: transparent; margin: 0px; padding: 0px; </w:t>
            </w:r>
            <w:r>
              <w:rPr>
                <w:spacing w:val="-4"/>
                <w:sz w:val="20"/>
              </w:rPr>
              <w:t>user- </w:t>
            </w:r>
            <w:r>
              <w:rPr>
                <w:sz w:val="20"/>
              </w:rPr>
              <w:t>select: text; background-position: 0px 100%; background-repeat: repeat-x; background- image: url(&amp;quot;data; border-bottom: 1px solid transparent;"&gt;Declarátoria&lt;/span&gt;</w:t>
            </w:r>
          </w:p>
          <w:p>
            <w:pPr>
              <w:pStyle w:val="TableParagraph"/>
              <w:spacing w:line="208" w:lineRule="auto" w:before="0"/>
              <w:ind w:right="19"/>
              <w:rPr>
                <w:sz w:val="20"/>
              </w:rPr>
            </w:pPr>
            <w:r>
              <w:rPr>
                <w:sz w:val="20"/>
              </w:rPr>
              <w:t>&lt;span class="NormalTextRun SCXW126305243 BCX0" style="-webkit-user-drag: none; - webkit-tap-highlight-color: transparent; margin: 0px; padding: 0px; user-select: text;"&gt;de nulidade de ato administrativo, com pedido de reintegração ao cargo público de gari, cumulada com indenização por danos morais, proposta pela parte ora agravada, em desfavor do Município de Xambioá/TO, à alegação de que a demissão da Autora fora ilegal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453" w:val="left" w:leader="none"/>
                <w:tab w:pos="7531" w:val="left" w:leader="none"/>
              </w:tabs>
              <w:spacing w:line="208" w:lineRule="auto" w:before="26"/>
              <w:ind w:right="44"/>
              <w:rPr>
                <w:sz w:val="20"/>
              </w:rPr>
            </w:pPr>
            <w:r>
              <w:rPr>
                <w:sz w:val="20"/>
              </w:rPr>
              <w:t>e arbitrária, sem o devido processo administrativo&lt;/span&gt;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transparent;"&gt;disciplinar .&lt;/span&gt;</w:t>
              <w:tab/>
              <w:t>&lt;span class="NormalTextRun SCXW126305243 BCX0" style="-webkit-user-drag: none; -webkit- tap-highlight-color: transparent; margin: 0px; padding: 0px; user-select: text;"&gt;O Juízo de 1º Grau julgou procedentes os pedidos. O Tribunal de origem não conheceu da Apelação do Município, ante a "ausência dos fundamentos de fato e de direito a impugnar a sentença, nos termos do art. 1.010, II e III, do CPC", o que "torna inepta a petição recursal, porque carecedora de regularidade formal, requisito extrínseco de admissibilidade&lt;/span&gt;</w:t>
            </w:r>
          </w:p>
          <w:p>
            <w:pPr>
              <w:pStyle w:val="TableParagraph"/>
              <w:tabs>
                <w:tab w:pos="1518" w:val="left" w:leader="none"/>
                <w:tab w:pos="3118" w:val="left" w:leader="none"/>
                <w:tab w:pos="3953" w:val="left" w:leader="none"/>
                <w:tab w:pos="5257" w:val="left" w:leader="none"/>
              </w:tabs>
              <w:spacing w:line="208" w:lineRule="auto" w:before="0"/>
              <w:ind w:right="17"/>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solid transparent;"&gt;recursal .&lt;/span&gt;</w:t>
              <w:tab/>
              <w:t>&lt;span class="NormalTextRun SCXW126305243 BCX0" style="-webkit-user-drag: none; -webkit-tap-highlight-color: transparent; margin: 0px; padding: 0px; user-select: text;"&gt;Logo, a ausência de impugnação às razões da sentença importa no não conhecimento do&lt;/span&gt;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transparent;"&gt;Apelo".III&lt;/span&gt;</w:t>
              <w:tab/>
              <w:t>&lt;span class="NormalTextRun SCXW126305243 BCX0" style="-webkit-user-drag: none; -webkit-tap-highlight-color: transparent; margin: 0px; padding: 0px; user-select: text;"&gt;. O entendimento do acórdão recorrido encontra-se em consonância com a jurisprudência do STJ, que "possui iterativa orientação no sentido de que, apesar da mera reprodução da petição inicial ou da contestação não ensejar, por si só, afronta à dialeticidade, a ausência de combate a fundamentos determinantes do julgado recorrido conduz ao não conhecimento do apelo" (STJ,&lt;/span&gt;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1451" w:val="left" w:leader="none"/>
                <w:tab w:pos="2762" w:val="left" w:leader="none"/>
                <w:tab w:pos="4863" w:val="left" w:leader="none"/>
                <w:tab w:pos="5096" w:val="left" w:leader="none"/>
              </w:tabs>
              <w:spacing w:line="208" w:lineRule="auto" w:before="0"/>
              <w:ind w:right="17"/>
              <w:rPr>
                <w:sz w:val="20"/>
              </w:rPr>
            </w:pPr>
            <w:r>
              <w:rPr>
                <w:sz w:val="20"/>
              </w:rPr>
              <w:t>repeat-x; background-image: url(&amp;quot;data; border-bottom: 1px solid transparent;"&gt;AgInt&lt;/span&gt;</w:t>
              <w:tab/>
              <w:t>&lt;span class="NormalTextRun SCXW126305243 BCX0" style="-webkit-user-drag: none; -webkit-tap-highlight-color: transparent; margin: 0px; padding: 0px; user-select: text;"&gt;no REsp 1.813 .456/MG, Rel. Ministro MAURO CAMPBELL MARQUES, SEGUNDA TURMA,&lt;/span&gt;</w:t>
              <w:tab/>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text;"&gt;de 27/11/2019). Nesse sentido: STJ,&lt;/span&gt;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2795" w:val="left" w:leader="none"/>
                <w:tab w:pos="4174" w:val="left" w:leader="none"/>
                <w:tab w:pos="4518" w:val="left" w:leader="none"/>
                <w:tab w:pos="4863" w:val="left" w:leader="none"/>
                <w:tab w:pos="5130" w:val="left" w:leader="none"/>
                <w:tab w:pos="6831" w:val="left" w:leader="none"/>
                <w:tab w:pos="7342" w:val="left" w:leader="none"/>
                <w:tab w:pos="7565" w:val="left" w:leader="none"/>
              </w:tabs>
              <w:spacing w:line="208" w:lineRule="auto" w:before="0"/>
              <w:ind w:right="36"/>
              <w:rPr>
                <w:sz w:val="20"/>
              </w:rPr>
            </w:pPr>
            <w:r>
              <w:rPr>
                <w:sz w:val="20"/>
              </w:rPr>
              <w:t>repeat-x; background-image: url(&amp;quot;data; border-bottom: 1px solid transparent;"&gt;AgRg&lt;/span&gt;</w:t>
              <w:tab/>
              <w:t>&lt;span class="NormalTextRun SCXW126305243 BCX0" style="-webkit-user-drag: none; -webkit-tap-highlight-color: transparent; margin: 0px; padding: 0px; user-select: text;"&gt;no&lt;/span&gt;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transparent;"&gt;AREsp&lt;/span&gt;</w:t>
              <w:tab/>
              <w:tab/>
              <w:t>&lt;span class="NormalTextRun SCXW126305243 BCX0" style="-webkit-user-drag: none; -webkit-tap-highlight-color: transparent; margin: 0px; padding: 0px; user-select: text;"&gt;571.242/SC,&lt;/span&gt;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transparent;"&gt;Rel&lt;/span&gt;</w:t>
              <w:tab/>
              <w:t>&lt;span class="NormalTextRun SCXW126305243 BCX0" style="-webkit-user-drag: none; -webkit- tap-highlight-color: transparent; margin: 0px; padding: 0px; user-select: text;"&gt;. Ministro SÉRGIO KUKINA, PRIMEIRA TURMA,&lt;/span&gt;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text;"&gt;de 14/05/2015;&lt;/span&gt;</w:t>
              <w:tab/>
              <w:tab/>
            </w:r>
            <w:r>
              <w:rPr>
                <w:spacing w:val="-4"/>
                <w:sz w:val="20"/>
              </w:rPr>
              <w:t>&lt;span </w:t>
            </w:r>
            <w:r>
              <w:rPr>
                <w:sz w:val="20"/>
              </w:rPr>
              <w:t>class="NormalTextRun SpellingErrorV2Themed SCXW126305243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7031" w:val="left" w:leader="none"/>
              </w:tabs>
              <w:spacing w:line="208" w:lineRule="auto" w:before="26"/>
              <w:ind w:right="185"/>
              <w:rPr>
                <w:sz w:val="20"/>
              </w:rPr>
            </w:pPr>
            <w:r>
              <w:rPr>
                <w:sz w:val="20"/>
              </w:rPr>
              <w:t>user-drag: none; -webkit-tap-highlight-color: transparent; margin: 0px; padding: 0px; user- select: text; background-position: 0px 100%; background-repeat: repeat-x; background- image: url(&amp;quot;data; border-bottom: 1px solid transparent;"&gt;AgRg&lt;/span&gt;</w:t>
              <w:tab/>
              <w:t>&lt;span class="NormalTextRun SCXW126305243 BCX0" style="-webkit-user-drag: none; </w:t>
            </w:r>
            <w:r>
              <w:rPr>
                <w:spacing w:val="-3"/>
                <w:sz w:val="20"/>
              </w:rPr>
              <w:t>-webkit- </w:t>
            </w:r>
            <w:r>
              <w:rPr>
                <w:sz w:val="20"/>
              </w:rPr>
              <w:t>tap-highlight-color: transparent; margin: 0px; padding: 0px; user-select: text;"&gt;no&lt;/span&gt;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transparent;"&gt;AREsp&lt;/span&gt;</w:t>
            </w:r>
          </w:p>
          <w:p>
            <w:pPr>
              <w:pStyle w:val="TableParagraph"/>
              <w:spacing w:line="208" w:lineRule="auto" w:before="0"/>
              <w:ind w:right="214"/>
              <w:rPr>
                <w:sz w:val="20"/>
              </w:rPr>
            </w:pPr>
            <w:r>
              <w:rPr>
                <w:sz w:val="20"/>
              </w:rPr>
              <w:t>&lt;span class="NormalTextRun SCXW126305243 BCX0" style="-webkit-user-drag: none; </w:t>
            </w:r>
            <w:r>
              <w:rPr>
                <w:spacing w:val="-19"/>
                <w:sz w:val="20"/>
              </w:rPr>
              <w:t>- </w:t>
            </w:r>
            <w:r>
              <w:rPr>
                <w:sz w:val="20"/>
              </w:rPr>
              <w:t>webkit-tap-highlight-color: transparent; margin: 0px; padding: 0px; user-select: text;"&gt;375.371/DF, Rel. Ministro LUIS FELIPE SALOMÃO, QUARTA TURMA,&lt;/span&gt;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w:t>
            </w:r>
            <w:r>
              <w:rPr>
                <w:spacing w:val="-5"/>
                <w:sz w:val="20"/>
              </w:rPr>
              <w:t>0px; </w:t>
            </w:r>
            <w:r>
              <w:rPr>
                <w:sz w:val="20"/>
              </w:rPr>
              <w:t>user-select: text; background-position: 0px 100%; background-repeat: repeat-x; background-image: url(&amp;quot;data; border-bottom: 1px solid transparent;"&gt;DJe&lt;/span&gt;</w:t>
            </w:r>
          </w:p>
          <w:p>
            <w:pPr>
              <w:pStyle w:val="TableParagraph"/>
              <w:tabs>
                <w:tab w:pos="2097" w:val="left" w:leader="none"/>
                <w:tab w:pos="2795" w:val="left" w:leader="none"/>
                <w:tab w:pos="4274" w:val="left" w:leader="none"/>
                <w:tab w:pos="4930" w:val="left" w:leader="none"/>
              </w:tabs>
              <w:spacing w:line="208" w:lineRule="auto" w:before="0"/>
              <w:ind w:right="95"/>
              <w:rPr>
                <w:sz w:val="20"/>
              </w:rPr>
            </w:pPr>
            <w:r>
              <w:rPr>
                <w:sz w:val="20"/>
              </w:rPr>
              <w:t>&lt;span class="NormalTextRun SCXW126305243 BCX0" style="-webkit-user-drag: none; - webkit-tap-highlight-color: transparent; margin: 0px; padding: 0px; user-select: text;"&gt;de 25/08/2014;&lt;/span&gt;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transparent;"&gt;AgRg&lt;/span&gt;</w:t>
              <w:tab/>
              <w:t>&lt;span class="NormalTextRun SCXW126305243 BCX0" style="-webkit-user-drag: none; -webkit-tap-highlight-color: transparent; margin: 0px; padding: 0px; user-select: text;"&gt;nos&lt;/span&gt;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transparent;"&gt;EDcl&lt;/span&gt;</w:t>
              <w:tab/>
              <w:t>&lt;span class="NormalTextRun SCXW126305243 BCX0" style="-webkit-user-drag: none; -webkit-tap-highlight-color: transparent; margin: 0px; padding: 0px; user-select: text;"&gt;no REsp 1.176 .399/PR, Rel.</w:t>
            </w:r>
          </w:p>
          <w:p>
            <w:pPr>
              <w:pStyle w:val="TableParagraph"/>
              <w:tabs>
                <w:tab w:pos="4863" w:val="left" w:leader="none"/>
                <w:tab w:pos="4940" w:val="left" w:leader="none"/>
                <w:tab w:pos="7031" w:val="left" w:leader="none"/>
                <w:tab w:pos="7565" w:val="left" w:leader="none"/>
              </w:tabs>
              <w:spacing w:line="208" w:lineRule="auto" w:before="0"/>
              <w:ind w:right="36"/>
              <w:rPr>
                <w:sz w:val="20"/>
              </w:rPr>
            </w:pPr>
            <w:r>
              <w:rPr>
                <w:sz w:val="20"/>
              </w:rPr>
              <w:t>Ministro MARCO BUZZI, QUARTA TURMA,&lt;/span&gt;</w:t>
              <w:tab/>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text;"&gt;de 26/05/2014;&lt;/span&gt;</w:t>
              <w:tab/>
            </w:r>
            <w:r>
              <w:rPr>
                <w:spacing w:val="-4"/>
                <w:sz w:val="20"/>
              </w:rPr>
              <w:t>&lt;span </w:t>
            </w:r>
            <w:r>
              <w:rPr>
                <w:sz w:val="20"/>
              </w:rPr>
              <w:t>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transparent;"&gt;AgRg&lt;/span&gt;</w:t>
              <w:tab/>
              <w:t>&lt;span class="NormalTextRun SCXW126305243 BCX0" style="-webkit-user-drag: none; -webkit- tap-highlight-color: transparent; margin: 0px; padding: 0px; user-select: text;"&gt;no&lt;/span&gt;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transparent;"&gt;AREsp&lt;/span&gt;</w:t>
            </w:r>
          </w:p>
          <w:p>
            <w:pPr>
              <w:pStyle w:val="TableParagraph"/>
              <w:spacing w:line="208" w:lineRule="auto" w:before="0"/>
              <w:ind w:right="214"/>
              <w:rPr>
                <w:sz w:val="20"/>
              </w:rPr>
            </w:pPr>
            <w:r>
              <w:rPr>
                <w:sz w:val="20"/>
              </w:rPr>
              <w:t>&lt;span class="NormalTextRun SCXW126305243 BCX0" style="-webkit-user-drag: none; - webkit-tap-highlight-color: transparent; margin: 0px; padding: 0px; user-select: text;"&gt;341.906/SP, Rel. Ministro MAURO CAMPBELL MARQUES, SEGUNDA</w:t>
            </w:r>
          </w:p>
          <w:p>
            <w:pPr>
              <w:pStyle w:val="TableParagraph"/>
              <w:tabs>
                <w:tab w:pos="1807" w:val="left" w:leader="none"/>
                <w:tab w:pos="2651" w:val="left" w:leader="none"/>
                <w:tab w:pos="4863" w:val="left" w:leader="none"/>
                <w:tab w:pos="4896" w:val="left" w:leader="none"/>
                <w:tab w:pos="6998" w:val="left" w:leader="none"/>
                <w:tab w:pos="7565" w:val="left" w:leader="none"/>
              </w:tabs>
              <w:spacing w:line="208" w:lineRule="auto" w:before="0"/>
              <w:ind w:right="36"/>
              <w:rPr>
                <w:sz w:val="20"/>
              </w:rPr>
            </w:pPr>
            <w:r>
              <w:rPr>
                <w:sz w:val="20"/>
              </w:rPr>
              <w:t>TURMA,&lt;/span&gt;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transparent;"&gt;DJe&lt;/span&gt;</w:t>
              <w:tab/>
              <w:t>&lt;span class="NormalTextRun SCXW126305243 BCX0" style="-webkit-user-drag: none; -webkit-tap-highlight-color: transparent; margin: 0px; padding: 0px; user-select: text;"&gt;de 18/11/2013; REsp 1 .859.820/SC, Rel. Ministro HERMAN BENJAMIN, SEGUNDA TURMA,&lt;/span&gt;</w:t>
              <w:tab/>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text;"&gt;de 25/06/2020;&lt;/span&gt;</w:t>
              <w:tab/>
            </w:r>
            <w:r>
              <w:rPr>
                <w:spacing w:val="-4"/>
                <w:sz w:val="20"/>
              </w:rPr>
              <w:t>&lt;span </w:t>
            </w:r>
            <w:r>
              <w:rPr>
                <w:sz w:val="20"/>
              </w:rPr>
              <w:t>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transparent;"&gt;AgInt&lt;/span&gt;</w:t>
              <w:tab/>
              <w:t>&lt;span class="NormalTextRun SCXW126305243 BCX0" style="-webkit-user-drag: none; -webkit-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tap-highlight-color: transparent; margin: 0px; padding: 0px; user-select: text;"&gt;no&lt;/span&gt;</w:t>
            </w:r>
          </w:p>
          <w:p>
            <w:pPr>
              <w:pStyle w:val="TableParagraph"/>
              <w:spacing w:line="208" w:lineRule="auto" w:before="9"/>
              <w:ind w:right="75"/>
              <w:rPr>
                <w:sz w:val="20"/>
              </w:rPr>
            </w:pPr>
            <w:r>
              <w:rPr>
                <w:sz w:val="20"/>
              </w:rPr>
              <w:t>&lt;span class="NormalTextRun SpellingErrorV2Themed SCXW126305243 BCX0" style="- webkit-user-drag: none; -webkit-tap-highlight-color: transparent; margin: 0px; padding: </w:t>
            </w:r>
            <w:r>
              <w:rPr>
                <w:spacing w:val="-5"/>
                <w:sz w:val="20"/>
              </w:rPr>
              <w:t>0px; </w:t>
            </w:r>
            <w:r>
              <w:rPr>
                <w:sz w:val="20"/>
              </w:rPr>
              <w:t>user-select: text; background-position: 0px 100%; background-repeat: repeat-x; background-image: url(&amp;quot;data; border-bottom: 1px solid transparent;"&gt;AREsp&lt;/span&gt;</w:t>
            </w:r>
          </w:p>
          <w:p>
            <w:pPr>
              <w:pStyle w:val="TableParagraph"/>
              <w:spacing w:line="208" w:lineRule="auto" w:before="0"/>
              <w:ind w:right="87"/>
              <w:rPr>
                <w:sz w:val="20"/>
              </w:rPr>
            </w:pPr>
            <w:r>
              <w:rPr>
                <w:sz w:val="20"/>
              </w:rPr>
              <w:t>&lt;span class="NormalTextRun SCXW126305243 BCX0" style="-webkit-user-drag: none; - webkit-tap-highlight-color: transparent; margin: 0px; padding: 0px; user-select:</w:t>
            </w:r>
            <w:r>
              <w:rPr>
                <w:spacing w:val="6"/>
                <w:sz w:val="20"/>
              </w:rPr>
              <w:t> </w:t>
            </w:r>
            <w:r>
              <w:rPr>
                <w:spacing w:val="-2"/>
                <w:sz w:val="20"/>
              </w:rPr>
              <w:t>text;"&gt;1.663</w:t>
            </w:r>
          </w:p>
          <w:p>
            <w:pPr>
              <w:pStyle w:val="TableParagraph"/>
              <w:tabs>
                <w:tab w:pos="3698" w:val="left" w:leader="none"/>
                <w:tab w:pos="6208" w:val="left" w:leader="none"/>
                <w:tab w:pos="6886" w:val="left" w:leader="none"/>
                <w:tab w:pos="7509" w:val="left" w:leader="none"/>
              </w:tabs>
              <w:spacing w:line="208" w:lineRule="auto" w:before="0"/>
              <w:ind w:right="93"/>
              <w:rPr>
                <w:sz w:val="20"/>
              </w:rPr>
            </w:pPr>
            <w:r>
              <w:rPr>
                <w:sz w:val="20"/>
              </w:rPr>
              <w:t>.322/RS, Rel. Ministro RAUL ARAÚJO, QUARTA TURMA,&lt;/span&gt;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text;"&gt;de 16/11/2020.IV. Agravo interno&lt;/span&gt;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transparent;"&gt;improvido .&lt;/span&gt;</w:t>
              <w:tab/>
            </w:r>
            <w:r>
              <w:rPr>
                <w:spacing w:val="-4"/>
                <w:sz w:val="20"/>
              </w:rPr>
              <w:t>&lt;span </w:t>
            </w:r>
            <w:r>
              <w:rPr>
                <w:sz w:val="20"/>
              </w:rPr>
              <w:t>class="NormalTextRun SCXW126305243 BCX0" style="-webkit-user-drag: none; -webkit- tap-highlight-color: transparent; margin: 0px; padding: 0px; user-select: text;"&gt;(STJ -</w:t>
            </w:r>
          </w:p>
          <w:p>
            <w:pPr>
              <w:pStyle w:val="TableParagraph"/>
              <w:tabs>
                <w:tab w:pos="1040" w:val="left" w:leader="none"/>
              </w:tabs>
              <w:spacing w:line="208" w:lineRule="auto" w:before="0"/>
              <w:ind w:right="17"/>
              <w:rPr>
                <w:sz w:val="20"/>
              </w:rPr>
            </w:pPr>
            <w:r>
              <w:rPr>
                <w:sz w:val="20"/>
              </w:rPr>
              <w:t>&lt;/span&gt;</w:t>
              <w:tab/>
              <w:t>&lt;span class="NormalTextRun SpellingErrorV2Themed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2762" w:val="left" w:leader="none"/>
                <w:tab w:pos="4174" w:val="left" w:leader="none"/>
                <w:tab w:pos="4697" w:val="left" w:leader="none"/>
                <w:tab w:pos="4863" w:val="left" w:leader="none"/>
                <w:tab w:pos="5074" w:val="left" w:leader="none"/>
                <w:tab w:pos="7412" w:val="left" w:leader="none"/>
              </w:tabs>
              <w:spacing w:line="208" w:lineRule="auto" w:before="0"/>
              <w:ind w:right="45"/>
              <w:rPr>
                <w:sz w:val="20"/>
              </w:rPr>
            </w:pPr>
            <w:r>
              <w:rPr>
                <w:sz w:val="20"/>
              </w:rPr>
              <w:t>repeat-x; background-image: url(&amp;quot;data; border-bottom: 1px solid transparent;"&gt;AgInt&lt;/span&gt;</w:t>
              <w:tab/>
              <w:t>&lt;span class="NormalTextRun SCXW126305243 BCX0" style="-webkit-user-drag: none; -webkit-tap-highlight-color: transparent; margin: 0px; padding: 0px; user-select: text;"&gt;no&lt;/span&gt;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transparent;"&gt;AREsp&lt;/span&gt;</w:t>
              <w:tab/>
              <w:tab/>
              <w:t>&lt;span class="NormalTextRun SCXW126305243 BCX0" style="-webkit-user-drag: none; -webkit-tap-highlight-color: transparent; margin: 0px; padding: 0px; user-select: text;"&gt;: 1875374 TO 2021/0122991-8, Relator.: Ministra ASSUSETE MAGALHÃES, Data de Julgamento: 27/03/2023, T2 - SEGUNDA TURMA, Data de Publicação:&lt;/span&gt;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transparent;"&gt;DJe&lt;/span&gt;</w:t>
              <w:tab/>
              <w:tab/>
              <w:t>&lt;span class="NormalTextRun SCXW126305243 BCX0" style="-webkit-user-drag: none; -webkit-tap-highlight-color: transparent; margin: 0px; padding: 0px; user-select: text;"&gt;03/04/2023). &amp;#160;&amp;#160;&amp;#160;&amp;#160;&amp;#160;&amp;#160;&amp;#160;&amp;#160;&amp;#160;&lt;/span&gt;&lt;/span&gt;</w:t>
              <w:tab/>
              <w:t>&lt;span class="EOP SCXW126305243 BCX0" style="-webkit-user-drag: none; -webkit-tap- 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text;"&gt;PROCESSUAL CIVIL. DECISÃO AGRAVADA. FUNDAMENTOS.</w:t>
            </w:r>
          </w:p>
          <w:p>
            <w:pPr>
              <w:pStyle w:val="TableParagraph"/>
              <w:tabs>
                <w:tab w:pos="2407" w:val="left" w:leader="none"/>
              </w:tabs>
              <w:spacing w:line="208" w:lineRule="auto" w:before="0"/>
              <w:ind w:right="161"/>
              <w:rPr>
                <w:sz w:val="20"/>
              </w:rPr>
            </w:pPr>
            <w:r>
              <w:rPr>
                <w:sz w:val="20"/>
              </w:rPr>
              <w:t>IMPUGNAÇÃO&lt;/span&gt;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transparent;"&gt;ESPECÍFICA .&lt;/span&gt;</w:t>
            </w:r>
          </w:p>
          <w:p>
            <w:pPr>
              <w:pStyle w:val="TableParagraph"/>
              <w:spacing w:line="205" w:lineRule="exact" w:before="0"/>
              <w:rPr>
                <w:sz w:val="20"/>
              </w:rPr>
            </w:pPr>
            <w:r>
              <w:rPr>
                <w:sz w:val="20"/>
              </w:rPr>
              <w:t>&lt;span class="NormalTextRun SCXW126305243 BCX0" style="-webkit-user-drag: none; -</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907" w:val="left" w:leader="none"/>
              </w:tabs>
              <w:spacing w:line="208" w:lineRule="auto" w:before="26"/>
              <w:ind w:right="694"/>
              <w:rPr>
                <w:sz w:val="20"/>
              </w:rPr>
            </w:pPr>
            <w:r>
              <w:rPr>
                <w:sz w:val="20"/>
              </w:rPr>
              <w:t>webkit-tap-highlight-color: transparent; margin: 0px; padding: 0px; user-select: text;"&gt;AUSÊNCIA. APELAÇÃO. PRINCÍPIO DA DIALETICIDADE.&lt;/span&gt;</w:t>
              <w:tab/>
            </w:r>
            <w:r>
              <w:rPr>
                <w:spacing w:val="-4"/>
                <w:sz w:val="20"/>
              </w:rPr>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4051" w:val="left" w:leader="none"/>
              </w:tabs>
              <w:spacing w:line="208" w:lineRule="auto" w:before="0"/>
              <w:ind w:right="55"/>
              <w:rPr>
                <w:sz w:val="20"/>
              </w:rPr>
            </w:pPr>
            <w:r>
              <w:rPr>
                <w:sz w:val="20"/>
              </w:rPr>
              <w:t>repeat-x; background-image: url(&amp;quot;data; border-bottom: 1px solid transparent;"&gt;INOBSERVÂNCIA .&lt;/span&gt;</w:t>
              <w:tab/>
              <w:t>&lt;span class="NormalTextRun SCXW126305243 BCX0" style="-webkit-user-drag: none; -webkit-tap-highlight-color: transparent; margin: 0px; padding: 0px; user-select: text;"&gt;REVOLVIMENTO DE </w:t>
            </w:r>
            <w:r>
              <w:rPr>
                <w:spacing w:val="-3"/>
                <w:sz w:val="20"/>
              </w:rPr>
              <w:t>MATÉRIA </w:t>
            </w:r>
            <w:r>
              <w:rPr>
                <w:sz w:val="20"/>
              </w:rPr>
              <w:t>FÁTICO-PROBATÓRIA. EMBARGOS DE DECLARAÇÃO. INTENTO</w:t>
            </w:r>
          </w:p>
          <w:p>
            <w:pPr>
              <w:pStyle w:val="TableParagraph"/>
              <w:tabs>
                <w:tab w:pos="2663" w:val="left" w:leader="none"/>
                <w:tab w:pos="6221" w:val="left" w:leader="none"/>
                <w:tab w:pos="7320" w:val="left" w:leader="none"/>
              </w:tabs>
              <w:spacing w:line="208" w:lineRule="auto" w:before="0"/>
              <w:ind w:right="17"/>
              <w:rPr>
                <w:sz w:val="20"/>
              </w:rPr>
            </w:pPr>
            <w:r>
              <w:rPr>
                <w:sz w:val="20"/>
              </w:rPr>
              <w:t>PROTELATÓRIO.&lt;/span&gt;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transparent;"&gt;MULTA .&lt;/span&gt;</w:t>
              <w:tab/>
              <w:t>&lt;span class="NormalTextRun SCXW126305243 BCX0" style="-webkit-user-drag: none; -webkit- tap-highlight-color: transparent; margin: 0px; padding: 0px; user-select: text;"&gt;APLICAÇÃO MANTIDA. 1. Nos termos do que dispõem o art. 1 .021, § 1º, do CPC/2015 e a Súmula </w:t>
            </w:r>
            <w:r>
              <w:rPr>
                <w:spacing w:val="-4"/>
                <w:sz w:val="20"/>
              </w:rPr>
              <w:t>182 </w:t>
            </w:r>
            <w:r>
              <w:rPr>
                <w:sz w:val="20"/>
              </w:rPr>
              <w:t>do STJ, a parte deve infirmar, nas razões do agravo interno, os fundamentos da decisão combatida, sob pena de não ser conhecido o seu recurso. 2. Hipótese em que o recorrente não se desincumbiu do ônus de impugnar, de forma clara e objetiva, alguns capítulos da decisão ora agravada (Súmulas 284 do STF e 83 do STJ).&lt;/span&gt;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89" w:lineRule="exact" w:before="0"/>
              <w:rPr>
                <w:sz w:val="20"/>
              </w:rPr>
            </w:pPr>
            <w:r>
              <w:rPr>
                <w:sz w:val="20"/>
              </w:rPr>
              <w:t>repeat-x; background-image: url(&amp;quot;data; border-bottom: 1px solid transparent;"&gt;3</w:t>
            </w:r>
          </w:p>
          <w:p>
            <w:pPr>
              <w:pStyle w:val="TableParagraph"/>
              <w:tabs>
                <w:tab w:pos="1096" w:val="left" w:leader="none"/>
              </w:tabs>
              <w:spacing w:line="208" w:lineRule="auto" w:before="9"/>
              <w:ind w:right="75"/>
              <w:rPr>
                <w:sz w:val="20"/>
              </w:rPr>
            </w:pPr>
            <w:r>
              <w:rPr>
                <w:sz w:val="20"/>
              </w:rPr>
              <w:t>.&lt;/span&gt;</w:t>
              <w:tab/>
              <w:t>&lt;span class="NormalTextRun SCXW126305243 BCX0" style="-webkit-user- drag: none; -webkit-tap-highlight-color: transparent; margin: 0px; padding: 0px; </w:t>
            </w:r>
            <w:r>
              <w:rPr>
                <w:spacing w:val="-2"/>
                <w:sz w:val="20"/>
              </w:rPr>
              <w:t>user-select: </w:t>
            </w:r>
            <w:r>
              <w:rPr>
                <w:sz w:val="20"/>
              </w:rPr>
              <w:t>text;"&gt;O Tribunal estadual assentou que houve inobservância do princípio da dialeticidade na interposição do recurso de apelação, pois a parte autora, ora agravante, não se desincumbiu do ônus processual de impugnar especificamente os fundamentos da sentença. 4. Entender "o contrário do que ficou expressamente consignado no acórdão recorrido - ausência de impugnação dos fundamentos da sentença -, a fim de acatar o argumento da recorrente, demanda reexame do suporte probatório dos autos, o que é vedado na via do Recurso Especial, nos termos da Súmula 7 do STJ." (REsp&lt;/span&gt;</w:t>
            </w:r>
          </w:p>
          <w:p>
            <w:pPr>
              <w:pStyle w:val="TableParagraph"/>
              <w:tabs>
                <w:tab w:pos="2518" w:val="left" w:leader="none"/>
                <w:tab w:pos="4565" w:val="left" w:leader="none"/>
                <w:tab w:pos="4863" w:val="left" w:leader="none"/>
              </w:tabs>
              <w:spacing w:line="208" w:lineRule="auto" w:before="0"/>
              <w:ind w:right="95"/>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solid transparent;"&gt;n .&lt;/span&gt;</w:t>
              <w:tab/>
              <w:t>&lt;span class="NormalTextRun SCXW126305243 BCX0" style="-webkit-user-drag: none; -webkit-tap-highlight-color: transparent; margin: 0px; padding: 0px; user-select: text;"&gt;2.002.973/TO, relator Ministro Herman Benjamin, Segunda Turma, julgado em 16/8/2022,&lt;/span&gt;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text;"&gt;de 06/09/2022).&lt;/span&gt;</w:t>
            </w:r>
          </w:p>
          <w:p>
            <w:pPr>
              <w:pStyle w:val="TableParagraph"/>
              <w:tabs>
                <w:tab w:pos="2097" w:val="left" w:leader="none"/>
                <w:tab w:pos="2518" w:val="left" w:leader="none"/>
                <w:tab w:pos="5538" w:val="left" w:leader="none"/>
                <w:tab w:pos="6998" w:val="left" w:leader="none"/>
              </w:tabs>
              <w:spacing w:line="208" w:lineRule="auto" w:before="0"/>
              <w:ind w:right="93"/>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solid transparent;"&gt;5 .&lt;/span&gt;</w:t>
              <w:tab/>
              <w:t>&lt;span class="NormalTextRun SCXW126305243 BCX0" style="-webkit-user-drag: none; -webkit-tap-highlight-color: transparent; margin: 0px; padding: 0px; user-select: text;"&gt;Esta Corte entende que a tentativa de "alterar os fundamentos da decisão embargada, com vistas a obter decisão mais favorável aos seus interesses, demonstra o intuito procrastinatório da parte", o que enseja a multa prevista </w:t>
            </w:r>
            <w:r>
              <w:rPr>
                <w:spacing w:val="-9"/>
                <w:sz w:val="20"/>
              </w:rPr>
              <w:t>no </w:t>
            </w:r>
            <w:r>
              <w:rPr>
                <w:sz w:val="20"/>
              </w:rPr>
              <w:t>art. 1.026, § 2º, do Código de Processo Civil/2015 (&lt;/span&gt;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transparent;"&gt;AgInt&lt;/span&gt;</w:t>
              <w:tab/>
              <w:t>&lt;span class="NormalTextRun SCXW126305243 BCX0" style="-webkit-user-drag: none; -webkit- tap-highlight-color: transparent; margin: 0px; padding: 0px; user-select: text;"&gt;no REsp 1688455/DF, rel. Ministra REGINA HELENA COSTA, PRIMEIRA TURMA, julgado em 28/11/2017,&lt;/span&gt;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651" w:val="left" w:leader="none"/>
                <w:tab w:pos="3274" w:val="left" w:leader="none"/>
                <w:tab w:pos="4175" w:val="left" w:leader="none"/>
                <w:tab w:pos="4665" w:val="left" w:leader="none"/>
                <w:tab w:pos="6198" w:val="left" w:leader="none"/>
                <w:tab w:pos="6477" w:val="left" w:leader="none"/>
                <w:tab w:pos="6886" w:val="left" w:leader="none"/>
                <w:tab w:pos="6998" w:val="left" w:leader="none"/>
                <w:tab w:pos="7244" w:val="left" w:leader="none"/>
              </w:tabs>
              <w:spacing w:line="208" w:lineRule="auto" w:before="26"/>
              <w:ind w:right="17"/>
              <w:rPr>
                <w:sz w:val="20"/>
              </w:rPr>
            </w:pPr>
            <w:r>
              <w:rPr>
                <w:sz w:val="20"/>
              </w:rPr>
              <w:t>transparent;"&gt;DJe&lt;/span&gt;</w:t>
              <w:tab/>
              <w:t>&lt;span class="NormalTextRun SCXW126305243 BCX0" style="-webkit-user-drag: none; -webkit-tap-highlight-color: transparent; margin: 0px; padding: 0px; user-select: text;"&gt;06/12/2017), pelo que, no caso concreto, deve ser mantida a multa aplicada na instância de&lt;/span&gt;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transparent;"&gt;origem .&lt;/span&gt;</w:t>
              <w:tab/>
              <w:tab/>
              <w:t>&lt;span class="NormalTextRun SCXW126305243 BCX0" style="-webkit-user-drag: none; -webkit- tap-highlight-color: transparent; margin: 0px; padding: 0px; user-select: text;"&gt;6. Agravo interno parcialmente conhecido e, nessa extensão, desprovido. (STJ -&lt;/span&gt;</w:t>
              <w:tab/>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transparent;"&gt;AgInt&lt;/span&gt;</w:t>
              <w:tab/>
              <w:tab/>
              <w:t>&lt;span class="NormalTextRun SCXW126305243 BCX0" style="-webkit-user-drag: none; -webkit- tap-highlight-color: transparent; margin: 0px; padding: 0px; user-select: text;"&gt;no REsp: 2021569 PA 2022/0258838-9, Relator.: Ministro GURGEL DE FARIA, Data de Julgamento: 02/10/2023, T1 - PRIMEIRA TURMA, Data de Publicação:&lt;/span&gt;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text;"&gt;05/10/2023).&amp;#160;&amp;#160;&amp;#160;&amp;#160;&amp;#160;&amp;#160;&lt;/span&gt;</w:t>
              <w:tab/>
              <w:t>&lt;span class="NormalTextRun SCXW126305243 BCX0" style="-webkit-user-drag: none; -webkit- tap-highlight-color: transparent; margin: 0px; padding: 0px; user-select: text;"&gt;&amp;#160;&amp;#160;&amp;#160;&lt;/span&gt;&lt;/span&gt;</w:t>
              <w:tab/>
              <w:t>&lt;span class="EOP SCXW126305243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20.7px; font-family: &amp;quot;Courier New&amp;quot;, &amp;quot;Courier New_EmbeddedFont&amp;quot;, &amp;quot;Courier New_MSFontService&amp;quot;, monospace; font-variant-ligatures: none !important;"</w:t>
            </w:r>
          </w:p>
          <w:p>
            <w:pPr>
              <w:pStyle w:val="TableParagraph"/>
              <w:spacing w:line="208" w:lineRule="auto" w:before="0"/>
              <w:ind w:right="82"/>
              <w:rPr>
                <w:sz w:val="20"/>
              </w:rPr>
            </w:pPr>
            <w:r>
              <w:rPr>
                <w:sz w:val="20"/>
              </w:rPr>
              <w:t>lang="PT-BR" xml:lang="PT-BR"&gt;Junto ainda, um precedente do STF:&amp;#160;&amp;#160;&amp;#160;&amp;#160;&amp;#160;&amp;#160;&amp;#160;&amp;#160;&amp;#160;&amp;#160;&amp;#160;&lt;/span</w:t>
            </w:r>
          </w:p>
          <w:p>
            <w:pPr>
              <w:pStyle w:val="TableParagraph"/>
              <w:tabs>
                <w:tab w:pos="378" w:val="left" w:leader="none"/>
              </w:tabs>
              <w:spacing w:line="208" w:lineRule="auto" w:before="0"/>
              <w:ind w:right="17"/>
              <w:rPr>
                <w:sz w:val="20"/>
              </w:rPr>
            </w:pPr>
            <w:r>
              <w:rPr>
                <w:sz w:val="20"/>
              </w:rPr>
              <w:t>&gt;</w:t>
              <w:tab/>
              <w:t>&lt;span class="EOP SCXW126305243 BCX0" style="-webkit-user-drag: none; -webkit- tap-highlight-color: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30px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text;"&gt;Ementa: Direito Processual Civil. Agravo Regimental no Recurso Extraordinário. Ausência de Impugnação Específica dos Fundamentos do Acórdão Recorrido. Enunciado nº 283 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996" w:val="left" w:leader="none"/>
                <w:tab w:pos="7020" w:val="left" w:leader="none"/>
              </w:tabs>
              <w:spacing w:line="208" w:lineRule="auto" w:before="26"/>
              <w:ind w:right="161"/>
              <w:rPr>
                <w:sz w:val="20"/>
              </w:rPr>
            </w:pPr>
            <w:r>
              <w:rPr>
                <w:sz w:val="20"/>
              </w:rPr>
              <w:t>Súmula do&lt;/span&gt;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transparent;"&gt;STF .&lt;/span&gt;</w:t>
              <w:tab/>
              <w:t>&lt;span class="NormalTextRun SCXW126305243 BCX0" style="-webkit-user-drag: none; -webkit- tap-highlight-color: transparent; margin: 0px; padding: 0px; user-select: text;"&gt;I. Caso em exame 1. Agravo regimental interposto contra decisão que não conheceu do recurso extraordinário, no qual a parte agravante limitou-se a alegar violação ao art. 37,&lt;/span&gt;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transparent;"&gt;inc&lt;/span&gt;</w:t>
            </w:r>
          </w:p>
          <w:p>
            <w:pPr>
              <w:pStyle w:val="TableParagraph"/>
              <w:tabs>
                <w:tab w:pos="1652" w:val="left" w:leader="none"/>
                <w:tab w:pos="2419" w:val="left" w:leader="none"/>
                <w:tab w:pos="7355" w:val="left" w:leader="none"/>
                <w:tab w:pos="7576" w:val="left" w:leader="none"/>
              </w:tabs>
              <w:spacing w:line="208" w:lineRule="auto" w:before="0"/>
              <w:ind w:right="17"/>
              <w:rPr>
                <w:sz w:val="20"/>
              </w:rPr>
            </w:pPr>
            <w:r>
              <w:rPr>
                <w:sz w:val="20"/>
              </w:rPr>
              <w:t>&lt;span class="NormalTextRun SCXW126305243 BCX0" style="-webkit-user-drag: none; - webkit-tap-highlight-color: transparent; margin: 0px; padding: 0px; user-select: text;"&gt;. II, da Constituição da&lt;/span&gt;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transparent;"&gt;Republica&lt;/span&gt;</w:t>
              <w:tab/>
              <w:t>&lt;span class="NormalTextRun SCXW126305243 BCX0" style="-webkit-user-drag: none; -webkit- tap-highlight-color: transparent; margin: 0px; padding: 0px; user-select: text;"&gt;, sem impugnar de forma específica os fundamentos do acórdão recorrido. II. Questão em discussão 2. A questão em discussão consiste em verificar se a ausência de impugnação específica aos fundamentos do acórdão recorrido impede o conhecimento do agravo&lt;/span&gt;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transparent;"&gt;regimental .&lt;/span&gt;</w:t>
              <w:tab/>
              <w:tab/>
              <w:t>&lt;span class="NormalTextRun SCXW126305243 BCX0" style="-webkit-user-drag: none; -webkit- tap-highlight-color: transparent; margin: 0px; padding: 0px; user-select: text;"&gt;III. Razões de decidir 3. A ausência de impugnação específica dos fundamentos do acórdão recorrido configura irregularidade formal, uma vez que a mera reiteração genérica da tese do recurso extraordinário não satisfaz o princípio da dialeticidade recursal.&lt;/span&gt;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89" w:lineRule="exact" w:before="0"/>
              <w:rPr>
                <w:sz w:val="20"/>
              </w:rPr>
            </w:pPr>
            <w:r>
              <w:rPr>
                <w:sz w:val="20"/>
              </w:rPr>
              <w:t>repeat-x; background-image: url(&amp;quot;data; border-bottom: 1px solid transparent;"&gt;4</w:t>
            </w:r>
          </w:p>
          <w:p>
            <w:pPr>
              <w:pStyle w:val="TableParagraph"/>
              <w:tabs>
                <w:tab w:pos="1096" w:val="left" w:leader="none"/>
                <w:tab w:pos="1485" w:val="left" w:leader="none"/>
                <w:tab w:pos="3887" w:val="left" w:leader="none"/>
                <w:tab w:pos="6753" w:val="left" w:leader="none"/>
              </w:tabs>
              <w:spacing w:line="208" w:lineRule="auto" w:before="9"/>
              <w:ind w:right="60"/>
              <w:rPr>
                <w:sz w:val="20"/>
              </w:rPr>
            </w:pPr>
            <w:r>
              <w:rPr>
                <w:sz w:val="20"/>
              </w:rPr>
              <w:t>.&lt;/span&gt;</w:t>
              <w:tab/>
              <w:t>&lt;span class="NormalTextRun SCXW126305243 BCX0" style="-webkit-user- drag: none; -webkit-tap-highlight-color: transparent; margin: 0px; padding: 0px; user-select: text;"&gt;Nos termos do art. 932, inc. III, do CPC e do enunciado nº 283 da Súmula do STF, </w:t>
            </w:r>
            <w:r>
              <w:rPr>
                <w:spacing w:val="-19"/>
                <w:sz w:val="20"/>
              </w:rPr>
              <w:t>o </w:t>
            </w:r>
            <w:r>
              <w:rPr>
                <w:sz w:val="20"/>
              </w:rPr>
              <w:t>recurso deve impugnar de forma específica todos os fundamentos autônomos do acórdão, sob pena de não conhecimento.&lt;/span&gt;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transparent;"&gt;5 .&lt;/span&gt;</w:t>
              <w:tab/>
              <w:t>&lt;span class="NormalTextRun SCXW126305243 BCX0" style="-webkit-user-drag: none; -webkit- tap-highlight-color: transparent; margin: 0px; padding: 0px; user-select: text;"&gt;A agravante não apresentou argumentos suficientes para infirmar a decisão recorrida, que deve ser mantida pelos seus próprios fundamentos. IV. Dispositivo e tese 6. Recurso ao qual se nega&lt;/span&gt;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transparent;"&gt;provimento .&lt;/span&gt;</w:t>
            </w:r>
          </w:p>
          <w:p>
            <w:pPr>
              <w:pStyle w:val="TableParagraph"/>
              <w:tabs>
                <w:tab w:pos="1918" w:val="left" w:leader="none"/>
                <w:tab w:pos="2529" w:val="left" w:leader="none"/>
                <w:tab w:pos="3425" w:val="left" w:leader="none"/>
              </w:tabs>
              <w:spacing w:line="208" w:lineRule="auto" w:before="0"/>
              <w:ind w:right="143"/>
              <w:rPr>
                <w:sz w:val="20"/>
              </w:rPr>
            </w:pPr>
            <w:r>
              <w:rPr>
                <w:sz w:val="20"/>
              </w:rPr>
              <w:t>&lt;span class="NormalTextRun SCXW126305243 BCX0" style="-webkit-user-drag: none; - webkit-tap-highlight-color: transparent; margin: 0px; padding: 0px; user-select: text;"&gt;Tese de julgamento: “A ausência de impugnação específica aos fundamentos do acórdão recorrido impede o conhecimento do recurso extraordinário, em observância ao princípio da dialeticidade recursal”.</w:t>
            </w:r>
            <w:r>
              <w:rPr>
                <w:sz w:val="20"/>
                <w:u w:val="single"/>
              </w:rPr>
              <w:t> </w:t>
              <w:tab/>
              <w:tab/>
            </w:r>
            <w:r>
              <w:rPr>
                <w:sz w:val="20"/>
              </w:rPr>
              <w:t>Dispositivos relevantes citados: CPC, art. 932, inc. III; CRFB,&lt;/span&gt;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transparent;"&gt;art&lt;/span&gt;</w:t>
              <w:tab/>
              <w:t>&lt;span class="NormalTextRun SCXW126305243 BCX0" style="-webkit-user-drag: none; -webkit-tap-highlight-color: transparent; margin: 0px; padding: 0px; user-select: text;"&gt;. 37, inc. II. Jurisprudência relevante citada: STF, ARE</w:t>
            </w:r>
            <w:r>
              <w:rPr>
                <w:spacing w:val="1"/>
                <w:sz w:val="20"/>
              </w:rPr>
              <w:t> </w:t>
            </w:r>
            <w:r>
              <w:rPr>
                <w:spacing w:val="-7"/>
                <w:sz w:val="20"/>
              </w:rPr>
              <w:t>nº</w:t>
            </w:r>
          </w:p>
          <w:p>
            <w:pPr>
              <w:pStyle w:val="TableParagraph"/>
              <w:tabs>
                <w:tab w:pos="3719" w:val="left" w:leader="none"/>
              </w:tabs>
              <w:spacing w:line="205" w:lineRule="exact" w:before="0"/>
              <w:rPr>
                <w:sz w:val="20"/>
              </w:rPr>
            </w:pPr>
            <w:r>
              <w:rPr>
                <w:sz w:val="20"/>
              </w:rPr>
              <w:t>1.098 .708-AgR/MG, Rel. Min.&lt;/span&gt;</w:t>
              <w:tab/>
              <w:t>&lt;span class="NormalTextRun</w:t>
            </w:r>
          </w:p>
        </w:tc>
      </w:tr>
    </w:tbl>
    <w:p>
      <w:pPr>
        <w:spacing w:after="0" w:line="205"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529" w:val="left" w:leader="none"/>
                <w:tab w:pos="4019" w:val="left" w:leader="none"/>
                <w:tab w:pos="4807" w:val="left" w:leader="none"/>
                <w:tab w:pos="5219" w:val="left" w:leader="none"/>
                <w:tab w:pos="6964" w:val="left" w:leader="none"/>
              </w:tabs>
              <w:spacing w:line="208" w:lineRule="auto" w:before="26"/>
              <w:ind w:right="95"/>
              <w:rPr>
                <w:sz w:val="20"/>
              </w:rPr>
            </w:pPr>
            <w:r>
              <w:rPr>
                <w:sz w:val="20"/>
              </w:rPr>
              <w:t>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transparent;"&gt;Cármen&lt;/span&gt;</w:t>
              <w:tab/>
              <w:t>&lt;span class="NormalTextRun SCXW126305243 BCX0" style="-webkit-user-drag: none; -webkit-tap-highlight-color: transparent; margin: 0px; padding: 0px; user-select: text;"&gt;Lúcia, Tribunal Pleno (2018). (STF - RE: 1497523 DF, Relator.:&lt;/span&gt;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transparent;"&gt;Min .&lt;/span&gt;</w:t>
              <w:tab/>
              <w:t>&lt;span class="NormalTextRun SCXW126305243 BCX0" style="-webkit-user-drag: none; -webkit- tap-highlight-color: transparent; margin: 0px; padding: 0px; user-select: text;"&gt;ANDRÉ MENDONÇA, Data de Julgamento: 19/11/2024, Segunda Turma, Data de Publicação: PROCESSO ELETRÔNICO&lt;/span&gt;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transparent;"&gt;DJe&lt;/span&gt;</w:t>
              <w:tab/>
              <w:t>&lt;span class="NormalTextRun SCXW126305243 BCX0" style="-webkit-user-drag: none; -webkit-tap-highlight-color: transparent; margin: 0px; padding: 0px; user-select: text;"&gt;-s/n DIVULG 05-12-2024 PUBLIC 06-12-2024).&amp;#160;&amp;#160;&amp;#160;&amp;#160;&amp;#160;&amp;#160;&amp;#160;&lt;/span&gt;&lt;/span&gt;</w:t>
            </w:r>
          </w:p>
          <w:p>
            <w:pPr>
              <w:pStyle w:val="TableParagraph"/>
              <w:tabs>
                <w:tab w:pos="4620"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&amp;quot;Courier New&amp;quot;, &amp;quot;Courier New_EmbeddedFont&amp;quot;, &amp;quot;Courier New_MSFontService&amp;quot;, monospace; font- variant-ligatures: none !important;" lang="PT-BR" xml:lang="PT- BR"&gt;&amp;#160;&amp;#160;&amp;#160;&amp;#160;&amp;#160;&lt;/span&gt;</w:t>
              <w:tab/>
              <w:t>&lt;span class="EOP SCXW126305243</w:t>
            </w:r>
          </w:p>
          <w:p>
            <w:pPr>
              <w:pStyle w:val="TableParagraph"/>
              <w:tabs>
                <w:tab w:pos="3274"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 font-size: 12pt; line-height: 20.7px;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tabs>
                <w:tab w:pos="7501" w:val="left" w:leader="none"/>
              </w:tabs>
              <w:spacing w:line="208" w:lineRule="auto" w:before="0"/>
              <w:ind w:right="38"/>
              <w:rPr>
                <w:sz w:val="20"/>
              </w:rPr>
            </w:pPr>
            <w:r>
              <w:rPr>
                <w:sz w:val="20"/>
              </w:rPr>
              <w:t>lang="PT-BR" xml:lang="PT-BR"&gt;Do exame detido dos autos, verifica-se que o recorrente, ao interpor o presente recurso, limitou-se a reiterar os argumentos já expostos, conforme anteriormente mencionado, sem trazer fatos novos ou fundamentos jurídicos capazes de ensejar a revisão da decisão recorrida, tampouco impugnando de forma específica e direta os fundamentos centrais adotados na sentença&amp;#160;&amp;#160;&amp;#160;&amp;#160;&amp;#160;&amp;#160;&amp;#160;&amp;#160;&amp;#160;&lt;/span&gt;</w:t>
              <w:tab/>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xml:lang="PT-BR"&gt;Configura-se, assim, mera tentativa de rediscutir matéria já devidamente apreciada pelo juízo de origem, sem</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4"/>
              <w:rPr>
                <w:sz w:val="20"/>
              </w:rPr>
            </w:pPr>
            <w:r>
              <w:rPr>
                <w:sz w:val="20"/>
              </w:rPr>
              <w:t>estabelecer efetiva dialética recursal, o que atrai a incidência do art. 1.010, II e III, do CPC, e inviabiliza o conhecimento do apelo por ofensa ao princípio da dialeticidade.&amp;#160;&amp;#160;&amp;#160;&amp;#160;&amp;#160;&amp;#160;&amp;#160;&amp;#160;&amp;#160;&lt;/span&gt;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27px; font-family: &amp;quot;Courier New&amp;quot;, &amp;quot;Courier New_EmbeddedFont&amp;quot;, &amp;quot;Courier New_MSFontService&amp;quot;, monospace; font- variant-ligatures: none !important;" lang="PT-BR" xml:lang="PT-BR"&gt;Sobre o referido preceito, a doutrina de Nelson Nery Júnior:&amp;#160;&amp;#160;&amp;#160;&amp;#160;&amp;#160;&amp;#160;&amp;#160;&amp;#160;&amp;#160;&amp;#160;&amp;#160;&lt;/spa</w:t>
            </w:r>
          </w:p>
          <w:p>
            <w:pPr>
              <w:pStyle w:val="TableParagraph"/>
              <w:tabs>
                <w:tab w:pos="490" w:val="left" w:leader="none"/>
              </w:tabs>
              <w:spacing w:line="208" w:lineRule="auto" w:before="0"/>
              <w:ind w:right="17"/>
              <w:rPr>
                <w:sz w:val="20"/>
              </w:rPr>
            </w:pPr>
            <w:r>
              <w:rPr>
                <w:sz w:val="20"/>
              </w:rPr>
              <w:t>n&gt;</w:t>
              <w:tab/>
              <w:t>&lt;span class="EOP SCXW126305243 BCX0" style="-webkit-user-drag: none; -webkit- 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892"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text;"&gt;"(&lt;/span&gt;</w:t>
            </w:r>
          </w:p>
          <w:p>
            <w:pPr>
              <w:pStyle w:val="TableParagraph"/>
              <w:tabs>
                <w:tab w:pos="3018" w:val="left" w:leader="none"/>
              </w:tabs>
              <w:spacing w:line="208" w:lineRule="auto" w:before="0"/>
              <w:ind w:right="179"/>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w:t>
            </w:r>
            <w:r>
              <w:rPr>
                <w:spacing w:val="-3"/>
                <w:sz w:val="20"/>
              </w:rPr>
              <w:t>solid </w:t>
            </w:r>
            <w:r>
              <w:rPr>
                <w:sz w:val="20"/>
              </w:rPr>
              <w:t>transparent;"&gt;…)Vige&lt;/span&gt;</w:t>
              <w:tab/>
              <w:t>&lt;span class="NormalTextRun SCXW126305243 </w:t>
            </w:r>
            <w:r>
              <w:rPr>
                <w:spacing w:val="-4"/>
                <w:sz w:val="20"/>
              </w:rPr>
              <w:t>BCX0" </w:t>
            </w:r>
            <w:r>
              <w:rPr>
                <w:sz w:val="20"/>
              </w:rPr>
              <w:t>style="-webkit-user-drag: none; -webkit-tap-highlight-color: transparent; margin: 0px; padding: 0px; user-select: text;"&gt;, no tocante aos recursos, o princípio da dialeticidade.</w:t>
            </w:r>
          </w:p>
          <w:p>
            <w:pPr>
              <w:pStyle w:val="TableParagraph"/>
              <w:spacing w:line="208" w:lineRule="auto" w:before="0"/>
              <w:ind w:right="31"/>
              <w:rPr>
                <w:sz w:val="20"/>
              </w:rPr>
            </w:pPr>
            <w:r>
              <w:rPr>
                <w:sz w:val="20"/>
              </w:rPr>
              <w:t>Segundo este, o recurso deverá ser dialético, isto é, discursivo. O recorrente deverá declinar o porquê do pedido de reexame da decisão. Só assim a parte contrária poderá contra-arrazoá-lo, formando-se o imprescindível contraditório em sede recursal. " JÚNIOR, Nelson. 2.7 Princípio da dialeticidade – 2. Os princípios fundamentais dos recursos civis In: JÚNIOR, Nelson. Teoria geral dos recursos. São Paulo (SP):Editora Revista dos Tribunais. 2014.&amp;#160;&amp;#160;&amp;#160;&amp;#160;&amp;#160;&amp;#160;&amp;#160;&amp;#160;&amp;#160;&amp;#160;&lt;/span&gt;</w:t>
            </w:r>
          </w:p>
          <w:p>
            <w:pPr>
              <w:pStyle w:val="TableParagraph"/>
              <w:tabs>
                <w:tab w:pos="985" w:val="left" w:leader="none"/>
              </w:tabs>
              <w:spacing w:line="190" w:lineRule="exact" w:before="0"/>
              <w:rPr>
                <w:sz w:val="20"/>
              </w:rPr>
            </w:pPr>
            <w:r>
              <w:rPr>
                <w:sz w:val="20"/>
              </w:rPr>
              <w:t>&lt;/span&gt;</w:t>
              <w:tab/>
              <w:t>&lt;span class="TextRun SCXW126305243 BCX0" style="-webkit-user-drag: none;</w:t>
            </w:r>
          </w:p>
          <w:p>
            <w:pPr>
              <w:pStyle w:val="TableParagraph"/>
              <w:spacing w:line="208" w:lineRule="auto" w:before="6"/>
              <w:ind w:right="142"/>
              <w:rPr>
                <w:sz w:val="20"/>
              </w:rPr>
            </w:pPr>
            <w:r>
              <w:rPr>
                <w:sz w:val="20"/>
              </w:rPr>
              <w:t>-webkit-tap-highlight-color: transparent; margin: 0px; padding: 0px; user-select: text; font- size: 12pt; line-height: 20.7px; font-family: &amp;quot;Courier New&amp;quot;, &amp;quot;Courier New_EmbeddedFont&amp;quot;, &amp;quot;Courier New_MSFontService&amp;quot;, monospace; font- variant-ligatures: none !important;" lang="PT-BR" xml:lang="PT-BR"&gt;&amp;#160;&lt;/span&gt;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 SCXW126305243</w:t>
            </w:r>
          </w:p>
          <w:p>
            <w:pPr>
              <w:pStyle w:val="TableParagraph"/>
              <w:spacing w:line="208" w:lineRule="auto" w:before="0"/>
              <w:ind w:right="-1"/>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14"/>
              <w:rPr>
                <w:sz w:val="20"/>
              </w:rPr>
            </w:pPr>
            <w:r>
              <w:rPr>
                <w:sz w:val="20"/>
              </w:rPr>
              <w:t>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26"/>
              <w:rPr>
                <w:sz w:val="20"/>
              </w:rPr>
            </w:pPr>
            <w:r>
              <w:rPr>
                <w:sz w:val="20"/>
              </w:rPr>
              <w:t>&lt;span class="TextRun SCXW126305243 BCX0" style="-webkit-user-drag: none; -webkit- tap-highlight-color: transparent; margin: 0px; padding: 0px; user-select: text; font-size: 12pt; line-height: 20.7px; font-family: &amp;quot;Courier New&amp;quot;, &amp;quot;Courier New_EmbeddedFont&amp;quot;, &amp;quot;Courier New_MSFontService&amp;quot;, monospace; font- variant-ligatures: none !important;" lang="PT-BR" xml:lang="PT-BR"&gt;Assim, é evidente que toda a argumentação invocada pelo recorrente se afigura insuficiente à reforma, invalidação ou integração de tal decisum. &amp;#160;&amp;#160;&amp;#160;&amp;#160;&amp;#160;&amp;#160;&amp;#160;&amp;#160;&amp;#160;&amp;#160;&amp;#160;&lt;/span&gt;</w:t>
            </w:r>
          </w:p>
          <w:p>
            <w:pPr>
              <w:pStyle w:val="TableParagraph"/>
              <w:spacing w:line="208" w:lineRule="auto" w:before="0"/>
              <w:ind w:right="38"/>
              <w:rPr>
                <w:sz w:val="20"/>
              </w:rPr>
            </w:pPr>
            <w:r>
              <w:rPr>
                <w:sz w:val="20"/>
              </w:rPr>
              <w:t>&lt;span class="EOP SCXW126305243 BCX0" style="-webkit-user-drag: none; -webkit-tap- 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 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1263"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&amp;quot;Courier New&amp;quot;, &amp;quot;Courier New_EmbeddedFont&amp;quot;, &amp;quot;Courier New_MSFontService&amp;quot;, monospace; font- variant-ligatures: none !important;" lang="PT-BR" xml:lang="PT-BR"&gt;Vejamos entendimento jurisprudencial:&amp;#160;&amp;#160;&amp;#160;&amp;#160;&amp;#160;&amp;#160;&amp;#160;&amp;#160;&amp;#160;&amp;#160;&amp;#1 60;&lt;/span&gt;</w:t>
              <w:tab/>
              <w:t>&lt;span class="EOP SCXW126305243 BCX0" style="-webkit-user-drag: none;</w:t>
            </w:r>
          </w:p>
          <w:p>
            <w:pPr>
              <w:pStyle w:val="TableParagraph"/>
              <w:spacing w:line="208" w:lineRule="auto" w:before="0"/>
              <w:ind w:right="17"/>
              <w:rPr>
                <w:sz w:val="20"/>
              </w:rPr>
            </w:pPr>
            <w:r>
              <w:rPr>
                <w:sz w:val="20"/>
              </w:rPr>
              <w:t>-webkit-tap-highlight-color: transparent; margin: 0px; padding: 0px; user-select: text; font- size: 12pt; line-height: 20.7px; font-family: &amp;quot;Courier New&amp;quot;, &amp;quot;Courier New_EmbeddedFont&amp;quot;, &amp;quot;Courier New_MSFontService&amp;quot;, monospace;"&gt;&amp;#160;&lt;/span&gt;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30px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text;"&gt;DIREITO PROCESSUAL CIVIL. AGRAVO INTERNO EM FACE DE DECISÃO MONOCRÁTICA QUE NÃO CONHECEU DE EMBARGOS DE DECLARAÇÃO. INTERPOSIÇÃO DE AGRAVO INTERNO SEM ATACAR OS FUNDAMENTOS DA DECISÃO MONOCRÁTICA.</w:t>
            </w:r>
          </w:p>
          <w:p>
            <w:pPr>
              <w:pStyle w:val="TableParagraph"/>
              <w:tabs>
                <w:tab w:pos="3618" w:val="left" w:leader="none"/>
              </w:tabs>
              <w:spacing w:line="208" w:lineRule="auto" w:before="0"/>
              <w:ind w:right="161"/>
              <w:rPr>
                <w:sz w:val="20"/>
              </w:rPr>
            </w:pPr>
            <w:r>
              <w:rPr>
                <w:sz w:val="20"/>
              </w:rPr>
              <w:t>OFENSA AO PRINCÍPIO DA&lt;/span&gt;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transparent;"&gt;DIALETICIDADE .&lt;/span&gt;</w:t>
            </w:r>
          </w:p>
          <w:p>
            <w:pPr>
              <w:pStyle w:val="TableParagraph"/>
              <w:tabs>
                <w:tab w:pos="2819" w:val="left" w:leader="none"/>
              </w:tabs>
              <w:spacing w:line="208" w:lineRule="auto" w:before="0"/>
              <w:ind w:right="161"/>
              <w:rPr>
                <w:sz w:val="20"/>
              </w:rPr>
            </w:pPr>
            <w:r>
              <w:rPr>
                <w:sz w:val="20"/>
              </w:rPr>
              <w:t>&lt;span class="NormalTextRun SCXW126305243 BCX0" style="-webkit-user-drag: none; - webkit-tap-highlight-color: transparent; margin: 0px; padding: 0px; user-select: text;"&gt;RECURSO NÃO CONHECIDO. 1. No recurso ora em análise, realizando-se o indispensável juízo de admissibilidade, observa-se que o presente agravo não pode ser conhecido, haja vista a ocorrência da preclusão consumativa, uma vez que o presente agravo não se insurge contra a última decisão colegiada, proferida nos autos dos Embargos de Declaração nº 0868722-23.2014 .8.06.0001/50000, e sim contra a decisão proferida nos autos principais, sendo este um dos motivos que impedem o conhecimento do presente agravo.&lt;/span&gt;</w:t>
              <w:tab/>
              <w:t>&lt;span class="NormalTextRun ContextualSpellingAndGrammarErrorV2Themed SCXW126305243 BCX0"</w:t>
            </w:r>
            <w:r>
              <w:rPr>
                <w:spacing w:val="12"/>
                <w:sz w:val="20"/>
              </w:rPr>
              <w:t> </w:t>
            </w:r>
            <w:r>
              <w:rPr>
                <w:spacing w:val="-2"/>
                <w:sz w:val="20"/>
              </w:rPr>
              <w:t>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97" w:val="left" w:leader="none"/>
                <w:tab w:pos="6753" w:val="left" w:leader="none"/>
                <w:tab w:pos="7244" w:val="left" w:leader="none"/>
                <w:tab w:pos="7509" w:val="left" w:leader="none"/>
              </w:tabs>
              <w:spacing w:line="208" w:lineRule="auto" w:before="26"/>
              <w:ind w:right="21"/>
              <w:rPr>
                <w:sz w:val="20"/>
              </w:rPr>
            </w:pPr>
            <w:r>
              <w:rPr>
                <w:sz w:val="20"/>
              </w:rPr>
              <w:t>user-drag: none; -webkit-tap-highlight-color: transparent; margin: 0px; padding: 0px; user- select: text; background-position: 0px 100%; background-repeat: repeat-x; background- image: url(&amp;quot;data; border-bottom: 1px solid transparent;"&gt;2 .&lt;/span&gt;</w:t>
              <w:tab/>
              <w:t>&lt;span class="NormalTextRun SCXW126305243 BCX0" style="-webkit-user-drag: none; -webkit- tap-highlight-color: transparent; margin: 0px; padding: 0px; user-select: text;"&gt;Infringiu a parte agravante, desse modo, o princípio da singularidade dos recursos, que veda a interposição, pela mesma parte, de mais de uma insurgência com o escopo de atacar a mesma decisão. 3. Ademais, nesta nova insurgência recursal, o que se percebe é que não houve impugnação aos fundamentos da decisão monocrática que não conheceu dos embargos de declaração.&lt;/span&gt;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transparent;"&gt;4 .&lt;/span&gt;</w:t>
              <w:tab/>
              <w:t>&lt;span class="NormalTextRun SCXW126305243 BCX0" style="-webkit-user-drag: none; -webkit- tap-highlight-color: transparent; margin: 0px; padding: 0px; user-select: text;"&gt;Ora, cabia </w:t>
            </w:r>
            <w:r>
              <w:rPr>
                <w:spacing w:val="-9"/>
                <w:sz w:val="20"/>
              </w:rPr>
              <w:t>ao </w:t>
            </w:r>
            <w:r>
              <w:rPr>
                <w:sz w:val="20"/>
              </w:rPr>
              <w:t>agravante impugnar as razões que levaram ao não conhecimento dos&lt;/span&gt;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transparent;"&gt;aclaratórios&lt;/span&gt;</w:t>
              <w:tab/>
              <w:t>&lt;span class="NormalTextRun SCXW126305243 BCX0" style="-webkit-user-drag: none; -webkit- tap-highlight-color: transparent; margin: 0px; padding: 0px; user-select: text;"&gt;, e não simplesmente trazer alegações diversas daquela que ensejou o não conhecimento do recurso. 5. Agravo interno não conhecido. ACÓRDÃO: Vistos, relatados e discutidos estes autos, acorda a 2ª Câmara Direito Público do Tribunal de Justiça do Estado do Ceará, à unanimidade, em não conhecer do agravo interno, tudo nos termos do voto do&lt;/span&gt;</w:t>
            </w:r>
          </w:p>
          <w:p>
            <w:pPr>
              <w:pStyle w:val="TableParagraph"/>
              <w:tabs>
                <w:tab w:pos="3051" w:val="left" w:leader="none"/>
              </w:tabs>
              <w:spacing w:line="208" w:lineRule="auto" w:before="0"/>
              <w:ind w:right="23"/>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solid transparent;"&gt;Relator .&lt;/span&gt;</w:t>
              <w:tab/>
              <w:t>&lt;span class="NormalTextRun SCXW126305243 BCX0" style="-webkit-user-drag: none; -webkit-tap-highlight-color: transparent; margin: 0px; padding: 0px; user-select: text;"&gt;Fortaleza, data e hora indicadas pelo sistema. Presidente do Órgão Julgador Desembargador LUIZ EVALDO GONÇALVES LEITE Relator (TJ-CE - Agravo Interno Cível: 08687222320148060001 Fortaleza, Relator.: LUIZ EVALDO GONÇALVES LEITE, Data de Julgamento: 09/10/2024, 2ª Câmara Direito Público, Data </w:t>
            </w:r>
            <w:r>
              <w:rPr>
                <w:spacing w:val="-9"/>
                <w:sz w:val="20"/>
              </w:rPr>
              <w:t>de </w:t>
            </w:r>
            <w:r>
              <w:rPr>
                <w:sz w:val="20"/>
              </w:rPr>
              <w:t>Publicação: 09/10/2024). &amp;#160;&amp;#160;&amp;#160;&amp;#160;&amp;#160;&amp;#160;&amp;#160;&amp;#160;&amp;#160;&amp;#160;&amp;#160;&lt;/span&gt;&lt;/sp</w:t>
            </w:r>
          </w:p>
          <w:p>
            <w:pPr>
              <w:pStyle w:val="TableParagraph"/>
              <w:tabs>
                <w:tab w:pos="601" w:val="left" w:leader="none"/>
              </w:tabs>
              <w:spacing w:line="208" w:lineRule="auto" w:before="0"/>
              <w:ind w:right="45"/>
              <w:rPr>
                <w:sz w:val="20"/>
              </w:rPr>
            </w:pPr>
            <w:r>
              <w:rPr>
                <w:sz w:val="20"/>
              </w:rPr>
              <w:t>an&gt;</w:t>
              <w:tab/>
              <w:t>&lt;span class="EOP SCXW126305243 BCX0" style="-webkit-user-drag: none; - webkit-tap-highlight-color: transparent; margin: 0px; padding: 0px; user-select: text; font- 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30px 9.46667px 240px; padding: 0px; user-select: text; overflow-wrap: break-word; white-space- collapse: preserve; vertical-align: baseline; font-kerning: none; background-color: transparent; color: windowtext; text-align: justify;" lang="PT-BR" xml:lang="PT-BR"&gt;</w:t>
            </w:r>
          </w:p>
          <w:p>
            <w:pPr>
              <w:pStyle w:val="TableParagraph"/>
              <w:tabs>
                <w:tab w:pos="6041" w:val="left" w:leader="none"/>
                <w:tab w:pos="678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20.7px; font-family: &amp;quot;Times New Roman&amp;quot;, &amp;quot;Times New Roman_EmbeddedFont&amp;quot;, &amp;quot;Times New Roman_MSFontService&amp;quot;, serif; font-variant-ligatures: none !important;" lang="PT-BR" xml:lang="PT-BR"&gt;</w:t>
              <w:tab/>
              <w:t>&lt;span class="NormalTextRun SCXW126305243 BCX0" style="-webkit-user-drag: none; -webkit- tap-highlight-color: transparent; margin: 0px; padding: 0px; user-select: text;"&gt;APELAÇÃO CÍVEL. AÇÃO DE INDENIZAÇÃO POR DANOS MORAIS E MATERIAIS. SENTENÇA DE IMPROCEDÊNCIA DO PEDIDO AUTORAL. RAZÕES RECURSAIS QUE NÃO DIALOGAM COM OS FUNDAMENTOS DA SENTENÇA&lt;/span&gt;</w:t>
              <w:tab/>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0px; padding: 0px; user-select: text; background-position: 0px 100%; background-repeat:</w:t>
            </w:r>
          </w:p>
          <w:p>
            <w:pPr>
              <w:pStyle w:val="TableParagraph"/>
              <w:tabs>
                <w:tab w:pos="3606" w:val="left" w:leader="none"/>
              </w:tabs>
              <w:spacing w:line="208" w:lineRule="auto" w:before="0"/>
              <w:ind w:right="17"/>
              <w:rPr>
                <w:sz w:val="20"/>
              </w:rPr>
            </w:pPr>
            <w:r>
              <w:rPr>
                <w:sz w:val="20"/>
              </w:rPr>
              <w:t>repeat-x; background-image: url(&amp;quot;data; border-bottom: 1px solid transparent;"&gt;RECORRIDA .&lt;/span&gt;</w:t>
              <w:tab/>
              <w:t>&lt;span class="NormalTextRun SCXW126305243 BCX0" style="-webkit-user-drag: none; -webkit-tap-highlight-color: transparent; margin: </w:t>
            </w:r>
            <w:r>
              <w:rPr>
                <w:spacing w:val="-5"/>
                <w:sz w:val="20"/>
              </w:rPr>
              <w:t>0px; </w:t>
            </w:r>
            <w:r>
              <w:rPr>
                <w:sz w:val="20"/>
              </w:rPr>
              <w:t>padding: 0px; user-select: text;"&gt;INOBSERVÂNCIA AO PRINCÍPIO DA DIALETICIDADE. INTELIGÊNCIA DO ARTIGO 932, INCISO III DO CPC. PRECEDENTES STJ E TJCE.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529" w:val="left" w:leader="none"/>
              </w:tabs>
              <w:spacing w:line="208" w:lineRule="auto" w:before="26"/>
              <w:ind w:right="161"/>
              <w:rPr>
                <w:sz w:val="20"/>
              </w:rPr>
            </w:pPr>
            <w:r>
              <w:rPr>
                <w:sz w:val="20"/>
              </w:rPr>
              <w:t>RECURSO NÃO&lt;/span&gt;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transparent;"&gt;CONHECIDO .&lt;/span&gt;</w:t>
            </w:r>
          </w:p>
          <w:p>
            <w:pPr>
              <w:pStyle w:val="TableParagraph"/>
              <w:tabs>
                <w:tab w:pos="7232" w:val="left" w:leader="none"/>
              </w:tabs>
              <w:spacing w:line="208" w:lineRule="auto" w:before="0"/>
              <w:ind w:right="17"/>
              <w:rPr>
                <w:sz w:val="20"/>
              </w:rPr>
            </w:pPr>
            <w:r>
              <w:rPr>
                <w:sz w:val="20"/>
              </w:rPr>
              <w:t>&lt;span class="NormalTextRun SCXW126305243 BCX0" style="-webkit-user-drag: none; - webkit-tap-highlight-color: transparent; margin: 0px; padding: 0px; user-select: text;"&gt;SENTENÇA MANTIDA. 1. No caso dos autos, a sentença atacada julgou improcedente o pleito autoral. Todavia, nas razões recursais, a parte Recorrente limitou-se a reproduzir os argumentos narrados na peça inicial e no recurso de apelação anteriormente interposto, sustentando, em síntese, que houve falha na prestação de serviços pela parte ré, pois ao invés de servidores do Banco do Brasil auxiliarem os aposentados nos terminais de autoatendimento, havia uma pessoa estranha identificada como Maria da Conceição Domingos, vulgo 'Ceiça', a qual estaria realizando empréstimos em nome dos aposentados . 2. Nesse contexto, observa-se que os argumentos recursais são genéricos e não enfrentam especificamente os fundamentos da sentença, seja em relação à declaração de ilegitimidade passiva do Banco do Brasil S/A, seja em relação à improcedência do pedido em face do Banco BMG S/A. Ademais, não explicitaram de que maneira o juiz teria aplicado erroneamente o direito ao caso concreto.&lt;/span&gt;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89" w:lineRule="exact" w:before="0"/>
              <w:rPr>
                <w:sz w:val="20"/>
              </w:rPr>
            </w:pPr>
            <w:r>
              <w:rPr>
                <w:sz w:val="20"/>
              </w:rPr>
              <w:t>repeat-x; background-image: url(&amp;quot;data; border-bottom: 1px solid transparent;"&gt;3</w:t>
            </w:r>
          </w:p>
          <w:p>
            <w:pPr>
              <w:pStyle w:val="TableParagraph"/>
              <w:tabs>
                <w:tab w:pos="1096" w:val="left" w:leader="none"/>
                <w:tab w:pos="2474" w:val="left" w:leader="none"/>
                <w:tab w:pos="4758" w:val="left" w:leader="none"/>
                <w:tab w:pos="6155" w:val="left" w:leader="none"/>
                <w:tab w:pos="6753" w:val="left" w:leader="none"/>
                <w:tab w:pos="7454" w:val="left" w:leader="none"/>
              </w:tabs>
              <w:spacing w:line="208" w:lineRule="auto" w:before="9"/>
              <w:ind w:right="17"/>
              <w:rPr>
                <w:sz w:val="20"/>
              </w:rPr>
            </w:pPr>
            <w:r>
              <w:rPr>
                <w:sz w:val="20"/>
              </w:rPr>
              <w:t>.&lt;/span&gt;</w:t>
              <w:tab/>
              <w:t>&lt;span class="NormalTextRun SCXW126305243 BCX0" style="-webkit-user- drag: none; -webkit-tap-highlight-color: transparent; margin: 0px; padding: 0px; user-select: text;"&gt;Assim, sem esforço, conclui-se que a argumentação recursal não dialoga com os termos da sentença apelada. Tem-se que, à luz do princípio da dialeticidade, ao fundamentar a decisão impugnada, o recorrente deverá atacar, especificamente e em sua totalidade, o seu conteúdo, nos termos do art. 932, inc. III, do CPC, o que não ocorreu na espécie, uma vez que, as razões apresentadas, não impugnam adequadamente os fundamentos da&lt;/span&gt;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transparent;"&gt;sentença .&lt;/span&gt;</w:t>
              <w:tab/>
              <w:t>&lt;span class="NormalTextRun SCXW126305243 BCX0" style="-webkit-user-drag: none; -webkit- tap-highlight-color: transparent; margin: 0px; padding: 0px; user-select: text;"&gt;Precedentes STJ e TJCE. 4. Conforme o postulado da dialeticidade, o enunciado sumular nº 43 do TJCE, dispõe que: "Não se conhece de recurso quando não é feita a exposição do direito e das razões do pedido de nova decisão".&lt;/span&gt;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transparent;"&gt;5 .&lt;/span&gt;</w:t>
              <w:tab/>
              <w:t>&lt;span class="NormalTextRun SCXW126305243 BCX0" style="-webkit-user-drag: none; -webkit- tap-highlight-color: transparent; margin: 0px; padding: 0px; user-select: text;"&gt;Assim, à luz do princípio da dialeticidade, ao fundamentar a decisão impugnada, o recorrente deverá atacar, especificamente e em sua totalidade, o seu conteúdo, nos termos do art. 932, inc. III, do CPC, o que não ocorreu na espécie, uma vez que, as razões apresentadas, não impugnam adequadamente os fundamentos da sentença.&lt;/span&gt;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88" w:lineRule="exact" w:before="0"/>
              <w:rPr>
                <w:sz w:val="20"/>
              </w:rPr>
            </w:pPr>
            <w:r>
              <w:rPr>
                <w:sz w:val="20"/>
              </w:rPr>
              <w:t>repeat-x; background-image: url(&amp;quot;data; border-bottom: 1px solid transparent;"&gt;6</w:t>
            </w:r>
          </w:p>
          <w:p>
            <w:pPr>
              <w:pStyle w:val="TableParagraph"/>
              <w:tabs>
                <w:tab w:pos="1096" w:val="left" w:leader="none"/>
                <w:tab w:pos="3875" w:val="left" w:leader="none"/>
                <w:tab w:pos="7287" w:val="left" w:leader="none"/>
              </w:tabs>
              <w:spacing w:line="208" w:lineRule="auto" w:before="10"/>
              <w:ind w:right="54"/>
              <w:rPr>
                <w:sz w:val="20"/>
              </w:rPr>
            </w:pPr>
            <w:r>
              <w:rPr>
                <w:sz w:val="20"/>
              </w:rPr>
              <w:t>.&lt;/span&gt;</w:t>
              <w:tab/>
              <w:t>&lt;span class="NormalTextRun SCXW126305243 BCX0" style="-webkit-user- drag: none; -webkit-tap-highlight-color: transparent; margin: 0px; padding: 0px; user-select: text;"&gt;Ocorrência de violação ao princípio da dialeticidade, por ausência de impugnação específica aos fundamentos determinantes da sentença recorrida. 7. Recurso NÃO CONHECIDO. ACÓRDÃO: Vistos, relatados e discutidos estes autos, acorda a 4ª Câmara Direito Privado do Tribunal de Justiça do Estado do Ceará, em NÃO CONHECER do Recurso, nos termos do voto do&lt;/span&gt;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transparent;"&gt;Relator .&lt;/span&gt;</w:t>
              <w:tab/>
              <w:t>&lt;span class="NormalTextRun SCXW126305243 BCX0" style="-webkit-user-drag: none; -webkit- tap-highlight-color: transparent; margin: 0px; padding: 0px; user-select: text;"&gt;Fortaleza, data e hora indicadas pelo sistema. FRANCISCO BEZERRA CAVALCANTE Presidente </w:t>
            </w:r>
            <w:r>
              <w:rPr>
                <w:spacing w:val="-9"/>
                <w:sz w:val="20"/>
              </w:rPr>
              <w:t>do </w:t>
            </w:r>
            <w:r>
              <w:rPr>
                <w:sz w:val="20"/>
              </w:rPr>
              <w:t>Órgão Julgador DESEMBARGADOR FRANCISCO JAIME MEDEIROS NETO Relator (TJ-</w:t>
            </w:r>
          </w:p>
          <w:p>
            <w:pPr>
              <w:pStyle w:val="TableParagraph"/>
              <w:spacing w:line="204" w:lineRule="exact" w:before="0"/>
              <w:rPr>
                <w:sz w:val="20"/>
              </w:rPr>
            </w:pPr>
            <w:r>
              <w:rPr>
                <w:sz w:val="20"/>
              </w:rPr>
              <w:t>CE - Apelação Cível: 00057096620198060144 Pentecoste, Relator.: FRANCISCO JAIME</w:t>
            </w:r>
          </w:p>
        </w:tc>
      </w:tr>
    </w:tbl>
    <w:p>
      <w:pPr>
        <w:spacing w:after="0" w:line="204" w:lineRule="exact"/>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
              <w:rPr>
                <w:sz w:val="20"/>
              </w:rPr>
            </w:pPr>
            <w:r>
              <w:rPr>
                <w:sz w:val="20"/>
              </w:rPr>
              <w:t>MEDEIROS NETO, Data de Julgamento: 21/01/2025, 4ª Câmara Direito Privado, Data de Publicação: 21/01/2025).&amp;#160;&amp;#160;&amp;#160;&amp;#160;&amp;#160;&amp;#160;&amp;#160;&amp;#160;&amp;#160;&amp;#160;&amp;#160;</w:t>
            </w:r>
          </w:p>
          <w:p>
            <w:pPr>
              <w:pStyle w:val="TableParagraph"/>
              <w:tabs>
                <w:tab w:pos="1707" w:val="left" w:leader="none"/>
                <w:tab w:pos="1982" w:val="left" w:leader="none"/>
                <w:tab w:pos="3968" w:val="left" w:leader="none"/>
                <w:tab w:pos="6630" w:val="left" w:leader="none"/>
              </w:tabs>
              <w:spacing w:line="208" w:lineRule="auto" w:before="0"/>
              <w:ind w:right="17"/>
              <w:rPr>
                <w:sz w:val="20"/>
              </w:rPr>
            </w:pPr>
            <w:r>
              <w:rPr>
                <w:sz w:val="20"/>
              </w:rPr>
              <w:t>&lt;/span&gt;&lt;/span&gt;</w:t>
              <w:tab/>
              <w:t>&lt;span class="EOP SCXW126305243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30px 9.46667px 240px; padding: 0px; user- select: text; overflow-wrap: break-word; white-space-collapse: preserve; vertical-align: baseline; font-kerning: none; background-color: transparent; color: windowtext; text-align: justify;" lang="PT-BR" xml:lang="PT-BR"&gt;</w:t>
              <w:tab/>
              <w:t>&lt;span class="TextRun SCXW126305243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 font-variant-ligatures: none !important;" lang="PT-BR" xml:lang="PT-BR"&gt;</w:t>
              <w:tab/>
              <w:t>&lt;span class="NormalTextRun SCXW126305243 BCX0" style="- webkit-user-drag: none; -webkit-tap-highlight-color: transparent; margin: 0px; padding: 0px; user-select: text;"&gt;PROCESSUAL CIVIL. AGRAVO INTERNO. DECISÃO MONOCRÁTICA QUE NÃO CONHECEU DE APELAÇÃO POR AUSÊNCIA DE INTERESSE RECURSAL. AGRAVO INTERNO QUE APENAS REPRODUZ TERMOS DA&lt;/span&gt;</w:t>
              <w:tab/>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3485" w:val="left" w:leader="none"/>
              </w:tabs>
              <w:spacing w:line="208" w:lineRule="auto" w:before="0"/>
              <w:ind w:right="17"/>
              <w:rPr>
                <w:sz w:val="20"/>
              </w:rPr>
            </w:pPr>
            <w:r>
              <w:rPr>
                <w:sz w:val="20"/>
              </w:rPr>
              <w:t>repeat-x; background-image: url(&amp;quot;data; border-bottom: 1px solid transparent;"&gt;APELAÇÃO .&lt;/span&gt;</w:t>
              <w:tab/>
              <w:t>&lt;span class="NormalTextRun SCXW126305243 BCX0" style="-webkit-user-drag: none; -webkit-tap-highlight-color: transparent; margin: </w:t>
            </w:r>
            <w:r>
              <w:rPr>
                <w:spacing w:val="-5"/>
                <w:sz w:val="20"/>
              </w:rPr>
              <w:t>0px; </w:t>
            </w:r>
            <w:r>
              <w:rPr>
                <w:sz w:val="20"/>
              </w:rPr>
              <w:t>padding: 0px; user-select: text;"&gt;AUSÊNCIA DE IMPUGNAÇÃO ESPECÍFICA A RESPEITO DO INTERESSE RECURSAL. INOBSERVÂNCIA DO ART. 1.021, § 1º,</w:t>
            </w:r>
          </w:p>
          <w:p>
            <w:pPr>
              <w:pStyle w:val="TableParagraph"/>
              <w:tabs>
                <w:tab w:pos="1340" w:val="left" w:leader="none"/>
                <w:tab w:pos="7064" w:val="left" w:leader="none"/>
              </w:tabs>
              <w:spacing w:line="208" w:lineRule="auto" w:before="0"/>
              <w:ind w:right="161"/>
              <w:rPr>
                <w:sz w:val="20"/>
              </w:rPr>
            </w:pPr>
            <w:r>
              <w:rPr>
                <w:sz w:val="20"/>
              </w:rPr>
              <w:t>DO&lt;/span&gt;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transparent;"&gt;CPC .&lt;/span&gt;</w:t>
              <w:tab/>
              <w:t>&lt;span class="NormalTextRun SCXW126305243 BCX0" style="-webkit-user-drag: none; -webkit- tap-highlight-color: transparent; margin: 0px; padding: 0px; user-select: text;"&gt;VIOLAÇÃO AO PRINCÍPIO DA DIALETICIDADE. RECURSO NÃO CONHECIDO. 1. No caso em</w:t>
            </w:r>
          </w:p>
          <w:p>
            <w:pPr>
              <w:pStyle w:val="TableParagraph"/>
              <w:tabs>
                <w:tab w:pos="3208" w:val="left" w:leader="none"/>
                <w:tab w:pos="7454" w:val="left" w:leader="none"/>
              </w:tabs>
              <w:spacing w:line="208" w:lineRule="auto" w:before="0"/>
              <w:ind w:right="148"/>
              <w:rPr>
                <w:sz w:val="20"/>
              </w:rPr>
            </w:pPr>
            <w:r>
              <w:rPr>
                <w:sz w:val="20"/>
              </w:rPr>
              <w:t>apreço, o agravante não impugnou em seu agravo interno os motivos que levaram o relator a não conhecer a&lt;/span&gt;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transparent;"&gt;apelação .&lt;/span&gt;</w:t>
              <w:tab/>
            </w:r>
            <w:r>
              <w:rPr>
                <w:spacing w:val="-4"/>
                <w:sz w:val="20"/>
              </w:rPr>
              <w:t>&lt;span </w:t>
            </w:r>
            <w:r>
              <w:rPr>
                <w:sz w:val="20"/>
              </w:rPr>
              <w:t>class="NormalTextRun SCXW126305243 BCX0" style="-webkit-user-drag: none; -webkit- tap-highlight-color: transparent; margin: 0px; padding: 0px; user-select: text;"&gt;A decisão monocrática impugnada deixou de conhecer a apelação por falta de interesse recursal.</w:t>
            </w:r>
          </w:p>
          <w:p>
            <w:pPr>
              <w:pStyle w:val="TableParagraph"/>
              <w:tabs>
                <w:tab w:pos="1263" w:val="left" w:leader="none"/>
                <w:tab w:pos="4198" w:val="left" w:leader="none"/>
                <w:tab w:pos="7354" w:val="left" w:leader="none"/>
              </w:tabs>
              <w:spacing w:line="208" w:lineRule="auto" w:before="0"/>
              <w:ind w:right="63"/>
              <w:rPr>
                <w:sz w:val="20"/>
              </w:rPr>
            </w:pPr>
            <w:r>
              <w:rPr>
                <w:sz w:val="20"/>
              </w:rPr>
              <w:t>Irresignado, o agravado interpôs agravo interno, com razões recursais totalmente alheias ao fundamento da decisão monocrática atacada, sem justificar em nenhum momento o interesse recursal da apelação. 2. Violação ao princípio da dialeticidade, por não ter o recurso impugnado especificamente os fundamentos determinantes da decisão monocrática atacada, não se desincumbindo, portanto, do seu ônus de indicar nas razões recursais o equívoco do julgado em&lt;/span&gt;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transparent;"&gt;questão .&lt;/span&gt;</w:t>
              <w:tab/>
              <w:t>&lt;span class="NormalTextRun SCXW126305243 BCX0" style="-webkit-user-drag: none; -webkit- tap-highlight-color: transparent; margin: 0px; padding: 0px; user-select: text;"&gt;4. Apesar de a repetição no agravo interno de argumentos ventilados na apelação ou em outras peças anteriores não configure, por si só, afronta ao princípio da dialeticidade, a não impugnação específica dos fundamentos da decisão monocrática adversada, como na hipótese vertente, impossibilita a admissão do recurso, por descumprimento do art. 1.021, § 1º, do&lt;/span&gt;</w:t>
              <w:tab/>
              <w:t>&lt;span class="NormalTextRun ContextualSpellingAndGrammarErrorV2Themed SCXW126305243 BCX0" style="-webkit- user-drag: none; -webkit-tap-highlight-color: transparent; margin: 0px; padding: 0px; user-</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5387" w:val="left" w:leader="none"/>
                <w:tab w:pos="7064" w:val="left" w:leader="none"/>
                <w:tab w:pos="7253" w:val="left" w:leader="none"/>
              </w:tabs>
              <w:spacing w:line="208" w:lineRule="auto" w:before="26"/>
              <w:ind w:right="86"/>
              <w:rPr>
                <w:sz w:val="20"/>
              </w:rPr>
            </w:pPr>
            <w:r>
              <w:rPr>
                <w:sz w:val="20"/>
              </w:rPr>
              <w:t>select: text; background-position: 0px 100%; background-repeat: repeat-x; background- image: url(&amp;quot;data; border-bottom: 1px solid transparent;"&gt;CPC .&lt;/span&gt;</w:t>
              <w:tab/>
              <w:t>&lt;span class="NormalTextRun SCXW126305243 BCX0" style="-webkit-user-drag: none; -webkit- tap-highlight-color: transparent; margin: 0px; padding: 0px; user-select: text;"&gt;Precedentes do STJ. 5. Recurso não conhecido. ACÓRDÃO: Vistos, relatados e discutidos estes </w:t>
            </w:r>
            <w:r>
              <w:rPr>
                <w:spacing w:val="-3"/>
                <w:sz w:val="20"/>
              </w:rPr>
              <w:t>autos, </w:t>
            </w:r>
            <w:r>
              <w:rPr>
                <w:sz w:val="20"/>
              </w:rPr>
              <w:t>acorda a 3ª Câmara Direito Privado do Tribunal de Justiça do Estado do Ceará, por unanimidade, em negar conhecimento ao agravo&lt;/span&gt;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transparent;"&gt;interno .&lt;/span&gt;</w:t>
              <w:tab/>
              <w:tab/>
              <w:t>&lt;span class="NormalTextRun SCXW126305243 BCX0" style="-webkit-user-drag: none; -webkit- tap-highlight-color: transparent; margin: 0px; padding: 0px; user-select: text;"&gt;Fortaleza, data e hora da assinatura digital. JANE RUTH MAIA DE QUEIROGA Presidente do Órgão Julgador JUIZ CONVOCADO PAULO DE TARSO PIRES NOGUEIRA - PORT. 2696/2023</w:t>
            </w:r>
          </w:p>
          <w:p>
            <w:pPr>
              <w:pStyle w:val="TableParagraph"/>
              <w:spacing w:line="208" w:lineRule="auto" w:before="0"/>
              <w:ind w:right="-1"/>
              <w:rPr>
                <w:sz w:val="20"/>
              </w:rPr>
            </w:pPr>
            <w:r>
              <w:rPr>
                <w:sz w:val="20"/>
              </w:rPr>
              <w:t>Relator (TJ-CE - Agravo Interno Cível: 0237505-98.2020 .8.06.0001 Fortaleza, Data de Julgamento: 07/02/2024, 3ª Câmara Direito Privado, Data de Publicação: 07/02/2024).&amp;#160;&amp;#160;&amp;#160;&amp;#160;&amp;#160;&amp;#160;&amp;#160;&amp;#160;&amp;#160;&amp;#160;&amp;#160;</w:t>
            </w:r>
          </w:p>
          <w:p>
            <w:pPr>
              <w:pStyle w:val="TableParagraph"/>
              <w:tabs>
                <w:tab w:pos="1707" w:val="left" w:leader="none"/>
                <w:tab w:pos="1982" w:val="left" w:leader="none"/>
                <w:tab w:pos="3968" w:val="left" w:leader="none"/>
              </w:tabs>
              <w:spacing w:line="208" w:lineRule="auto" w:before="0"/>
              <w:ind w:right="17"/>
              <w:rPr>
                <w:sz w:val="20"/>
              </w:rPr>
            </w:pPr>
            <w:r>
              <w:rPr>
                <w:sz w:val="20"/>
              </w:rPr>
              <w:t>&lt;/span&gt;&lt;/span&gt;</w:t>
              <w:tab/>
              <w:t>&lt;span class="EOP SCXW126305243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30px 9.46667px 240px; padding: 0px; user- select: text; overflow-wrap: break-word; white-space-collapse: preserve; vertical-align: baseline; font-kerning: none; background-color: transparent; color: windowtext; text-align: justify;" lang="PT-BR" xml:lang="PT-BR"&gt;</w:t>
              <w:tab/>
              <w:t>&lt;span class="TextRun SCXW126305243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 font-variant-ligatures: none !important;" lang="PT-BR" xml:lang="PT-BR"&gt;</w:t>
              <w:tab/>
              <w:t>&lt;span class="NormalTextRun SCXW126305243 BCX0" style="- webkit-user-drag: none; -webkit-tap-highlight-color: transparent; margin: 0px; padding: 0px; user-select: text;"&gt;PROCESSO CIVIL. RECURSO DE APELAÇÃO. AUSÊNCIA DOS FUNDAMENTOS FÁTICOS E JURÍDICOS. NÃO ATAQUE ESPECÍFICO À&lt;/span&gt;</w:t>
            </w:r>
          </w:p>
          <w:p>
            <w:pPr>
              <w:pStyle w:val="TableParagraph"/>
              <w:tabs>
                <w:tab w:pos="3495" w:val="left" w:leader="none"/>
                <w:tab w:pos="6752" w:val="left" w:leader="none"/>
              </w:tabs>
              <w:spacing w:line="208" w:lineRule="auto" w:before="0"/>
              <w:ind w:right="17"/>
              <w:rPr>
                <w:sz w:val="20"/>
              </w:rPr>
            </w:pPr>
            <w:r>
              <w:rPr>
                <w:sz w:val="20"/>
              </w:rPr>
              <w:t>&lt;span class="NormalTextRun ContextualSpellingAndGrammarErrorV2Themed SCXW126305243 BCX0" style="-webkit-user-drag: none; -webkit-tap-highlight-color: transparent; margin: 0px; padding: 0px; user-select: text; background-position: 0px 100%; background-repeat: repeat-x; background-image: url(&amp;quot;data; border-bottom: 1px solid transparent;"&gt;SENTENÇA .&lt;/span&gt;</w:t>
              <w:tab/>
              <w:t>&lt;span class="NormalTextRun SCXW126305243 BCX0" style="-webkit-user-drag: none; -webkit-tap-highlight-color: transparent; margin: </w:t>
            </w:r>
            <w:r>
              <w:rPr>
                <w:spacing w:val="-5"/>
                <w:sz w:val="20"/>
              </w:rPr>
              <w:t>0px; </w:t>
            </w:r>
            <w:r>
              <w:rPr>
                <w:sz w:val="20"/>
              </w:rPr>
              <w:t>padding: 0px; user-select: text;"&gt;AFRONTA AO PRINCÍPIO DA DIALETICIDADE. PRESSUPOSTOS INTRÍNSECOS. REGULARIDADE FORMAL.&lt;/span&gt;</w:t>
              <w:tab/>
              <w:t>&lt;span</w:t>
            </w:r>
          </w:p>
          <w:p>
            <w:pPr>
              <w:pStyle w:val="TableParagraph"/>
              <w:spacing w:line="208" w:lineRule="auto" w:before="0"/>
              <w:ind w:right="17"/>
              <w:jc w:val="both"/>
              <w:rPr>
                <w:sz w:val="20"/>
              </w:rPr>
            </w:pPr>
            <w:r>
              <w:rPr>
                <w:sz w:val="20"/>
              </w:rPr>
              <w:t>class="NormalTextRun ContextualSpellingAndGrammarErrorV2Themed SCXW126305243 BCX0" style="-webkit-user-drag: none; -webkit-tap-highlight-color: transparent; margin: 0px; padding: 0px; user-select: text; background-position: 0px 100%; background-repeat:</w:t>
            </w:r>
          </w:p>
          <w:p>
            <w:pPr>
              <w:pStyle w:val="TableParagraph"/>
              <w:tabs>
                <w:tab w:pos="3429" w:val="left" w:leader="none"/>
              </w:tabs>
              <w:spacing w:line="208" w:lineRule="auto" w:before="0"/>
              <w:ind w:right="17"/>
              <w:rPr>
                <w:sz w:val="20"/>
              </w:rPr>
            </w:pPr>
            <w:r>
              <w:rPr>
                <w:sz w:val="20"/>
              </w:rPr>
              <w:t>repeat-x; background-image: url(&amp;quot;data; border-bottom: 1px solid transparent;"&gt;AUSÊNCIA .&lt;/span&gt;</w:t>
              <w:tab/>
              <w:t>&lt;span class="NormalTextRun SCXW126305243 BCX0" style="-webkit-user-drag: none; -webkit-tap-highlight-color: transparent; margin: </w:t>
            </w:r>
            <w:r>
              <w:rPr>
                <w:spacing w:val="-5"/>
                <w:sz w:val="20"/>
              </w:rPr>
              <w:t>0px; </w:t>
            </w:r>
            <w:r>
              <w:rPr>
                <w:sz w:val="20"/>
              </w:rPr>
              <w:t>padding: 0px; user-select: text;"&gt;NECESSIDADE DE ARGUMENTOS QUE COMPORTAM AS RAZÕES. SÚMULA DE Nº 43 DO TJ/CE. CAUSA DE PEDIR RECURSAL. RECURSO</w:t>
            </w:r>
          </w:p>
          <w:p>
            <w:pPr>
              <w:pStyle w:val="TableParagraph"/>
              <w:tabs>
                <w:tab w:pos="1473" w:val="left" w:leader="none"/>
              </w:tabs>
              <w:spacing w:line="208" w:lineRule="auto" w:before="0"/>
              <w:ind w:right="161"/>
              <w:rPr>
                <w:sz w:val="20"/>
              </w:rPr>
            </w:pPr>
            <w:r>
              <w:rPr>
                <w:sz w:val="20"/>
              </w:rPr>
              <w:t>NÃO&lt;/span&gt;</w:t>
              <w:tab/>
              <w:t>&lt;span class="NormalTextRun ContextualSpellingAndGrammarErrorV2Themed SCXW126305243 BCX0" </w:t>
            </w:r>
            <w:r>
              <w:rPr>
                <w:spacing w:val="-2"/>
                <w:sz w:val="20"/>
              </w:rPr>
              <w:t>style="-webkit- </w:t>
            </w:r>
            <w:r>
              <w:rPr>
                <w:sz w:val="20"/>
              </w:rPr>
              <w:t>user-drag: none; -webkit-tap-highlight-color: transparent; margin: 0px; padding: 0px; user- select: text; background-position: 0px 100%; background-repeat: repeat-x; background- image: url(&amp;quot;data; border-bottom: 1px solid transparent;"&gt;CONHECIDO .&lt;/span&gt;</w:t>
            </w:r>
          </w:p>
          <w:p>
            <w:pPr>
              <w:pStyle w:val="TableParagraph"/>
              <w:spacing w:line="208" w:lineRule="auto" w:before="0"/>
              <w:ind w:right="18"/>
              <w:rPr>
                <w:sz w:val="20"/>
              </w:rPr>
            </w:pPr>
            <w:r>
              <w:rPr>
                <w:sz w:val="20"/>
              </w:rPr>
              <w:t>&lt;span class="NormalTextRun SCXW126305243 BCX0" style="-webkit-user-drag: none; - webkit-tap-highlight-color: transparent; margin: 0px; padding: 0px; user-select: text;"&gt;I. Caso em Exame O presente recurso de apelação, interposto pelo apelante, objetiva a reforma de decisão proferida pelo juízo a quo, que julgou improcedente o pedido formulado na Ação Declaratória De Inexistência De Débito C/C Indenização Por Danos Morais e Pedido De Tutela De Urgência, no entanto, apresentou razões recursais que não atacam especificamente os fundamentos da sentença, limitando-se à reprodução de argumentos já expostos nas peças anteriores. II. Questão em Discussão Discute-se a admissibilidade do recurso de apelação em face da ausência de impugnação específica aos fundamentos da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899" w:val="left" w:leader="none"/>
              </w:tabs>
              <w:spacing w:line="208" w:lineRule="auto" w:before="26"/>
              <w:ind w:right="17"/>
              <w:rPr>
                <w:sz w:val="20"/>
              </w:rPr>
            </w:pPr>
            <w:r>
              <w:rPr>
                <w:sz w:val="20"/>
              </w:rPr>
              <w:t>decisão recorrida, conforme exigido pelo princípio da dialeticidade&lt;/span&gt;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tabs>
                <w:tab w:pos="2174" w:val="left" w:leader="none"/>
                <w:tab w:pos="3118" w:val="left" w:leader="none"/>
              </w:tabs>
              <w:spacing w:line="208" w:lineRule="auto" w:before="0"/>
              <w:ind w:right="79"/>
              <w:rPr>
                <w:sz w:val="20"/>
              </w:rPr>
            </w:pPr>
            <w:r>
              <w:rPr>
                <w:sz w:val="20"/>
              </w:rPr>
              <w:t>repeat-x; background-image: url(&amp;quot;data; border-bottom: 1px solid transparent;"&gt;recursal .&lt;/span&gt;</w:t>
              <w:tab/>
              <w:t>&lt;span class="NormalTextRun SCXW126305243 </w:t>
            </w:r>
            <w:r>
              <w:rPr>
                <w:spacing w:val="-4"/>
                <w:sz w:val="20"/>
              </w:rPr>
              <w:t>BCX0" </w:t>
            </w:r>
            <w:r>
              <w:rPr>
                <w:sz w:val="20"/>
              </w:rPr>
              <w:t>style="-webkit-user-drag: none; -webkit-tap-highlight-color: transparent; margin: 0px; padding: 0px; user-select: text;"&gt;A questão central é se o recorrente cumpriu os requisitos formais necessários para a admissibilidade do recurso. III. Razões de Decidir A análise do recurso revela que o apelante não apresentou razões que efetivamente impugnassem os fundamentos da sentença, restringindo-se a reproduzir trechos da petição inicial e da réplica. A jurisprudência, incluindo o entendimento do STJ, estabelece que a mera repetição de argumentos sem a devida análise crítica da decisão recorrida não satisfaz os requisitos da&lt;/span&gt;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transparent;"&gt;dialeticidade .&lt;/span&gt;</w:t>
            </w:r>
          </w:p>
          <w:p>
            <w:pPr>
              <w:pStyle w:val="TableParagraph"/>
              <w:tabs>
                <w:tab w:pos="3242" w:val="left" w:leader="none"/>
                <w:tab w:pos="6955" w:val="left" w:leader="none"/>
                <w:tab w:pos="7353" w:val="left" w:leader="none"/>
              </w:tabs>
              <w:spacing w:line="208" w:lineRule="auto" w:before="0"/>
              <w:ind w:right="17"/>
              <w:rPr>
                <w:sz w:val="20"/>
              </w:rPr>
            </w:pPr>
            <w:r>
              <w:rPr>
                <w:sz w:val="20"/>
              </w:rPr>
              <w:t>&lt;span class="NormalTextRun SCXW126305243 BCX0" style="-webkit-user-drag: none; - webkit-tap-highlight-color: transparent; margin: 0px; padding: 0px; user-select: text;"&gt;O artigo 932, III, do CPC é claro ao estabelecer que o relator deve não conhecer de recursos que não impugnarem especificamente os fundamentos da decisão recorrida. Além disso, a Súmula 43 do Tribunal de Justiça do Estado do Ceará corrobora essa exigência. IV. Dispositivo e Tese Não conhecimento do recurso de apelação por ausência de fundamentos que combatessem os elementos da decisão atacada, em violação ao princípio da dialeticidade&lt;/span&gt;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transparent;"&gt;recursal .&lt;/span&gt;</w:t>
              <w:tab/>
              <w:t>&lt;span class="NormalTextRun SCXW126305243 BCX0" style="-webkit-user-drag: none; -webkit- tap-highlight-color: transparent; margin: 0px; padding: 0px; user-select: text;"&gt;Em consequência, a sentença proferida pelo juízo de primeiro grau permanece intacta. A tese subjacente é que a falta de impugnação específica aos fundamentos da sentença torna o recurso inadmissível, em respeito aos requisitos formais exigidos pela legislação processual civil. ACÓRDÃO: Vistos, relatados e discutidos os presentes autos, em que figuram as partes acima referidas. Acordam os Senhores Desembargadores integrantes da 4ª Câmara de Direito Privado do Tribunal de Justiça do Estado do Ceará em NÃO CONHECER do presente recurso, mantendo-se o disposto na sentença, tudo nos termos do voto do Desembargador Relator, observadas as disposições de&lt;/span&gt;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89" w:lineRule="exact" w:before="0"/>
              <w:rPr>
                <w:sz w:val="20"/>
              </w:rPr>
            </w:pPr>
            <w:r>
              <w:rPr>
                <w:sz w:val="20"/>
              </w:rPr>
              <w:t>repeat-x; background-image: url(&amp;quot;data; border-bottom: 1px solid transparent;"&gt;ofício</w:t>
            </w:r>
          </w:p>
          <w:p>
            <w:pPr>
              <w:pStyle w:val="TableParagraph"/>
              <w:tabs>
                <w:tab w:pos="1096" w:val="left" w:leader="none"/>
              </w:tabs>
              <w:spacing w:line="208" w:lineRule="auto" w:before="8"/>
              <w:ind w:right="75"/>
              <w:rPr>
                <w:sz w:val="20"/>
              </w:rPr>
            </w:pPr>
            <w:r>
              <w:rPr>
                <w:sz w:val="20"/>
              </w:rPr>
              <w:t>.&lt;/span&gt;</w:t>
              <w:tab/>
              <w:t>&lt;span class="NormalTextRun SCXW126305243 BCX0" style="-webkit-user- drag: none; -webkit-tap-highlight-color: transparent; margin: 0px; padding: 0px; </w:t>
            </w:r>
            <w:r>
              <w:rPr>
                <w:spacing w:val="-2"/>
                <w:sz w:val="20"/>
              </w:rPr>
              <w:t>user-select: </w:t>
            </w:r>
            <w:r>
              <w:rPr>
                <w:sz w:val="20"/>
              </w:rPr>
              <w:t>text;"&gt;Fortaleza, data da assinatura eletrônica DESEMBARGADOR FRANCISCO BEZERRA CAVALCANTE Relator (TJ-CE - Apelação Cível: 02040391120238060001</w:t>
            </w:r>
          </w:p>
          <w:p>
            <w:pPr>
              <w:pStyle w:val="TableParagraph"/>
              <w:tabs>
                <w:tab w:pos="5511" w:val="left" w:leader="none"/>
              </w:tabs>
              <w:spacing w:line="208" w:lineRule="auto" w:before="0"/>
              <w:ind w:right="45"/>
              <w:rPr>
                <w:sz w:val="20"/>
              </w:rPr>
            </w:pPr>
            <w:r>
              <w:rPr>
                <w:sz w:val="20"/>
              </w:rPr>
              <w:t>Fortaleza, Relator.: FRANCISCO BEZERRA CAVALCANTE, Data de Julgamento: 15/10/2024, 4ª Câmara Direito Privado, Data de Publicação: 15/10/2024). &amp;#160;&amp;#160;&amp;#160;&amp;#160;&amp;#160;&amp;#160;&lt;/span&gt;&lt;/span&gt;</w:t>
              <w:tab/>
              <w:t>&lt;span class="EOP SCXW126305243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w:t>
            </w:r>
            <w:r>
              <w:rPr>
                <w:spacing w:val="-4"/>
                <w:sz w:val="20"/>
              </w:rPr>
              <w:t>BCX0" </w:t>
            </w:r>
            <w:r>
              <w:rPr>
                <w:sz w:val="20"/>
              </w:rPr>
              <w:t>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20.7px; font-family: &amp;quot;Courier New&amp;quot;, &amp;quot;Courier New_EmbeddedFont&amp;quot;, &amp;quot;Courier New_MSFontService&amp;quot;, monospace; font- variant-ligatures: none !important;" lang="PT-BR" xml:lang="PT-BR"&gt;Em face do exposto, constato ser devida a majoração dos honorários advocatícios para 12% do valor da causa,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278"/>
              <w:rPr>
                <w:sz w:val="20"/>
              </w:rPr>
            </w:pPr>
            <w:r>
              <w:rPr>
                <w:sz w:val="20"/>
              </w:rPr>
              <w:t>à luz do §11 do art. 85 do CPC, considerando que a apelação não foi conhecida em sua integralidade, conforme se infere da tese firmada no julgamento do tema repetitivo nº</w:t>
            </w:r>
          </w:p>
          <w:p>
            <w:pPr>
              <w:pStyle w:val="TableParagraph"/>
              <w:tabs>
                <w:tab w:pos="7056" w:val="left" w:leader="none"/>
              </w:tabs>
              <w:spacing w:line="208" w:lineRule="auto" w:before="0"/>
              <w:ind w:right="38"/>
              <w:rPr>
                <w:sz w:val="20"/>
              </w:rPr>
            </w:pPr>
            <w:r>
              <w:rPr>
                <w:sz w:val="20"/>
              </w:rPr>
              <w:t>1.059 pelo Superior Tribunal de Justiça.&amp;#160;&amp;#160;&amp;#160;&amp;#160;&lt;/span&gt;</w:t>
              <w:tab/>
              <w:t>&lt;span class="EOP SCXW126305243 BCX0" style="-webkit-user-drag: none; -webkit-tap- highlight-color: transparent; margin: 0px; padding: 0px; user-select: text; font-size: 12pt; line-height: 20.7px; font-family: &amp;quot;Courier New&amp;quot;, &amp;quot;Courier New_EmbeddedFont&amp;quot;, &amp;quot;Courier New_MSFontService&amp;quot;, monospace;"&gt;&amp;#160;&lt;/span&gt; &lt;/p&gt;&lt;/div&gt;&lt;div class="OutlineElement Ltr</w:t>
            </w:r>
            <w:r>
              <w:rPr>
                <w:spacing w:val="7"/>
                <w:sz w:val="20"/>
              </w:rPr>
              <w:t> </w:t>
            </w:r>
            <w:r>
              <w:rPr>
                <w:spacing w:val="-2"/>
                <w:sz w:val="20"/>
              </w:rPr>
              <w:t>SCXW126305243</w:t>
            </w:r>
          </w:p>
          <w:p>
            <w:pPr>
              <w:pStyle w:val="TableParagraph"/>
              <w:spacing w:line="208" w:lineRule="auto" w:before="0"/>
              <w:ind w:right="17"/>
              <w:rPr>
                <w:sz w:val="20"/>
              </w:rPr>
            </w:pPr>
            <w:r>
              <w:rPr>
                <w:sz w:val="20"/>
              </w:rPr>
              <w:t>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24px 9.46667px 240px; padding: 0px; user-select: text; overflow-wrap: break-word; white-space- collapse: preserve; vertical-align: baseline; font-kerning: none; background-color: transparent; color: windowtext; text-align: justify;" lang="PT-BR" xml:lang="PT-BR"&gt;</w:t>
            </w:r>
          </w:p>
          <w:p>
            <w:pPr>
              <w:pStyle w:val="TableParagraph"/>
              <w:spacing w:line="208" w:lineRule="auto" w:before="0"/>
              <w:ind w:right="42"/>
              <w:rPr>
                <w:sz w:val="20"/>
              </w:rPr>
            </w:pPr>
            <w:r>
              <w:rPr>
                <w:sz w:val="20"/>
              </w:rPr>
              <w:t>&lt;span class="TextRun SCXW126305243 BCX0" style="-webkit-user-drag: none; -webkit- tap-highlight-color: transparent; margin: 0px; padding: 0px; user-select: text; font-size: 12pt; line-height: 20.7px; font-family: &amp;quot;Times New Roman&amp;quot;, &amp;quot;Times New Roman_EmbeddedFont&amp;quot;, &amp;quot;Times New Roman_MSFontService&amp;quot;, serif; font-variant-ligatures: none !important;" lang="PT-BR" xml:lang="PT-</w:t>
            </w:r>
          </w:p>
          <w:p>
            <w:pPr>
              <w:pStyle w:val="TableParagraph"/>
              <w:tabs>
                <w:tab w:pos="6122" w:val="left" w:leader="none"/>
              </w:tabs>
              <w:spacing w:line="208" w:lineRule="auto" w:before="0"/>
              <w:ind w:right="18"/>
              <w:rPr>
                <w:sz w:val="20"/>
              </w:rPr>
            </w:pPr>
            <w:r>
              <w:rPr>
                <w:sz w:val="20"/>
              </w:rPr>
              <w:t>BR"&gt;A&amp;#160;majoração&amp;#160;dos&amp;#160;honorários&amp;#160;de sucumbência prevista no art. 85, § 11, do CPC pressupõe que o recurso tenha sido integralmente desprovido ou </w:t>
            </w:r>
            <w:r>
              <w:rPr>
                <w:spacing w:val="-6"/>
                <w:sz w:val="20"/>
              </w:rPr>
              <w:t>não </w:t>
            </w:r>
            <w:r>
              <w:rPr>
                <w:sz w:val="20"/>
              </w:rPr>
              <w:t>conhecido pelo tribunal, monocraticamente ou pelo órgão colegiado competente. Não se aplica o art. 85, § 11, do CPC em caso de&amp;#160;provimento&amp;#160;total ou parcial do recurso, ainda que mínima a alteração do resultado do julgamento e limitada a consectários da condenação.&amp;#160;&amp;#160;&amp;#160;&amp;#160;&lt;/span&gt;</w:t>
              <w:tab/>
              <w:t>&lt;span class="EOP SCXW126305243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1982" w:val="left" w:leader="none"/>
                <w:tab w:pos="3968" w:val="left" w:leader="none"/>
                <w:tab w:pos="4198" w:val="left" w:leader="none"/>
              </w:tabs>
              <w:spacing w:line="208" w:lineRule="auto" w:before="0"/>
              <w:ind w:right="17"/>
              <w:rPr>
                <w:sz w:val="20"/>
              </w:rPr>
            </w:pPr>
            <w:r>
              <w:rPr>
                <w:sz w:val="20"/>
              </w:rPr>
              <w:t>&lt;span class="TextRun SCXW126305243 BCX0" style="-webkit-user-drag: none; -webkit- tap-highlight-color: transparent; margin: 0px; padding: 0px; user-select: text; font-size: 12pt; line-height: 20.7px; font-family: &amp;quot;Courier New&amp;quot;, &amp;quot;Courier New_EmbeddedFont&amp;quot;, &amp;quot;Courier New_MSFontService&amp;quot;, monospace; font- variant-ligatures: none !important;" lang="PT-BR" xml:lang="PT-BR"&gt;Esta compreensão pode ser encontrada conforme julgado do Superior Tribunal de Justiça:&amp;#160;&amp;#160;&amp;#160;&amp;#160;&lt;/span&gt;</w:t>
              <w:tab/>
              <w:t>&lt;span class="EOP SCXW126305243 BCX0" style="-webkit-user-drag: none; -webkit-tap-highlight-color: transparent; margin: </w:t>
            </w:r>
            <w:r>
              <w:rPr>
                <w:spacing w:val="-5"/>
                <w:sz w:val="20"/>
              </w:rPr>
              <w:t>0px; </w:t>
            </w:r>
            <w:r>
              <w:rPr>
                <w:sz w:val="20"/>
              </w:rPr>
              <w:t>padding: 0px; user-select: text; font-size: 12pt; line-height: 20.7px;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24px 9.46667px 240px; padding: 0px; user- select: text; overflow-wrap: break-word; white-space-collapse: preserve; vertical-align: baseline; font-kerning: none; background-color: transparent; color: windowtext; text-align: justify;" lang="PT-BR" xml:lang="PT-BR"&gt;</w:t>
              <w:tab/>
              <w:t>&lt;span class="TextRun SCXW126305243 BCX0" style="-webkit-user-drag: none; -webkit-tap-highlight-color: transparent; margin: </w:t>
            </w:r>
            <w:r>
              <w:rPr>
                <w:spacing w:val="-5"/>
                <w:sz w:val="20"/>
              </w:rPr>
              <w:t>0px; </w:t>
            </w:r>
            <w:r>
              <w:rPr>
                <w:sz w:val="20"/>
              </w:rPr>
              <w:t>padding: 0px; user-select: text; font-size: 12pt; line-height: 20.7px; font-family: &amp;quot;Times New Roman&amp;quot;, &amp;quot;Times New Roman_EmbeddedFont&amp;quot;, &amp;quot;Times New Roman_MSFontService&amp;quot;, serif; font-variant-ligatures: none !important;" lang="PT-BR" xml:lang="PT-BR"&gt;</w:t>
              <w:tab/>
              <w:t>&lt;span class="NormalTextRun SCXW126305243 BCX0" style="- webkit-user-drag: none; -webkit-tap-highlight-color: transparent; margin: 0px; padding: 0px; user-select: text;"&gt;RECURSO ESPECIAL REPETITIVO - DIREITO PROCESSUAL CIVIL - HONORÁRIOS ADVOCATÍCIOS SUCUMBENCIAIS - ART. 85, § 11, DO CPC - MAJORAÇÃO DA VERBA HONORÁRIA EM GRAU RECURSAL - IMPOSSIBILIDADE EM CASO DE PROVIMENTO PARCIAL OU TOTAL DO RECURSO, AINDA QUE MÍNIMA 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rPr>
                <w:sz w:val="20"/>
              </w:rPr>
            </w:pPr>
            <w:r>
              <w:rPr>
                <w:sz w:val="20"/>
              </w:rPr>
              <w:t>ALTERAÇÃO DO RESULTADO DO JULGAMENTO - FIXAÇÃO DE TESE JURÍDICA </w:t>
            </w:r>
            <w:r>
              <w:rPr>
                <w:spacing w:val="-9"/>
                <w:sz w:val="20"/>
              </w:rPr>
              <w:t>DE </w:t>
            </w:r>
            <w:r>
              <w:rPr>
                <w:sz w:val="20"/>
              </w:rPr>
              <w:t>EFICÁCIA VINCULANTE - SOLUÇÃO DO CASO CONCRETO: PROVIMENTO DO</w:t>
            </w:r>
          </w:p>
          <w:p>
            <w:pPr>
              <w:pStyle w:val="TableParagraph"/>
              <w:tabs>
                <w:tab w:pos="3908" w:val="left" w:leader="none"/>
                <w:tab w:pos="4741" w:val="left" w:leader="none"/>
                <w:tab w:pos="4864" w:val="left" w:leader="none"/>
              </w:tabs>
              <w:spacing w:line="208" w:lineRule="auto" w:before="0"/>
              <w:ind w:right="95"/>
              <w:rPr>
                <w:sz w:val="20"/>
              </w:rPr>
            </w:pPr>
            <w:r>
              <w:rPr>
                <w:sz w:val="20"/>
              </w:rPr>
              <w:t>RECURSO ESPECIAL. 1. É pressuposto da majoração da verba honorária sucumbencial em grau recursal, tal como estabelecida no&lt;/span&gt;</w:t>
              <w:tab/>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transparent;"&gt;art&lt;/span&gt;</w:t>
              <w:tab/>
              <w:t>&lt;span class="NormalTextRun SCXW126305243 BCX0" style="-webkit-user-drag: none; -webkit-tap-highlight-color: transparent; margin: 0px; padding: 0px; user-select: text;"&gt;. 85, § 11, do CPC, a infrutuosidade do recurso interposto, assim considerado aquele que em nada altera o resultado do julgamento tal como provindo da instância de origem. 2. Fincada a premissa, não faz diferença alguma, para fins de aplicação da regra legal de majoração dos honorários em grau recursal, se o recurso foi declarado incognoscível ou integralmente desprovido: ambas as hipóteses&lt;/span&gt;</w:t>
              <w:tab/>
              <w:t>&lt;span class="NormalTextRun ContextualSpellingAndGrammarErrorV2Themed SCXW126305243 BCX0" style="-webkit- user-drag: none; -webkit-tap-highlight-color: transparent; margin: 0px; padding: 0px; user- select: text; background-position: 0px 100%; background-repeat: repeat-x; background- image: url(&amp;quot;data; border-bottom: 1px solid transparent;"&gt;equivalem-se&lt;/span&gt;</w:t>
            </w:r>
          </w:p>
          <w:p>
            <w:pPr>
              <w:pStyle w:val="TableParagraph"/>
              <w:tabs>
                <w:tab w:pos="6555" w:val="left" w:leader="none"/>
              </w:tabs>
              <w:spacing w:line="208" w:lineRule="auto" w:before="0"/>
              <w:ind w:right="17"/>
              <w:rPr>
                <w:sz w:val="20"/>
              </w:rPr>
            </w:pPr>
            <w:r>
              <w:rPr>
                <w:sz w:val="20"/>
              </w:rPr>
              <w:t>&lt;span class="NormalTextRun SCXW126305243 BCX0" style="-webkit-user-drag: none; - webkit-tap-highlight-color: transparent; margin: 0px; padding: 0px; user-select: text;"&gt;juridicamente para efeito de majoração da verba honorária prefixada, já que nenhuma delas possui aptidão para alterar o resultado do julgamento, e o recurso interposto, ao fim e ao cabo, em nada beneficiou o recorrente.&lt;/span&gt;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90" w:lineRule="exact" w:before="0"/>
              <w:rPr>
                <w:sz w:val="20"/>
              </w:rPr>
            </w:pPr>
            <w:r>
              <w:rPr>
                <w:sz w:val="20"/>
              </w:rPr>
              <w:t>repeat-x; background-image: url(&amp;quot;data; border-bottom: 1px solid transparent;"&gt;3</w:t>
            </w:r>
          </w:p>
          <w:p>
            <w:pPr>
              <w:pStyle w:val="TableParagraph"/>
              <w:tabs>
                <w:tab w:pos="1096" w:val="left" w:leader="none"/>
                <w:tab w:pos="5932" w:val="left" w:leader="none"/>
              </w:tabs>
              <w:spacing w:line="208" w:lineRule="auto" w:before="8"/>
              <w:ind w:right="17"/>
              <w:rPr>
                <w:sz w:val="20"/>
              </w:rPr>
            </w:pPr>
            <w:r>
              <w:rPr>
                <w:sz w:val="20"/>
              </w:rPr>
              <w:t>.&lt;/span&gt;</w:t>
              <w:tab/>
              <w:t>&lt;span class="NormalTextRun SCXW126305243 BCX0" style="-webkit-user- drag: none; -webkit-tap-highlight-color: transparent; margin: 0px; padding: 0px; user-select: text;"&gt;Sob o mesmo raciocínio, não se aplica o art. 85, § 11, do CPC em situação concreta na qual o recurso tenha sido proveitoso à parte que dele se valeu. A alteração do resultado do julgamento, ainda que mínima, é decorrência direta da interposição do recurso, configurando evidente contrassenso punir o recorrente pelo êxito obtido com o recurso - ainda que mínimo ou limitado a capítulo secundário da decisão recorrida, a exemplo dos que estabelecem os consectários de uma condenação.&lt;/span&gt;</w:t>
              <w:tab/>
              <w:t>&lt;span class="NormalTextRun ContextualSpellingAndGrammarErrorV2Themed SCXW126305243 BCX0" style="-webkit-user-drag: none; -webkit-tap-highlight-color: transparent; margin: </w:t>
            </w:r>
            <w:r>
              <w:rPr>
                <w:spacing w:val="-5"/>
                <w:sz w:val="20"/>
              </w:rPr>
              <w:t>0px; </w:t>
            </w:r>
            <w:r>
              <w:rPr>
                <w:sz w:val="20"/>
              </w:rPr>
              <w:t>padding: 0px; user-select: text; background-position: 0px 100%; background-repeat:</w:t>
            </w:r>
          </w:p>
          <w:p>
            <w:pPr>
              <w:pStyle w:val="TableParagraph"/>
              <w:spacing w:line="190" w:lineRule="exact" w:before="0"/>
              <w:rPr>
                <w:sz w:val="20"/>
              </w:rPr>
            </w:pPr>
            <w:r>
              <w:rPr>
                <w:sz w:val="20"/>
              </w:rPr>
              <w:t>repeat-x; background-image: url(&amp;quot;data; border-bottom: 1px solid transparent;"&gt;4</w:t>
            </w:r>
          </w:p>
          <w:p>
            <w:pPr>
              <w:pStyle w:val="TableParagraph"/>
              <w:tabs>
                <w:tab w:pos="1096" w:val="left" w:leader="none"/>
              </w:tabs>
              <w:spacing w:line="208" w:lineRule="auto" w:before="10"/>
              <w:ind w:right="75"/>
              <w:rPr>
                <w:sz w:val="20"/>
              </w:rPr>
            </w:pPr>
            <w:r>
              <w:rPr>
                <w:sz w:val="20"/>
              </w:rPr>
              <w:t>.&lt;/span&gt;</w:t>
              <w:tab/>
              <w:t>&lt;span class="NormalTextRun SCXW126305243 BCX0" style="-webkit-user- drag: none; -webkit-tap-highlight-color: transparent; margin: 0px; padding: 0px; </w:t>
            </w:r>
            <w:r>
              <w:rPr>
                <w:spacing w:val="-2"/>
                <w:sz w:val="20"/>
              </w:rPr>
              <w:t>user-select: </w:t>
            </w:r>
            <w:r>
              <w:rPr>
                <w:sz w:val="20"/>
              </w:rPr>
              <w:t>text;"&gt;Jurisprudência da Corte Especial e das Turmas de Direito Público e de Direito Privado do Superior Tribunal de Justiça consolidada no sentido da incidência do art. 85, § 11, do CPC apenas nos casos de não conhecimento ou total desprovimento do recurso.</w:t>
            </w:r>
          </w:p>
          <w:p>
            <w:pPr>
              <w:pStyle w:val="TableParagraph"/>
              <w:tabs>
                <w:tab w:pos="2097" w:val="left" w:leader="none"/>
                <w:tab w:pos="2651" w:val="left" w:leader="none"/>
                <w:tab w:pos="2762" w:val="left" w:leader="none"/>
                <w:tab w:pos="2908" w:val="left" w:leader="none"/>
                <w:tab w:pos="4274" w:val="left" w:leader="none"/>
                <w:tab w:pos="4974" w:val="left" w:leader="none"/>
                <w:tab w:pos="5064" w:val="left" w:leader="none"/>
                <w:tab w:pos="5263" w:val="left" w:leader="none"/>
              </w:tabs>
              <w:spacing w:line="208" w:lineRule="auto" w:before="0"/>
              <w:ind w:right="95"/>
              <w:rPr>
                <w:sz w:val="20"/>
              </w:rPr>
            </w:pPr>
            <w:r>
              <w:rPr>
                <w:sz w:val="20"/>
              </w:rPr>
              <w:t>Precedentes citados:&lt;/span&gt;</w:t>
              <w:tab/>
              <w:tab/>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transparent;"&gt;AgInt&lt;/span&gt;</w:t>
              <w:tab/>
              <w:tab/>
              <w:t>&lt;span class="NormalTextRun SCXW126305243 BCX0" style="-webkit-user-drag: none; -webkit-tap-highlight-color: transparent; margin: 0px; padding: 0px; user-select: text;"&gt;nos&lt;/span&gt;</w:t>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transparent;"&gt;EAREsp&lt;/span&gt;</w:t>
              <w:tab/>
              <w:tab/>
              <w:t>&lt;span class="NormalTextRun SCXW126305243 BCX0" style="-webkit-user-drag: none; -webkit-tap-highlight-color: transparent; margin: 0px; padding: 0px; user-select: text;"&gt;n. 762 .075/MT, relator Ministro Felix Fischer, relator para acórdão Ministro Herman Benjamin, Corte Especial, julgado em 19/12/2018,&lt;/span&gt;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transparent;"&gt;DJe&lt;/span&gt;</w:t>
              <w:tab/>
              <w:t>&lt;span class="NormalTextRun SCXW126305243 BCX0" style="-webkit-user-drag: none; -webkit-tap-highlight-color: transparent; margin: 0px; padding: 0px; user-select: text;"&gt;de 7/3/2019;&lt;/span&gt;</w:t>
              <w:tab/>
              <w:tab/>
              <w:t>&lt;span class="NormalTextRun SpellingErrorV2Themed SCXW126305243 BCX0" style="-webkit-user-drag: none; </w:t>
            </w:r>
            <w:r>
              <w:rPr>
                <w:spacing w:val="-3"/>
                <w:sz w:val="20"/>
              </w:rPr>
              <w:t>-webkit- </w:t>
            </w:r>
            <w:r>
              <w:rPr>
                <w:sz w:val="20"/>
              </w:rPr>
              <w:t>tap-highlight-color: transparent; margin: 0px; padding: 0px; user-select: text; background- position: 0px 100%; background-repeat: repeat-x; background-image: url(&amp;quot;data; border-bottom: 1px solid transparent;"&gt;AgInt&lt;/span&gt;</w:t>
              <w:tab/>
              <w:t>&lt;span class="NormalTextRun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553" w:val="left" w:leader="none"/>
                <w:tab w:pos="6953" w:val="left" w:leader="none"/>
              </w:tabs>
              <w:spacing w:line="208" w:lineRule="auto" w:before="26"/>
              <w:ind w:right="185"/>
              <w:rPr>
                <w:sz w:val="20"/>
              </w:rPr>
            </w:pPr>
            <w:r>
              <w:rPr>
                <w:sz w:val="20"/>
              </w:rPr>
              <w:t>SCXW126305243 BCX0" style="-webkit-user-drag: none; -webkit-tap-highlight-color: transparent; margin: 0px; padding: 0px; user-select: text;"&gt;nos&lt;/span&gt;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transparent;"&gt;EDcl&lt;/span&gt;</w:t>
              <w:tab/>
              <w:t>&lt;span class="NormalTextRun SCXW126305243 BCX0" style="-webkit-user-drag: none; </w:t>
            </w:r>
            <w:r>
              <w:rPr>
                <w:spacing w:val="-3"/>
                <w:sz w:val="20"/>
              </w:rPr>
              <w:t>-webkit- </w:t>
            </w:r>
            <w:r>
              <w:rPr>
                <w:sz w:val="20"/>
              </w:rPr>
              <w:t>tap-highlight-color: transparent; margin: 0px; padding: 0px; user-select: text;"&gt;no&lt;/span&gt;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transparent;"&gt;AREsp&lt;/span&gt;</w:t>
            </w:r>
          </w:p>
          <w:p>
            <w:pPr>
              <w:pStyle w:val="TableParagraph"/>
              <w:spacing w:line="208" w:lineRule="auto" w:before="0"/>
              <w:ind w:right="214"/>
              <w:rPr>
                <w:sz w:val="20"/>
              </w:rPr>
            </w:pPr>
            <w:r>
              <w:rPr>
                <w:sz w:val="20"/>
              </w:rPr>
              <w:t>&lt;span class="NormalTextRun SCXW126305243 BCX0" style="-webkit-user-drag: none; - webkit-tap-highlight-color: transparent; margin: 0px; padding: 0px; user-select: text;"&gt;n.</w:t>
            </w:r>
          </w:p>
          <w:p>
            <w:pPr>
              <w:pStyle w:val="TableParagraph"/>
              <w:tabs>
                <w:tab w:pos="1985" w:val="left" w:leader="none"/>
                <w:tab w:pos="2097" w:val="left" w:leader="none"/>
                <w:tab w:pos="2152" w:val="left" w:leader="none"/>
                <w:tab w:pos="2651" w:val="left" w:leader="none"/>
                <w:tab w:pos="2762" w:val="left" w:leader="none"/>
                <w:tab w:pos="4174" w:val="left" w:leader="none"/>
                <w:tab w:pos="4930" w:val="left" w:leader="none"/>
                <w:tab w:pos="5130" w:val="left" w:leader="none"/>
                <w:tab w:pos="5286" w:val="left" w:leader="none"/>
                <w:tab w:pos="6720" w:val="left" w:leader="none"/>
                <w:tab w:pos="6886" w:val="left" w:leader="none"/>
                <w:tab w:pos="7010" w:val="left" w:leader="none"/>
                <w:tab w:pos="7577" w:val="left" w:leader="none"/>
              </w:tabs>
              <w:spacing w:line="208" w:lineRule="auto" w:before="0"/>
              <w:ind w:right="25"/>
              <w:rPr>
                <w:sz w:val="20"/>
              </w:rPr>
            </w:pPr>
            <w:r>
              <w:rPr>
                <w:sz w:val="20"/>
              </w:rPr>
              <w:t>984.256/MG, relator Ministro Benedito Gonçalves, Primeira Turma, julgado em 28/11/2022,&lt;/span&gt;</w:t>
              <w:tab/>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transparent;"&gt;DJe&lt;/span&gt;</w:t>
              <w:tab/>
              <w:t>&lt;span class="NormalTextRun SCXW126305243 BCX0" style="-webkit-user-drag: none; -webkit-tap-highlight-color: transparent; margin: 0px; padding: 0px; user-select: text;"&gt;de 30/11/2022;&lt;/span&gt;</w:t>
              <w:tab/>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transparent;"&gt;EDcl&lt;/span&gt;</w:t>
              <w:tab/>
              <w:t>&lt;span class="NormalTextRun SCXW126305243 BCX0" style="-webkit-user-drag: none; -webkit-tap-highlight-color: transparent; margin: 0px; padding: 0px; user-select: text;"&gt;no REsp n. 1 .919.706/CE, relator Ministro Francisco Falcão, Segunda Turma, julgado em 12/6/2023,&lt;/span&gt;</w:t>
              <w:tab/>
            </w:r>
            <w:r>
              <w:rPr>
                <w:spacing w:val="-4"/>
                <w:sz w:val="20"/>
              </w:rPr>
              <w:t>&lt;span </w:t>
            </w:r>
            <w:r>
              <w:rPr>
                <w:sz w:val="20"/>
              </w:rPr>
              <w:t>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ab/>
              <w:t>&lt;span class="NormalTextRun SCXW126305243 BCX0" style="-webkit-user-drag: none; -webkit- tap-highlight-color: transparent; margin: 0px; padding: 0px; user-select: text;"&gt;de 15/6/2023;&lt;/span&gt;</w:t>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transparent;"&gt;AgInt&lt;/span&gt;</w:t>
              <w:tab/>
              <w:tab/>
              <w:t>&lt;span class="NormalTextRun SCXW126305243 BCX0" style="-webkit-user-drag: none; -webkit-tap-highlight-color: transparent; margin: 0px; padding: 0px; user-select: text;"&gt;no&lt;/span&gt;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transparent;"&gt;AREsp&lt;/span&gt;</w:t>
              <w:tab/>
              <w:tab/>
              <w:t>&lt;span class="NormalTextRun SCXW126305243 BCX0" style="-webkit-user-drag: none; -webkit-tap-highlight-color: transparent; margin: 0px; padding: 0px; user-select: text;"&gt;n. 2.095 .028/SP, relatora Ministra Nancy Andrighi, Terceira Turma, julgado em 26/9/2022,&lt;/span&gt;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ab/>
              <w:t>&lt;span class="NormalTextRun SCXW126305243 BCX0" style="-webkit-user-drag: none; -webkit- tap-highlight-color: transparent; margin: 0px; padding: 0px; user-select: text;"&gt;de 28/9/2022; e&lt;/span&gt;</w:t>
              <w:tab/>
              <w:tab/>
              <w:tab/>
              <w:t>&lt;span class="NormalTextRun SpellingErrorV2Themed SCXW126305243 BCX0" style="-webkit-user-drag: none; -webkit-tap-highlight-color: transparent; margin: 0px; padding: 0px; user-select: text; background-position: 0px 100%; background-repeat: repeat-x; background-image: url(&amp;quot;data; border-bottom: 1px solid transparent;"&gt;AgInt&lt;/span&gt;</w:t>
              <w:tab/>
              <w:tab/>
              <w:t>&lt;span class="NormalTextRun SCXW126305243 BCX0" style="-webkit-user-drag: none; -webkit-tap-highlight-color: transparent; margin: 0px; padding: 0px; user-select: text;"&gt;no&lt;/span&gt;</w:t>
              <w:tab/>
              <w:t>&lt;span class="NormalTextRun SpellingErrorV2Themed SCXW126305243 BCX0" style="-webkit-user-drag: none; -webkit- tap-highlight-color: transparent; margin: 0px; padding: 0px; user-select: text; background- position: 0px 100%; background-repeat: repeat-x; background-image: url(&amp;quot;data; border-bottom: 1px solid transparent;"&gt;AREsp&lt;/span&gt;</w:t>
              <w:tab/>
              <w:tab/>
              <w:t>&lt;span class="NormalTextRun SCXW126305243 BCX0" style="-webkit-user-drag: none; -webkit-tap-highlight-color: transparent; margin: 0px; padding: 0px; user-select: text;"&gt;n. 2.201.642/DF, relatora Ministra Maria Isabel Gallotti, Quarta Turma, julgado em 19/6/2023,&lt;/span&gt;</w:t>
              <w:tab/>
              <w:tab/>
              <w:t>&lt;span class="NormalTextRun SpellingErrorV2Themed SCXW126305243 BCX0" style="-webkit-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6886" w:val="left" w:leader="none"/>
              </w:tabs>
              <w:spacing w:line="208" w:lineRule="auto" w:before="26"/>
              <w:ind w:right="53"/>
              <w:rPr>
                <w:sz w:val="20"/>
              </w:rPr>
            </w:pPr>
            <w:r>
              <w:rPr>
                <w:sz w:val="20"/>
              </w:rPr>
              <w:t>user-drag: none; -webkit-tap-highlight-color: transparent; margin: 0px; padding: 0px; user- select: text; background-position: 0px 100%; background-repeat: repeat-x; background- image: url(&amp;quot;data; border-bottom: 1px solid transparent;"&gt;DJe&lt;/span&gt;</w:t>
              <w:tab/>
              <w:t>&lt;span class="NormalTextRun SCXW126305243 BCX0" style="-webkit-user-drag: none; -webkit- tap-highlight-color: transparent; margin: 0px; padding: 0px; user-select: text;"&gt;de</w:t>
            </w:r>
            <w:r>
              <w:rPr>
                <w:spacing w:val="-17"/>
                <w:sz w:val="20"/>
              </w:rPr>
              <w:t> </w:t>
            </w:r>
            <w:r>
              <w:rPr>
                <w:sz w:val="20"/>
              </w:rPr>
              <w:t>22/6/2023</w:t>
            </w:r>
          </w:p>
          <w:p>
            <w:pPr>
              <w:pStyle w:val="TableParagraph"/>
              <w:tabs>
                <w:tab w:pos="5954" w:val="left" w:leader="none"/>
                <w:tab w:pos="6920" w:val="left" w:leader="none"/>
                <w:tab w:pos="7387" w:val="left" w:leader="none"/>
              </w:tabs>
              <w:spacing w:line="208" w:lineRule="auto" w:before="0"/>
              <w:ind w:right="74"/>
              <w:rPr>
                <w:sz w:val="20"/>
              </w:rPr>
            </w:pPr>
            <w:r>
              <w:rPr>
                <w:sz w:val="20"/>
              </w:rPr>
              <w:t>.5. Tese jurídica de eficácia vinculante, sintetizadora da&lt;/span&gt;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transparent;"&gt;ratio&lt;/span&gt;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transparent;"&gt;decidendi&lt;/span&gt;</w:t>
              <w:tab/>
              <w:t>&lt;span class="NormalTextRun SCXW126305243 BCX0" style="-webkit-user-drag: none; -webkit- tap-highlight-color: transparent; margin: 0px; padding: 0px; user-select: text;"&gt;do julgado paradigmático: "A majoração dos honorários de sucumbência prevista no art. 85, § 11, do CPC pressupõe que o recurso tenha sido integralmente desprovido ou não conhecido </w:t>
            </w:r>
            <w:r>
              <w:rPr>
                <w:spacing w:val="-5"/>
                <w:sz w:val="20"/>
              </w:rPr>
              <w:t>pelo </w:t>
            </w:r>
            <w:r>
              <w:rPr>
                <w:sz w:val="20"/>
              </w:rPr>
              <w:t>tribunal, monocraticamente ou pelo órgão colegiado competente. Não se aplica o&lt;/span&gt;</w:t>
            </w:r>
          </w:p>
          <w:p>
            <w:pPr>
              <w:pStyle w:val="TableParagraph"/>
              <w:spacing w:line="208" w:lineRule="auto" w:before="0"/>
              <w:ind w:right="75"/>
              <w:rPr>
                <w:sz w:val="20"/>
              </w:rPr>
            </w:pPr>
            <w:r>
              <w:rPr>
                <w:sz w:val="20"/>
              </w:rPr>
              <w:t>&lt;span class="NormalTextRun SpellingErrorV2Themed SCXW126305243 BCX0" style="- webkit-user-drag: none; -webkit-tap-highlight-color: transparent; margin: 0px; padding: 0px; user-select: text; background-position: 0px 100%; background-repeat: repeat-x; background-image: url(&amp;quot;data; border-bottom: 1px solid transparent;"&gt;art&lt;/span&gt;</w:t>
            </w:r>
          </w:p>
          <w:p>
            <w:pPr>
              <w:pStyle w:val="TableParagraph"/>
              <w:tabs>
                <w:tab w:pos="5932" w:val="left" w:leader="none"/>
                <w:tab w:pos="6243" w:val="left" w:leader="none"/>
                <w:tab w:pos="6732" w:val="left" w:leader="none"/>
                <w:tab w:pos="6764" w:val="left" w:leader="none"/>
                <w:tab w:pos="6886" w:val="left" w:leader="none"/>
              </w:tabs>
              <w:spacing w:line="208" w:lineRule="auto" w:before="0"/>
              <w:ind w:right="32"/>
              <w:rPr>
                <w:sz w:val="20"/>
              </w:rPr>
            </w:pPr>
            <w:r>
              <w:rPr>
                <w:sz w:val="20"/>
              </w:rPr>
              <w:t>&lt;span class="NormalTextRun SCXW126305243 BCX0" style="-webkit-user-drag: none; - webkit-tap-highlight-color: transparent; margin: 0px; padding: 0px; user-select: text;"&gt;. 85, </w:t>
            </w:r>
            <w:r>
              <w:rPr>
                <w:spacing w:val="-18"/>
                <w:sz w:val="20"/>
              </w:rPr>
              <w:t>§ </w:t>
            </w:r>
            <w:r>
              <w:rPr>
                <w:sz w:val="20"/>
              </w:rPr>
              <w:t>11, do CPC em caso de provimento total ou parcial do recurso, ainda que mínima a alteração do resultado do julgamento e limitada a consectários da condenação."6. Solução do caso concreto: acórdão recorrido que promove a majoração dos honorários advocatícios em grau recursal e em desfavor do INSS mesmo tendo havido parcial provimento do recurso de apelação interposto pela autarquia, o que se fez de modo a alterar o percentual estabelecido na sentença a título de verba honorária (redução de 20% para 10% sobre o total de parcelas vencidas). Tendo ocorrido alteração do resultado do julgamento por decorrência direta e exclusiva do recurso de apelação interposto, reconhece-se que o tribunal de origem conferiu interpretação ao&lt;/span&gt;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transparent;"&gt;art&lt;/span&gt;</w:t>
              <w:tab/>
              <w:tab/>
              <w:t>&lt;span class="NormalTextRun SCXW126305243 BCX0" style="-webkit-user-drag: none; -webkit- tap-highlight-color: transparent; margin: 0px; padding: 0px; user-select: text;"&gt;. 85, § 11, do CPC em desconformidade com aquela preconizada pelo STJ, impondo-se a reforma do julgamento.7. Recurso especial a que se dá provimento. (STJ - REsp: 1864633 RS 2020/0051778-5, Relator.: Ministro PAULO SÉRGIO DOMINGUES, Data de Julgamento: 09/11/2023, CE - CORTE ESPECIAL, Data de Publicação:&lt;/span&gt;</w:t>
              <w:tab/>
              <w:t>&lt;span class="NormalTextRun SpellingErrorV2Themed SCXW126305243 BCX0" style="-webkit- user-drag: none; -webkit-tap-highlight-color: transparent; margin: 0px; padding: 0px; user- select: text; background-position: 0px 100%; background-repeat: repeat-x; background- image: url(&amp;quot;data; border-bottom: 1px solid transparent;"&gt;DJe&lt;/span&gt;</w:t>
              <w:tab/>
              <w:tab/>
              <w:tab/>
              <w:t>&lt;span class="NormalTextRun SCXW126305243 BCX0" style="-webkit-user-drag: none; -webkit- tap-highlight-color: transparent; margin: 0px; padding: 0px; user-select: text;"&gt;21/12/2023).&amp;#160;&amp;#160;&amp;#160;&amp;#160;&lt;/span&gt;&lt;/span&gt;</w:t>
              <w:tab/>
              <w:t>&lt;span class="EOP SCXW126305243 BCX0" style="-webkit-user-drag: none; -webkit-tap-highlight-color: transparent; margin: 0px; padding: 0px; user-select: text; font-size: 12pt; line-height: 20.7px; font-family: &amp;quot;Times New Roman&amp;quot;, &amp;quot;Times New Roman_EmbeddedFont&amp;quot;, &amp;quot;Times New Roman_MSFontService&amp;quot;, serif;"&gt;&amp;#160;&lt;/span&gt;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5264"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 BR"&gt;DISPOSITIVO&amp;#160;&amp;#160;&amp;#160;&amp;#160;&lt;/span&gt;</w:t>
              <w:tab/>
              <w:t>&lt;span class="EOP</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274" w:val="left" w:leader="none"/>
              </w:tabs>
              <w:spacing w:line="208" w:lineRule="auto" w:before="26"/>
              <w:ind w:right="98"/>
              <w:rPr>
                <w:sz w:val="20"/>
              </w:rPr>
            </w:pPr>
            <w:r>
              <w:rPr>
                <w:sz w:val="20"/>
              </w:rPr>
              <w:t>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justify;"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 lang="PT-BR" xml:lang="PT-BR"&gt;</w:t>
              <w:tab/>
              <w:t>&lt;span class="NormalTextRun SCXW126305243</w:t>
            </w:r>
          </w:p>
          <w:p>
            <w:pPr>
              <w:pStyle w:val="TableParagraph"/>
              <w:tabs>
                <w:tab w:pos="2341" w:val="left" w:leader="none"/>
                <w:tab w:pos="4053" w:val="left" w:leader="none"/>
                <w:tab w:pos="6820" w:val="left" w:leader="none"/>
              </w:tabs>
              <w:spacing w:line="208" w:lineRule="auto" w:before="0"/>
              <w:ind w:right="17"/>
              <w:rPr>
                <w:sz w:val="20"/>
              </w:rPr>
            </w:pPr>
            <w:r>
              <w:rPr>
                <w:sz w:val="20"/>
              </w:rPr>
              <w:t>BCX0" style="-webkit-user-drag: none; -webkit-tap-highlight-color: transparent; margin: </w:t>
            </w:r>
            <w:r>
              <w:rPr>
                <w:spacing w:val="-5"/>
                <w:sz w:val="20"/>
              </w:rPr>
              <w:t>0px; </w:t>
            </w:r>
            <w:r>
              <w:rPr>
                <w:sz w:val="20"/>
              </w:rPr>
              <w:t>padding: 0px; user-select: text;"&gt;Diante do exposto, com fundamento no artigo 1.010, II, do Código de Processo Civil, não conheço da apelação interposta por Osmar Grangeiro da Cruz, por ausência de pressuposto de admissibilidade recursal, consubstanciado na violação ao princípio da dialeticidade; e determino a majoração dos honorários advocatícios para12% do valor da&lt;/span&gt;</w:t>
              <w:tab/>
              <w:t>&lt;span class="NormalTextRun SCXW126305243 BCX0" style="-webkit-user-drag: none; -webkit-tap-highlight-color: transparent; margin: 0px; padding: 0px; user-select: text;"&gt;causa,&lt;/span&gt;</w:t>
              <w:tab/>
              <w:t>&lt;span class="NormalTextRun SCXW126305243 BCX0" style="-webkit-user-drag: none; -webkit- tap-highlight-color: transparent; margin: 0px; padding: 0px; user-select: text;"&gt;nos termos do art. 85, §11, do CPC, a serem pagos ao patrono da parte vencedora. &amp;#160;&lt;/span&gt;&lt;/span&gt;</w:t>
              <w:tab/>
              <w:t>&lt;span class="EOP SCXW126305243 BCX0" style="-webkit-user- 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9.46667px; padding: 0px; user-select: text; overflow-wrap: break-word; white-space- collapse: preserve; vertical-align: baseline; font-kerning: none; background-color: transparent; color: windowtext; text-align: justify;" lang="PT-BR" xml:lang="PT-BR"&gt;</w:t>
            </w:r>
          </w:p>
          <w:p>
            <w:pPr>
              <w:pStyle w:val="TableParagraph"/>
              <w:tabs>
                <w:tab w:pos="3274" w:val="left" w:leader="none"/>
                <w:tab w:pos="3954"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xml:lang="PT-BR"&gt;É como voto.&amp;#160;&amp;#160;&amp;#160;&amp;#160;&lt;/span&gt;</w:t>
              <w:tab/>
              <w:t>&lt;span class="EOP SCXW126305243 BCX0" style="-webkit-user-drag: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 highlight-color: transparent; margin: 16px 0px 9.46667px; padding: 0px; user-select: text; overflow-wrap: break-word; white-space-collapse: preserve; vertical-align: baseline; font- kerning: none; background-color: transparent; color: windowtext; text-align: center;" lang="PT-BR" xml:lang="PT-BR"&gt;</w:t>
              <w:tab/>
              <w:t>&lt;span class="TextRun SCXW126305243 BCX0" style="-webkit-user-drag: none; -webkit-tap-highlight-color: transparent; margin: 0px; padding: 0px; user-select: text; font-size: 12pt; line-height: 27px; font-family: &amp;quot;Courier New&amp;quot;, &amp;quot;Courier New_EmbeddedFont&amp;quot;, &amp;quot;Courier New_MSFontService&amp;quot;, monospace; font-variant-ligatures: none !important;"</w:t>
            </w:r>
          </w:p>
          <w:p>
            <w:pPr>
              <w:pStyle w:val="TableParagraph"/>
              <w:spacing w:line="189" w:lineRule="exact" w:before="0"/>
              <w:rPr>
                <w:sz w:val="20"/>
              </w:rPr>
            </w:pPr>
            <w:r>
              <w:rPr>
                <w:sz w:val="20"/>
              </w:rPr>
              <w:t>lang="PT-BR" xml:lang="PT-BR"&gt;JUIZ CONVOCADO JOSÉ KRENTEL FERREIRA</w:t>
            </w:r>
          </w:p>
          <w:p>
            <w:pPr>
              <w:pStyle w:val="TableParagraph"/>
              <w:spacing w:line="208" w:lineRule="auto" w:before="6"/>
              <w:ind w:right="101"/>
              <w:rPr>
                <w:sz w:val="20"/>
              </w:rPr>
            </w:pPr>
            <w:r>
              <w:rPr>
                <w:sz w:val="20"/>
              </w:rPr>
              <w:t>FILHO&lt;/span&gt; &lt;/p&gt; &lt;p class="Paragraph SCXW126305243 BCX0" style="-webkit-user- drag: none; -webkit-tap-highlight-color: transparent; margin: 16px 0px 9.46667px; padding: 0px; user-select: text; overflow-wrap: break-word; white-space-collapse: preserve; vertical- align: baseline; font-kerning: none; background-color: transparent; color: windowtext; text-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0200214-12.2022.8.06.0125</w:t>
            </w:r>
          </w:p>
        </w:tc>
      </w:tr>
      <w:tr>
        <w:trPr>
          <w:trHeight w:val="128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546" w:val="left" w:leader="none"/>
              </w:tabs>
              <w:spacing w:line="208" w:lineRule="auto" w:before="26"/>
              <w:ind w:right="164"/>
              <w:rPr>
                <w:sz w:val="20"/>
              </w:rPr>
            </w:pPr>
            <w:r>
              <w:rPr>
                <w:sz w:val="20"/>
              </w:rPr>
              <w:t>align: center;" lang="PT-BR" xml:lang="PT-BR"&gt;</w:t>
              <w:tab/>
              <w:t>&lt;span class="TextRun SCXW126305243 BCX0" style="-webkit-user-drag: none; -webkit-tap-highlight-color: transparent; margin: 0px; padding: 0px; user-select: text; font-size: 12pt; line-height: </w:t>
            </w:r>
            <w:r>
              <w:rPr>
                <w:spacing w:val="-4"/>
                <w:sz w:val="20"/>
              </w:rPr>
              <w:t>27px; </w:t>
            </w:r>
            <w:r>
              <w:rPr>
                <w:sz w:val="20"/>
              </w:rPr>
              <w:t>font-family: &amp;quot;Courier New&amp;quot;, &amp;quot;Courier New_EmbeddedFont&amp;quot;, &amp;quot;Courier New_MSFontService&amp;quot;, monospace; font-variant-ligatures: none</w:t>
            </w:r>
          </w:p>
          <w:p>
            <w:pPr>
              <w:pStyle w:val="TableParagraph"/>
              <w:tabs>
                <w:tab w:pos="5703" w:val="left" w:leader="none"/>
              </w:tabs>
              <w:spacing w:line="208" w:lineRule="auto" w:before="0"/>
              <w:ind w:right="164"/>
              <w:rPr>
                <w:sz w:val="20"/>
              </w:rPr>
            </w:pPr>
            <w:r>
              <w:rPr>
                <w:sz w:val="20"/>
              </w:rPr>
              <w:t>!important;" lang="PT-BR" xml:lang="PT-BR"&gt;&amp;#160;&lt;/span&gt;</w:t>
              <w:tab/>
              <w:t>&lt;span class="TextRun SCXW126305243 BCX0" style="-webkit-user-drag: none; -webkit-tap-highlight-color: transparent; margin: 0px; padding: 0px; user-select: text; font-size: 12pt; line-height: </w:t>
            </w:r>
            <w:r>
              <w:rPr>
                <w:spacing w:val="-4"/>
                <w:sz w:val="20"/>
              </w:rPr>
              <w:t>27px; </w:t>
            </w:r>
            <w:r>
              <w:rPr>
                <w:sz w:val="20"/>
              </w:rPr>
              <w:t>font-family: &amp;quot;Courier New&amp;quot;, &amp;quot;Courier New_EmbeddedFont&amp;quot;, &amp;quot;Courier New_MSFontService&amp;quot;, monospace; font-variant-ligatures: none</w:t>
            </w:r>
          </w:p>
          <w:p>
            <w:pPr>
              <w:pStyle w:val="TableParagraph"/>
              <w:tabs>
                <w:tab w:pos="1982" w:val="left" w:leader="none"/>
                <w:tab w:pos="2051" w:val="left" w:leader="none"/>
                <w:tab w:pos="2184" w:val="left" w:leader="none"/>
                <w:tab w:pos="3129" w:val="left" w:leader="none"/>
                <w:tab w:pos="4457" w:val="left" w:leader="none"/>
                <w:tab w:pos="6431" w:val="left" w:leader="none"/>
                <w:tab w:pos="7169" w:val="left" w:leader="none"/>
              </w:tabs>
              <w:spacing w:line="208" w:lineRule="auto" w:before="0"/>
              <w:ind w:right="17"/>
              <w:rPr>
                <w:sz w:val="20"/>
              </w:rPr>
            </w:pPr>
            <w:r>
              <w:rPr>
                <w:sz w:val="20"/>
              </w:rPr>
              <w:t>!important;" lang="PT-BR" xml:lang="PT-BR"&gt;</w:t>
              <w:tab/>
              <w:t>&lt;span class="NormalTextRun SCXW126305243 BCX0" style="-webkit-user-drag: none; -webkit-tap-highlight-color: transparent; margin: 0px; padding: 0px; user-select: text;"&gt;R&lt;/span&gt;</w:t>
              <w:tab/>
              <w:t>&lt;span class="NormalTextRun SCXW126305243 BCX0" style="-webkit-user-drag: none; -webkit- tap-highlight-color: transparent; margin: 0px; padding: 0px; user-select: text;"&gt;elator&lt;/span&gt;</w:t>
              <w:tab/>
              <w:tab/>
              <w:t>&lt;/span&gt; &lt;/p&gt;&lt;/div&gt;&lt;div class="OutlineElement Ltr SCXW126305243 BCX0" style="-webkit-user-drag: none; -webkit-tap-highlight-color: transparent; margin: 0px; 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16px 0px 0px; padding: 0px; user-select: text; overflow-wrap: break- word; white-space-collapse: preserve; vertical-align: baseline; font-kerning: none; background-color: transparent; color: windowtext; text-align: justify;" lang="PT-BR" xml:lang="PT-BR"&gt;</w:t>
              <w:tab/>
              <w:t>&lt;span class="TextRun SCXW126305243 BCX0" style="-webkit-user- drag: none; -webkit-tap-highlight-color: transparent; margin: 0px; padding: 0px; user-select: text; font-variant-ligatures: none !important; font-size: 12pt; line-height: 27px; font-family: &amp;quot;Courier New&amp;quot;, &amp;quot;Courier New_EmbeddedFont&amp;quot;, &amp;quot;Courier New_MSFontService&amp;quot;, monospace;" lang="PT-BR" xml:lang="PT-BR"&gt;</w:t>
              <w:tab/>
              <w:t>&lt;span class="NormalTextRun SCXW126305243 BCX0" style="-webkit-user-drag: none; -webkit- tap-highlight-color: transparent; margin: 0px; padding: 0px; user-select: text;"&gt;&amp;#160;&lt;/span&gt;</w:t>
              <w:tab/>
              <w:tab/>
              <w:tab/>
              <w:t>&lt;/span&gt;</w:t>
              <w:tab/>
              <w:t>&lt;span class="EOP SCXW126305243 BCX0" style="- 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&lt;/p&gt;&lt;/div&gt;&lt;div class="OutlineElement Ltr SCXW126305243 BCX0" style="-webkit-user-drag: none; -webkit-tap-highlight-color: transparent; margin: </w:t>
            </w:r>
            <w:r>
              <w:rPr>
                <w:spacing w:val="-5"/>
                <w:sz w:val="20"/>
              </w:rPr>
              <w:t>0px; </w:t>
            </w:r>
            <w:r>
              <w:rPr>
                <w:sz w:val="20"/>
              </w:rPr>
              <w:t>padding: 0px; user-select: text; clear: both; cursor: text; overflow: visible; position: relative; direction: ltr; font-family: &amp;quot;Segoe UI&amp;quot;, &amp;quot;Segoe UI Web&amp;quot;, Arial, Verdana, sans-serif; font-size: 12px;"&gt; &lt;p class="Paragraph SCXW126305243 BCX0" style="-webkit-user-drag: none; -webkit-tap-highlight-color: transparent; margin: 13.3333px 0px 7.93333px; padding: 0px; user-select: text; overflow-wrap: break-word; white-space- collapse: preserve; vertical-align: baseline; font-kerning: none; background-color: transparent; color: windowtext; text-align: justify;" lang="PT-BR" xml:lang="PT-BR"&gt;</w:t>
            </w:r>
          </w:p>
          <w:p>
            <w:pPr>
              <w:pStyle w:val="TableParagraph"/>
              <w:tabs>
                <w:tab w:pos="2184" w:val="left" w:leader="none"/>
                <w:tab w:pos="3129" w:val="left" w:leader="none"/>
                <w:tab w:pos="4027" w:val="left" w:leader="none"/>
                <w:tab w:pos="6491" w:val="left" w:leader="none"/>
              </w:tabs>
              <w:spacing w:line="208" w:lineRule="auto" w:before="0"/>
              <w:ind w:right="42"/>
              <w:rPr>
                <w:sz w:val="20"/>
              </w:rPr>
            </w:pPr>
            <w:r>
              <w:rPr>
                <w:sz w:val="20"/>
              </w:rPr>
              <w:t>&lt;span class="TextRun SCXW126305243 BCX0" style="-webkit-user-drag: none; -webkit- tap-highlight-color: transparent; margin: 0px; padding: 0px; user-select: text; font-size: </w:t>
            </w:r>
            <w:r>
              <w:rPr>
                <w:spacing w:val="-4"/>
                <w:sz w:val="20"/>
              </w:rPr>
              <w:t>12pt; </w:t>
            </w:r>
            <w:r>
              <w:rPr>
                <w:sz w:val="20"/>
              </w:rPr>
              <w:t>line-height: 27px; font-family: &amp;quot;Courier New&amp;quot;, &amp;quot;Courier New_EmbeddedFont&amp;quot;, &amp;quot;Courier New_MSFontService&amp;quot;, monospace; font- variant-ligatures: none !important;" lang="PT-BR" xml:lang="PT-BR"&gt;</w:t>
              <w:tab/>
              <w:t>&lt;span class="NormalTextRun SCXW126305243 BCX0" style="-webkit-user-drag: none; -webkit- tap-highlight-color: transparent; margin: 0px; padding: 0px; user-select: text;"&gt;&amp;#160;&lt;/span&gt;</w:t>
              <w:tab/>
              <w:t>&lt;/span&gt;</w:t>
              <w:tab/>
              <w:t>&lt;span class="EOP SCXW126305243 BCX0" style="- webkit-user-drag: none; -webkit-tap-highlight-color: transparent; margin: 0px; padding: 0px; user-select: text; font-size: 12pt; line-height: 27px; font-family: &amp;quot;Courier New&amp;quot;, &amp;quot;Courier New_EmbeddedFont&amp;quot;, &amp;quot;Courier New_MSFontService&amp;quot;, monospace;"&gt;&amp;#160;&lt;/span&gt; &lt;/p&gt;&lt;/div&gt;&lt;p style="padding-left: 60px;"&gt; &lt;strong style="font-size: small; text-align: center;"&gt;</w:t>
              <w:tab/>
              <w:t>&lt;span style="font-size: medium;"&gt;&amp;#160;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 &amp;#160;&lt;/span&gt;</w:t>
            </w:r>
          </w:p>
          <w:p>
            <w:pPr>
              <w:pStyle w:val="TableParagraph"/>
              <w:spacing w:line="189" w:lineRule="exact" w:before="0"/>
              <w:rPr>
                <w:sz w:val="20"/>
              </w:rPr>
            </w:pPr>
            <w:r>
              <w:rPr>
                <w:sz w:val="20"/>
              </w:rPr>
              <w:t>&lt;/strong&gt;&lt;/p&gt;&lt;p&gt;&amp;#160;&lt;/p&gt;&lt;p&gt;&amp;#160;&lt;/p&gt;&lt;p&gt;&amp;#160;&lt;/p&gt;&lt;p style="text-align: center;"&gt;</w:t>
            </w:r>
          </w:p>
          <w:p>
            <w:pPr>
              <w:pStyle w:val="TableParagraph"/>
              <w:tabs>
                <w:tab w:pos="3288" w:val="left" w:leader="none"/>
              </w:tabs>
              <w:spacing w:line="215" w:lineRule="exact" w:before="0"/>
              <w:rPr>
                <w:sz w:val="20"/>
              </w:rPr>
            </w:pPr>
            <w:r>
              <w:rPr>
                <w:sz w:val="20"/>
              </w:rPr>
              <w:t>&lt;span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0631112-56.2024.8.06.0000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326</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0631112-56.2024.8.06.0000</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Esbulho / Turbação / Ameaça</w:t>
            </w:r>
          </w:p>
        </w:tc>
      </w:tr>
      <w:tr>
        <w:trPr>
          <w:trHeight w:val="4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spacing w:line="208" w:lineRule="auto" w:before="26"/>
              <w:ind w:right="4515"/>
              <w:rPr>
                <w:sz w:val="20"/>
              </w:rPr>
            </w:pPr>
            <w:r>
              <w:rPr>
                <w:sz w:val="20"/>
              </w:rPr>
              <w:t>Espolio de Jose Carlos Araujo de Sousa ARACI TEREZINHA CALLEGARI</w:t>
            </w:r>
          </w:p>
        </w:tc>
      </w:tr>
      <w:tr>
        <w:trPr>
          <w:trHeight w:val="4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spacing w:line="208" w:lineRule="auto" w:before="26"/>
              <w:ind w:right="2871"/>
              <w:rPr>
                <w:sz w:val="20"/>
              </w:rPr>
            </w:pPr>
            <w:r>
              <w:rPr>
                <w:sz w:val="20"/>
              </w:rPr>
              <w:t>GLAUCO DE CASTELO BRANCO JUNIOR - (CE10586-A) MARCUS FELIX DA SILVA LEITAO - (CE23295-A)</w:t>
            </w:r>
          </w:p>
        </w:tc>
      </w:tr>
      <w:tr>
        <w:trPr>
          <w:trHeight w:val="4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TIAGO ROBERTO TOSIN</w:t>
            </w:r>
          </w:p>
          <w:p>
            <w:pPr>
              <w:pStyle w:val="TableParagraph"/>
              <w:spacing w:line="215" w:lineRule="exact" w:before="0"/>
              <w:rPr>
                <w:sz w:val="20"/>
              </w:rPr>
            </w:pPr>
            <w:r>
              <w:rPr>
                <w:sz w:val="20"/>
              </w:rPr>
              <w:t>EDM EMPREENDIMENTOS E INVESTIMENTOS IMOBILIARIOS LTDA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DIEGO ALBUQUERQUE LOPES - (CE26053-A)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Voto não liberado</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0637066-20.2023.8.06.0000</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327</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AGRAVO DE INSTRUMENTO</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Cessão de Crédito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SL FUNDO DE INVESTIMENTO EM DIREITOS CREDITORIOS MULTISSETORIAL</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MOZART GOMES DE LIMA NETO - (CE16445-A)</w:t>
            </w:r>
          </w:p>
        </w:tc>
      </w:tr>
      <w:tr>
        <w:trPr>
          <w:trHeight w:val="6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spacing w:line="215" w:lineRule="exact"/>
              <w:rPr>
                <w:sz w:val="20"/>
              </w:rPr>
            </w:pPr>
            <w:r>
              <w:rPr>
                <w:sz w:val="20"/>
              </w:rPr>
              <w:t>GILBERTO QUEIROZ CAJATY</w:t>
            </w:r>
          </w:p>
          <w:p>
            <w:pPr>
              <w:pStyle w:val="TableParagraph"/>
              <w:spacing w:line="208" w:lineRule="auto" w:before="9"/>
              <w:ind w:right="2182"/>
              <w:rPr>
                <w:sz w:val="20"/>
              </w:rPr>
            </w:pPr>
            <w:r>
              <w:rPr>
                <w:sz w:val="20"/>
              </w:rPr>
              <w:t>XTREME SERVICOS DE BLINDAGENS EM AUTOMOVEIS LTDA CLAUDIA QUEIROZ CAJATY PORTO</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Não informado</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r>
        <w:trPr>
          <w:trHeight w:val="260" w:hRule="atLeast"/>
        </w:trPr>
        <w:tc>
          <w:tcPr>
            <w:tcW w:w="2725" w:type="dxa"/>
            <w:shd w:val="clear" w:color="auto" w:fill="E5E5E5"/>
          </w:tcPr>
          <w:p>
            <w:pPr>
              <w:pStyle w:val="TableParagraph"/>
              <w:rPr>
                <w:b/>
                <w:sz w:val="20"/>
              </w:rPr>
            </w:pPr>
            <w:r>
              <w:rPr>
                <w:b/>
                <w:sz w:val="20"/>
              </w:rPr>
              <w:t>Voto proferido pelo relator</w:t>
            </w:r>
          </w:p>
        </w:tc>
        <w:tc>
          <w:tcPr>
            <w:tcW w:w="8175" w:type="dxa"/>
          </w:tcPr>
          <w:p>
            <w:pPr>
              <w:pStyle w:val="TableParagraph"/>
              <w:rPr>
                <w:sz w:val="20"/>
              </w:rPr>
            </w:pPr>
            <w:r>
              <w:rPr>
                <w:sz w:val="20"/>
              </w:rPr>
              <w:t>Não informado</w:t>
            </w:r>
          </w:p>
        </w:tc>
      </w:tr>
    </w:tbl>
    <w:p>
      <w:pPr>
        <w:pStyle w:val="BodyText"/>
        <w:spacing w:before="0"/>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328</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Empréstimo consignado</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IZAILTON JORGE DE ALEXANDRIA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JULIO MANUEL URQUETA GOMEZ JUNIOR - (SC52867-A)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BANCO PAN S.A.</w:t>
            </w:r>
          </w:p>
        </w:tc>
      </w:tr>
      <w:tr>
        <w:trPr>
          <w:trHeight w:val="2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rPr>
                <w:sz w:val="20"/>
              </w:rPr>
            </w:pPr>
            <w:r>
              <w:rPr>
                <w:sz w:val="20"/>
              </w:rPr>
              <w:t>DENNER DE BARROS E MASCARENHAS BARBOSA - (CE41218-A)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13"/>
              <w:rPr>
                <w:sz w:val="20"/>
              </w:rPr>
            </w:pPr>
            <w:r>
              <w:rPr>
                <w:sz w:val="20"/>
              </w:rPr>
              <w:t>&lt;p style="text-align: left;"&gt;&amp;#160;&lt;/p&gt;&lt;p style="text-align: center;"&gt; &lt;img src="data:image/jpeg;base64,/9j/4AAQSkZJRgABAQAAAQABAAD/2wCEAAkGBxETEhUT EREWFhUWExcVGBcXFRgYGxoXHRoXFhkVGRYbHigiGholGxgZLTMjJTUrLzouGB8zOD csNygtLisBCgoKDg0OGxAQGzAlICUrMiswNzE1LTUrNjItNS0yLS0vNzUtLS0tNy81Li0tMi0t Ky0tLy0vLTYtLi0tLS4vNf/AABEIAI0AjQMBIgACEQEDEQH/xAAbAAEAAgMBAQAAAAAAA AAAAAAABQYDBAcCAf/EAEEQAAIBAgQDBgIHBQUJAAAAAAECEQADBBIhMQVBUQY TImFxgTKhQlKCkbHB0SMzcpLwFFNik6I0Q0RUY4PC0uH/xAAaAQEAAwEBAQAAAAAA AAAAAAAAAgMFBAEG/8QALREAAgEDAwMBBgcAAAAAAAAAAAECAxExBCFBEhNRIg</w:t>
            </w:r>
          </w:p>
          <w:p>
            <w:pPr>
              <w:pStyle w:val="TableParagraph"/>
              <w:spacing w:line="208" w:lineRule="auto" w:before="0"/>
              <w:ind w:right="1"/>
              <w:rPr>
                <w:sz w:val="20"/>
              </w:rPr>
            </w:pPr>
            <w:r>
              <w:rPr>
                <w:sz w:val="20"/>
              </w:rPr>
              <w:t>UUMnGx8EJhgZGhwdH/2gAMAwEAAhEDEQA/AO40pSgFKUoBSlR3G+J9wisEzlnyAZson KzSTB5KeVeNpK7PUruyJGlVEdq74fxYYMsDRG13M+JoBjTTTetW5xzFZATfRX8JKwgXc ZhrJ2nnVXvEPJZ2pF4pVLbtC7tJxKWRlUZUey3i1zGXQmNvurw/aK+VVFvW9HbNdz2yzL mOUBIyg5YnTcU70TztSLvSqevaHEWzt36lTtkWGkQSRuIzbA7CvdjtXeCg3bCxzhypH2SD J9xRV6fkdqRbaUpVxWKUpQClKUApSlAKUpQCtPi3DlxFprTkgGCGUwVI1DA9a3Kg+0vG Ut2XVLq96wyKAwkE6FoGugk+oFeStbc9WTndzADOQWNwZmAOQeID6Uu5EH8xWLCW 0LEAmIGkosGA3iOQDYjadjW6mDZpVbJIywrf2e6+8iAx2iB99ZsNwa+GLLYua5j8K7tl+uwg DKOXM1mqEnfZnY5xXJquUyqQYnKf30aEzB0gEidN/ur7fFuD5KW0uAnTcQy7+RrFxnszj7 2WMO2hJOZ7I1KoNg+0qfvqQs8GxgTI9i5GTKYNhtcqgnV51Oc+4qboytg87kfJFWsOhzSC xUtJC2yBlMEaqpkabf8AwWLsfwVbl0tcuN+yZXFuGAbmrGXIIDA6AchrrFR1vg15WJaw2pdj No3JZ8kmFYx8Pzra4Limw95LjoUWSjg2rlsZCYnxaQCFb0FIQamrrY8lJOOzOlUrDh8VbcT bdXHVWDfhWatA5BSlKAUpSgFKUoBSlR3FMWf3VtociWb+7Tm/qYIE85OwNAaHHOIWyr 5zFi1+8P12G1odQDEjmYX6wqg3e3t8SLNq1bWdBlJMcuYHyrT7XccF9has6WLWi/4m27w 9ecT1J51X16GoSl4MvU6uV7U3jJPXe2OPb/fx5BEHzyzWs/aHGHfE3fZyPwqNit/h/CLt3UD Kv1m5jqF50ipzdkcfeqy36nY8njOK/wCav/5z/rQcZxQ/4q//AJr/AK1Kp2aWPFccnyyj8jWDEd nSPguT5MPzH6Vb7vUtdfdyPdkn8f14Ne32kxq7Ym57tm/Ga3LHbfHLvdVv4kX/AMQKg71lk bK6wfx8wedYyKpfVF2Z77xVj+Jl97P9qBibot31S3eOtq6gjx/VMk79Jg6jnXQOHYzvFOYZX U5XXoeo6qRqD085FcA21FdM7Jcfa+oO+JtLDLt31r/2HyPQMalGV9maWk1Xc9Msl+pWLD X1uKHQypEj9CORB5VlqR3ilKUApSlAKj8dgCSblohbkaz8LgfRcfg248xoZClAcf7ZcFRMuIsr lt3GKun93dEyschIPlI00IqLxnAL1uwl9suRyYIdD0iIOs67dDNX/tnbHcY0cs1l/Rz3YPyA++ub 38fdNsIzkosZV5AiQIHLc+tQktzH1dOMam2Xj5m52d4X3zFnEomkfWb9BI++rat1cxUT8O8a TE5Z+tGsdK9cJwgtWkX6qyfXd/zNaWHskP3vd3Moulycmnd5X8URA0ke086sU+naJZDTK a3wbuIQqNFzEDaY8t/Sa12OhJy6CSM0ED+Fwpb7INTVy15c5jz5L7CJrVtvctuXtkZvNQVE cp367Eb1ZTrX+ErlQgnapggOIYVbiQwMH4WgwDyIP9dKqly2VJVt1MH9fQ1f+1fFldrbmdbS kIToHMMfX4l/kqk8TYlg5iT4TAjzH517XlGcFfP3koq0OiTjG9lvv/X5W/k0wpJgCSdAPPpXVO zPAe4HdJpdKhr92ASoO1tJ56fKTuBVA7MIDi7AO3eqfcGR8wK7BwMeG43Nr9yfZsi/6FWu aC5Oz2dTXS584NzC4ZLa5UEDU7kkk6kknUknmazUpUzTFKUoBSlKAUJpUdxtiUFsb3W7 v0Uglz5eANB6kUBTe2GJZsOEQEvi7/eBRubahQmnWFtadSaqN/hN2zftW7yRNxDrzEgm OvStztfxTvMWxWMtoi2g5eE66fxT7AVG4niFy9dR7zZmkLJAk7gT9/yFRzIxq1SM6/ydkXxy SCBp4ZP5D+vzrVs21i4ndWpGBL5dNBDDvAe7nP5T0qBVRz/GtgWQpbPbKwo33KkZojkII 0PWlPSzhUnKUrp2svFjshq4dCUY4yWXE4wW0Zrh0VZnYkdPWem5Ik1Qsdxu5cbNmKjkq kgAdNNz51bcVwO2pti4AzFGdh9EHQBQOY1Op5gbbVBcb7m23d27FsuQTqAIA1++K4tOp Uoqm5dT84O6vpnV9fwrwRmN4n3otjbJbyk+eZjm9Yyj7IrUxLiNCTqN46+lbtrug+W5atlSYD L1iTpPnWbi+BtJbYqgBlQP5h+VXupaST5KZaGTi59S2yR+ExBt3EuDdHVx9kgx8q7Pwi8O 8cKZW6q30PUEKjAekIf+5XEjXQuxvE82GUk+LCPr52GmZ8gMxj/prVsHwZvs6pu4fqdCpSl TNcUpSgFKUoBVe4/je7N67/cYYlf43J0/0J/MasNU7tijGxjQN/2T/YGST6eB/uoRm7RbOf8A AOCvimZUZZVGY5jBMAxvyLQCeU1HX1iQCCVO41Eg8jX3D4h01Ryp01UkbGRt5gfdXzX eqU+T5vqSs1m5aOC5Xu2Z+FrlvfmCwgH1q3druEGTiE1GWLi+Q0zjqY0I6AR5804bdb92H ykHMpidN4HmDU44v3XFy9fLkHmoj2EwvtFd28mpI0aU4RpuL53RYkum7Yt3R4mtAo8akq QpzjqYCn3bnVS43h/2jvLd3cQeJZIkajQczy9as3B8R3d1fqv4G9foH+bT7dSXE+E2yGZSU MEmPhJ31U6fdBrPrR7dQ2tNU7tLc5jg8PmXKkyzCYkAAc55g6/Kt/j7wETzzeyiPxPyqS4PY cYfvIBQFpObUAakmY09D7VW8Xie8uM3LZf4R+u/vUN5VL8Ir1lWNHSu2ZKxiNWLsBisuLF s/DdRkI5bZh+BH2qrhqV7JIzYywF37yfYAk/IGro5PnNK2qsbeTsXBHJsoCZK5rZPUoxtz75Z 963qj+C/A55G9dj2Yg/6gakKtPohSlKAUpSgFRnFsOZ71VzQpS4kTmtnoOZUyQOYLDcipO lAcX7TdnTYPe2vHh31VxrlnZWP4H8683uL2ThFsCyouBsxuZRrOhA6HKE18j611fF8NPia1l 8U57bfA87nnlY9RIPMHcUfi/Y63cYnDfsru5sXNPdG109JHmKi4+DNr6Nq8qfPH+FHAmImZ 0jefKpfAcZA0uiP8QEg+o5V94XdbBYgHE2CSoJyMBqfolW2gHmJqO4hfV7jsihVLHKoAELy EDnFIVHAz03TVn+xaLWPskpF1P3lvXONPGpk66Rv7VYuI9p8HbBm8r6fCnjJ8vDoPeK5rh OH3Ls5LZbKCxIE6ASfesDLBgiCOW1RqtVGmzto+0HRj6Y58ktxnjTXh3du2LVgGcigDMeR eNPb8YqHcTU3w7jFq3hrlprKs7/C5UHLGqz9bUn089q88F7M4jEeILkt7m4+ix1A3b208xUU uEc9SVXUTUr3f0IW2GYhQCWJgACST5DrXRuynAGwwkgHFXVgDcWk5s39akADma3uz vAbdr/ZlzMRBxNwaeYtL9L206sYirVg8GtsGJJOrM2rMepP5DQcoq1RsaGn0ipvqeT3hcOLa Ki7KANdz5k8yay0pXp2ilKUApSlAKUpQCsOKwqXBDqCNx1B6gjVT5jWs1KAguIcILLkdRiL X1XgXF/hfQMfXKf8Rqj8W7FzmbBsWj4rL+G4vlrHzj1NdVrWxmBS5BMhh8Lroy+h6eRkHm DRpPJVVowqK0kcV4Xxe/hGcIMrHwuGBmAZKkcj579Irxwjg9/FNFpJ18TnRV9W6+Q1rovH eB2brAYvwsozLeTw50XVlbowE6e45gSvDuFhkVcndWAPDZHhLDrcO+v1f5pmBHoOKOg 9VpO8Vgr3BOyti2dE/tN0HVm0tIek6gkfaPkKtdvheaDfbvDyWItj0T6Xq0+UVIW0CgBQAAIA AgAdAK9VI74QjBWihSlKExSlKAUpSgFKUoBSlKAUpSgFKUoDDicMlwAOoYBgwnkymQa zUpQClKUApSlAKUpQClKUB//Z" alt="Bem vindo ao PJe · Processo Judicial Eletrônico"</w:t>
            </w:r>
          </w:p>
          <w:p>
            <w:pPr>
              <w:pStyle w:val="TableParagraph"/>
              <w:tabs>
                <w:tab w:pos="2307" w:val="left" w:leader="none"/>
                <w:tab w:pos="6332" w:val="left" w:leader="none"/>
                <w:tab w:pos="7455" w:val="left" w:leader="none"/>
              </w:tabs>
              <w:spacing w:line="208" w:lineRule="auto" w:before="0"/>
              <w:ind w:right="146"/>
              <w:rPr>
                <w:sz w:val="20"/>
              </w:rPr>
            </w:pPr>
            <w:r>
              <w:rPr>
                <w:sz w:val="20"/>
              </w:rPr>
              <w:t>/&gt;&lt;/p&gt;&lt;p style="text-align: center;"&gt;  &lt;span style="font-size: small;"&gt;</w:t>
              <w:tab/>
              <w:t>&lt;strong&gt;</w:t>
              <w:tab/>
            </w:r>
            <w:r>
              <w:rPr>
                <w:spacing w:val="-4"/>
                <w:sz w:val="20"/>
              </w:rPr>
              <w:t>&lt;span </w:t>
            </w:r>
            <w:r>
              <w:rPr>
                <w:sz w:val="20"/>
              </w:rPr>
              <w:t>style="font-family: &amp;quot;times new roman&amp;quot;, times;"&gt;ESTADO DO CEARÁ&amp;#160;&lt;/span&gt;</w:t>
              <w:tab/>
              <w:t>&lt;/strong&gt; &lt;/span&gt;&lt;/p&gt;&lt;p style="text-align: center;"&gt; &lt;span</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083" w:val="left" w:leader="none"/>
                <w:tab w:pos="3573" w:val="left" w:leader="none"/>
                <w:tab w:pos="4488" w:val="left" w:leader="none"/>
                <w:tab w:pos="4519" w:val="left" w:leader="none"/>
                <w:tab w:pos="5406" w:val="left" w:leader="none"/>
                <w:tab w:pos="5611" w:val="left" w:leader="none"/>
              </w:tabs>
              <w:spacing w:line="208" w:lineRule="auto" w:before="26"/>
              <w:ind w:right="95"/>
              <w:rPr>
                <w:sz w:val="20"/>
              </w:rPr>
            </w:pPr>
            <w:r>
              <w:rPr>
                <w:sz w:val="20"/>
              </w:rPr>
              <w:t>style="font-family: &amp;quot;times new roman&amp;quot;, times;"&gt;</w:t>
              <w:tab/>
              <w:t>&lt;span style="font-size: small;"&gt;</w:t>
              <w:tab/>
              <w:t>&lt;strong&gt;&amp;#160;&lt;/strong&gt;</w:t>
              <w:tab/>
              <w:t>&lt;/span&gt;</w:t>
              <w:tab/>
              <w:tab/>
              <w:t>&lt;strong style="font-size: small;"&gt;&amp;#160; &amp;#160;PODER JUDICIÁRIO&amp;#160; &amp;#160;&amp;#160;&lt;/strong&gt; &lt;/span&gt;&lt;/p&gt;&lt;p style="text- align: center;"&gt;  &lt;span style="font-size: small;"&gt;</w:t>
              <w:tab/>
              <w:t>&lt;strong&gt;</w:t>
              <w:tab/>
              <w:tab/>
              <w:t>&lt;span style="font-family: &amp;quot;times new roman&amp;quot;, times;"&gt;&amp;#160; &amp;#160; &amp;#160; &amp;#160; &amp;#160; TRIBUNAL DE JUSTIÇA ESTADO DO CEARA&amp;#160; &amp;#160; &amp;#160; &amp;#160; &amp;#160;&lt;/span&gt;</w:t>
            </w:r>
          </w:p>
          <w:p>
            <w:pPr>
              <w:pStyle w:val="TableParagraph"/>
              <w:spacing w:line="190" w:lineRule="exact" w:before="0"/>
              <w:rPr>
                <w:sz w:val="20"/>
              </w:rPr>
            </w:pPr>
            <w:r>
              <w:rPr>
                <w:sz w:val="20"/>
              </w:rPr>
              <w:t>&lt;/strong&gt; &lt;/span&gt;&lt;/p&gt;&lt;p style="text-align: center;"&gt; &lt;span style="font-size: small;"&gt;</w:t>
            </w:r>
          </w:p>
          <w:p>
            <w:pPr>
              <w:pStyle w:val="TableParagraph"/>
              <w:tabs>
                <w:tab w:pos="1162" w:val="left" w:leader="none"/>
                <w:tab w:pos="3274" w:val="left" w:leader="none"/>
                <w:tab w:pos="3719" w:val="left" w:leader="none"/>
                <w:tab w:pos="3954" w:val="left" w:leader="none"/>
                <w:tab w:pos="5077" w:val="left" w:leader="none"/>
              </w:tabs>
              <w:spacing w:line="208" w:lineRule="auto" w:before="10"/>
              <w:ind w:right="143"/>
              <w:rPr>
                <w:sz w:val="20"/>
              </w:rPr>
            </w:pPr>
            <w:r>
              <w:rPr>
                <w:sz w:val="20"/>
              </w:rPr>
              <w:t>&lt;strong&gt;</w:t>
              <w:tab/>
              <w:t>&lt;span style="font-family: &amp;quot;times new roman&amp;quot;, times;"&gt;5ª </w:t>
            </w:r>
            <w:r>
              <w:rPr>
                <w:spacing w:val="-3"/>
                <w:sz w:val="20"/>
              </w:rPr>
              <w:t>CÂMARA </w:t>
            </w:r>
            <w:r>
              <w:rPr>
                <w:sz w:val="20"/>
              </w:rPr>
              <w:t>DE DIREITO PRIVADO&amp;#160;&lt;/span&gt;</w:t>
              <w:tab/>
              <w:t>&lt;/strong&gt; &lt;/span&gt;&lt;/p&gt;&lt;p style="text-align: center;"&gt;  &lt;span style="font-size: small;"&gt;</w:t>
              <w:tab/>
              <w:t>&lt;strong&gt;</w:t>
              <w:tab/>
              <w:t>&lt;span style="font-family: &amp;quot;times new roman&amp;quot;, times;"&gt;GABINETE JUIZ CONVOCADO JOSÉ KRENTEL FERREIRA FILHO&amp;#160;&lt;/span&gt;</w:t>
              <w:tab/>
              <w:t>&lt;/strong&gt; &lt;/span&gt;&lt;/p&gt;&lt;p style="text-align: center;"&gt;</w:t>
            </w:r>
          </w:p>
          <w:p>
            <w:pPr>
              <w:pStyle w:val="TableParagraph"/>
              <w:tabs>
                <w:tab w:pos="2350" w:val="left" w:leader="none"/>
                <w:tab w:pos="3095" w:val="left" w:leader="none"/>
                <w:tab w:pos="3288" w:val="left" w:leader="none"/>
              </w:tabs>
              <w:spacing w:line="208" w:lineRule="auto" w:before="0"/>
              <w:ind w:right="508"/>
              <w:rPr>
                <w:sz w:val="20"/>
              </w:rPr>
            </w:pPr>
            <w:r>
              <w:rPr>
                <w:sz w:val="20"/>
              </w:rPr>
              <w:t>&lt;span style="font-size: medium;"&gt;</w:t>
              <w:tab/>
              <w:tab/>
              <w:t>&lt;span style="font-family: &amp;quot;times new roman&amp;quot;, times;"&gt;</w:t>
              <w:tab/>
              <w:t>&lt;br /&gt;</w:t>
              <w:tab/>
              <w:t>&lt;/span&gt; &lt;/span&gt;&lt;/p&gt;&lt;p style="text-align:</w:t>
            </w:r>
            <w:r>
              <w:rPr>
                <w:spacing w:val="-16"/>
                <w:sz w:val="20"/>
              </w:rPr>
              <w:t> </w:t>
            </w:r>
            <w:r>
              <w:rPr>
                <w:sz w:val="20"/>
              </w:rPr>
              <w:t>center;"&gt;</w:t>
            </w:r>
          </w:p>
          <w:p>
            <w:pPr>
              <w:pStyle w:val="TableParagraph"/>
              <w:tabs>
                <w:tab w:pos="983" w:val="left" w:leader="none"/>
                <w:tab w:pos="2350" w:val="left" w:leader="none"/>
                <w:tab w:pos="2682" w:val="left" w:leader="none"/>
                <w:tab w:pos="3095" w:val="left" w:leader="none"/>
                <w:tab w:pos="3288" w:val="left" w:leader="none"/>
              </w:tabs>
              <w:spacing w:line="208" w:lineRule="auto" w:before="0"/>
              <w:ind w:right="123"/>
              <w:rPr>
                <w:sz w:val="20"/>
              </w:rPr>
            </w:pPr>
            <w:r>
              <w:rPr>
                <w:sz w:val="20"/>
              </w:rPr>
              <w:t>&lt;span style="font-size: medium;"&gt;</w:t>
              <w:tab/>
              <w:tab/>
              <w:t>&lt;span style="font-family: &amp;quot;times new roman&amp;quot;, times;"&gt;</w:t>
              <w:tab/>
              <w:t>&lt;br /&gt;</w:t>
              <w:tab/>
              <w:t>&lt;/span&gt; &lt;/span&gt;&lt;/p&gt;&lt;p style="text-align: left;"&gt; </w:t>
            </w:r>
            <w:r>
              <w:rPr>
                <w:spacing w:val="-4"/>
                <w:sz w:val="20"/>
              </w:rPr>
              <w:t>&lt;span </w:t>
            </w:r>
            <w:r>
              <w:rPr>
                <w:sz w:val="20"/>
              </w:rPr>
              <w:t>style="font-size: medium;"&gt;</w:t>
              <w:tab/>
              <w:t>&lt;span style="font-family: &amp;quot;times new roman&amp;quot;, times;"&gt;</w:t>
              <w:tab/>
              <w:t>&lt;strong&gt;PROCESSO:&lt;/strong&gt;&amp;#160;3026082-98.2025.8.06.0001 -</w:t>
            </w:r>
          </w:p>
          <w:p>
            <w:pPr>
              <w:pStyle w:val="TableParagraph"/>
              <w:tabs>
                <w:tab w:pos="2682" w:val="left" w:leader="none"/>
              </w:tabs>
              <w:spacing w:line="208" w:lineRule="auto" w:before="0"/>
              <w:ind w:right="310"/>
              <w:rPr>
                <w:sz w:val="20"/>
              </w:rPr>
            </w:pPr>
            <w:r>
              <w:rPr>
                <w:sz w:val="20"/>
              </w:rPr>
              <w:t>&amp;#160;APELAÇÃO CÍVEL (198)&lt;/span&gt; &lt;/span&gt;&lt;/p&gt;&lt;p style="text-align: left;"&gt; </w:t>
            </w:r>
            <w:r>
              <w:rPr>
                <w:spacing w:val="-4"/>
                <w:sz w:val="20"/>
              </w:rPr>
              <w:t>&lt;span </w:t>
            </w:r>
            <w:r>
              <w:rPr>
                <w:sz w:val="20"/>
              </w:rPr>
              <w:t>style="font-size: medium;"&gt;</w:t>
              <w:tab/>
              <w:t>&lt;span style="font-family: &amp;quot;times new roman&amp;quot;, times;"&gt;APELANTE: IZAILTON JORGE DE ALEXANDRIA&lt;/span&gt; &lt;/span&gt;&lt;/p&gt;&lt;p</w:t>
            </w:r>
          </w:p>
          <w:p>
            <w:pPr>
              <w:pStyle w:val="TableParagraph"/>
              <w:tabs>
                <w:tab w:pos="5431" w:val="left" w:leader="none"/>
              </w:tabs>
              <w:spacing w:line="208" w:lineRule="auto" w:before="0"/>
              <w:ind w:right="537"/>
              <w:rPr>
                <w:sz w:val="20"/>
              </w:rPr>
            </w:pPr>
            <w:r>
              <w:rPr>
                <w:sz w:val="20"/>
              </w:rPr>
              <w:t>style="text-align: left;"&gt;  &lt;span style="font-size: medium;"&gt;</w:t>
              <w:tab/>
              <w:t>&lt;span style="font-family: &amp;quot;times new roman&amp;quot;, times;"&gt;APELADO: BANCO PAN S.A.&lt;/span&gt;</w:t>
            </w:r>
          </w:p>
          <w:p>
            <w:pPr>
              <w:pStyle w:val="TableParagraph"/>
              <w:tabs>
                <w:tab w:pos="994" w:val="left" w:leader="none"/>
                <w:tab w:pos="2472" w:val="left" w:leader="none"/>
                <w:tab w:pos="3351" w:val="left" w:leader="none"/>
                <w:tab w:pos="5333" w:val="left" w:leader="none"/>
                <w:tab w:pos="5483" w:val="left" w:leader="none"/>
              </w:tabs>
              <w:spacing w:line="208" w:lineRule="auto" w:before="0"/>
              <w:ind w:right="135"/>
              <w:rPr>
                <w:sz w:val="20"/>
              </w:rPr>
            </w:pPr>
            <w:r>
              <w:rPr>
                <w:sz w:val="20"/>
              </w:rPr>
              <w:t>&lt;/span&gt;&lt;/p&gt;&lt;p style="text-align: left;"&gt;&amp;#160;&lt;/p&gt;&lt;p style="line-height: 200%;" align="justify"&gt;  &lt;strong&gt;</w:t>
              <w:tab/>
              <w:t>&lt;span style="font-family: &amp;quot;Times New Roman&amp;quot;, serif;"&gt;</w:t>
              <w:tab/>
              <w:t>&lt;span style="font-size: 14pt;"&gt;Ementa&lt;/span&gt;</w:t>
              <w:tab/>
              <w:t>&lt;/span&gt; &lt;/strong&gt; &lt;span style="font-family: &amp;quot;Times New Roman&amp;quot;, serif;"&gt;</w:t>
              <w:tab/>
              <w:tab/>
              <w:t>&lt;span style="font-size: 14pt;"&gt;: DIREITO PROCESSUAL CIVIL. APELAÇÃO CÍVEL. AÇÃO DECLARATÓRIA </w:t>
            </w:r>
            <w:r>
              <w:rPr>
                <w:spacing w:val="-10"/>
                <w:sz w:val="20"/>
              </w:rPr>
              <w:t>DE </w:t>
            </w:r>
            <w:r>
              <w:rPr>
                <w:sz w:val="20"/>
              </w:rPr>
              <w:t>NULIDADE DE CONTRATO BANCÁRIO C/C REPETIÇÃO DE INDÉBITO E DANOS MORAIS. EMPRÉSTIMO CONSIGNADO NÃO RECONHECIDO. INDEFERIMENTO DA INICIAL POR AUSÊNCIA DE EXTRATOS BANCÁRIOS. FORMALISMO EXCESSIVO. PETIÇÃO INICIAL SUFICIENTEMENTE INSTRUÍDA. VIOLAÇÃO AOS PRINCÍPIOS DO ACESSO À JUSTIÇA, DA COOPERAÇÃO E DA PRIMAZIA DO JULGAMENTO DE MÉRITO. SENTENÇA ANULADA.</w:t>
              <w:tab/>
              <w:t>&lt;strong&gt;RECURSO CONHECIDO E</w:t>
            </w:r>
          </w:p>
          <w:p>
            <w:pPr>
              <w:pStyle w:val="TableParagraph"/>
              <w:spacing w:line="190" w:lineRule="exact" w:before="0"/>
              <w:rPr>
                <w:sz w:val="20"/>
              </w:rPr>
            </w:pPr>
            <w:r>
              <w:rPr>
                <w:sz w:val="20"/>
              </w:rPr>
              <w:t>PROVIDO&lt;/strong&gt;.&lt;/span&gt; &lt;/span&gt;&lt;/p&gt;&lt;h3 class="western" style="line-height: 200%;"&gt;</w:t>
            </w:r>
          </w:p>
          <w:p>
            <w:pPr>
              <w:pStyle w:val="TableParagraph"/>
              <w:tabs>
                <w:tab w:pos="1051" w:val="left" w:leader="none"/>
                <w:tab w:pos="4928" w:val="left" w:leader="none"/>
                <w:tab w:pos="7212" w:val="left" w:leader="none"/>
              </w:tabs>
              <w:spacing w:line="208" w:lineRule="auto" w:before="8"/>
              <w:ind w:right="210"/>
              <w:rPr>
                <w:sz w:val="20"/>
              </w:rPr>
            </w:pPr>
            <w:r>
              <w:rPr>
                <w:sz w:val="20"/>
              </w:rPr>
              <w:t>&lt;strong&gt;</w:t>
              <w:tab/>
              <w:t>&lt;span style="font-family: &amp;quot;Times New Roman&amp;quot;, serif;"&gt;</w:t>
              <w:tab/>
              <w:t>&lt;span style="font-size: 14pt;"&gt;I. CASO EM EXAME&lt;/span&gt;</w:t>
              <w:tab/>
              <w:t>&lt;/span&gt; &lt;/strong&gt;&lt;/h3&gt;&lt;ol&gt;</w:t>
            </w:r>
            <w:r>
              <w:rPr>
                <w:spacing w:val="3"/>
                <w:sz w:val="20"/>
              </w:rPr>
              <w:t> </w:t>
            </w:r>
            <w:r>
              <w:rPr>
                <w:spacing w:val="-5"/>
                <w:sz w:val="20"/>
              </w:rPr>
              <w:t>&lt;li&gt;</w:t>
            </w:r>
          </w:p>
          <w:p>
            <w:pPr>
              <w:pStyle w:val="TableParagraph"/>
              <w:tabs>
                <w:tab w:pos="2439" w:val="left" w:leader="none"/>
                <w:tab w:pos="4292" w:val="left" w:leader="none"/>
              </w:tabs>
              <w:spacing w:line="208" w:lineRule="auto" w:before="0"/>
              <w:ind w:right="42"/>
              <w:rPr>
                <w:sz w:val="20"/>
              </w:rPr>
            </w:pPr>
            <w:r>
              <w:rPr>
                <w:sz w:val="20"/>
              </w:rPr>
              <w:t>&lt;p style="line-height: 200%;" align="justify"&gt;</w:t>
              <w:tab/>
              <w:t>&lt;span style="font-family: &amp;quot;Times </w:t>
            </w:r>
            <w:r>
              <w:rPr>
                <w:spacing w:val="-6"/>
                <w:sz w:val="20"/>
              </w:rPr>
              <w:t>New </w:t>
            </w:r>
            <w:r>
              <w:rPr>
                <w:sz w:val="20"/>
              </w:rPr>
              <w:t>Roman&amp;quot;, serif;"&gt;</w:t>
              <w:tab/>
              <w:t>&lt;span style="font-size: 14pt;"&gt;Apelação cível interposta por</w:t>
            </w:r>
          </w:p>
          <w:p>
            <w:pPr>
              <w:pStyle w:val="TableParagraph"/>
              <w:spacing w:line="208" w:lineRule="auto" w:before="0"/>
              <w:ind w:right="59"/>
              <w:rPr>
                <w:sz w:val="20"/>
              </w:rPr>
            </w:pPr>
            <w:r>
              <w:rPr>
                <w:sz w:val="20"/>
              </w:rPr>
              <w:t>&lt;strong&gt;IZAILTON JORGE DE ALEXANDRIA&lt;/strong&gt; , contra sentença que indeferiu </w:t>
            </w:r>
            <w:r>
              <w:rPr>
                <w:spacing w:val="-17"/>
                <w:sz w:val="20"/>
              </w:rPr>
              <w:t>a </w:t>
            </w:r>
            <w:r>
              <w:rPr>
                <w:sz w:val="20"/>
              </w:rPr>
              <w:t>petição inicial e extinguiu o feito sem resolução do mérito, por suposta ausência de documentos indispensáveis à propositura da ação, notadamente extratos bancários contemporâneos ao início dos descontos. A demanda buscava a declaração de nulidade de contrato bancário, repetição do indébito e indenização por danos morais, em razão </w:t>
            </w:r>
            <w:r>
              <w:rPr>
                <w:spacing w:val="-9"/>
                <w:sz w:val="20"/>
              </w:rPr>
              <w:t>de </w:t>
            </w:r>
            <w:r>
              <w:rPr>
                <w:sz w:val="20"/>
              </w:rPr>
              <w:t>descontos decorrentes de empréstimo consignado não reconhecido pelo autor.&lt;/span&gt;</w:t>
            </w:r>
          </w:p>
          <w:p>
            <w:pPr>
              <w:pStyle w:val="TableParagraph"/>
              <w:tabs>
                <w:tab w:pos="985" w:val="left" w:leader="none"/>
              </w:tabs>
              <w:spacing w:line="190" w:lineRule="exact" w:before="0"/>
              <w:rPr>
                <w:sz w:val="20"/>
              </w:rPr>
            </w:pPr>
            <w:r>
              <w:rPr>
                <w:sz w:val="20"/>
              </w:rPr>
              <w:t>&lt;/span&gt;</w:t>
              <w:tab/>
              <w:t>&lt;/p&gt; &lt;/li&gt;&lt;/ol&gt;&lt;h3 class="western" style="line-height: 200%;"&gt; &lt;strong&gt;</w:t>
            </w:r>
          </w:p>
          <w:p>
            <w:pPr>
              <w:pStyle w:val="TableParagraph"/>
              <w:tabs>
                <w:tab w:pos="4873" w:val="left" w:leader="none"/>
                <w:tab w:pos="6201" w:val="left" w:leader="none"/>
              </w:tabs>
              <w:spacing w:line="208" w:lineRule="auto" w:before="9"/>
              <w:ind w:right="270"/>
              <w:rPr>
                <w:sz w:val="20"/>
              </w:rPr>
            </w:pPr>
            <w:r>
              <w:rPr>
                <w:sz w:val="20"/>
              </w:rPr>
              <w:t>&lt;span style="font-family: &amp;quot;Times New Roman&amp;quot;, serif;"&gt;</w:t>
              <w:tab/>
              <w:t>&lt;span style="font- size: 14pt;"&gt;II. QUESTÃO EM DISCUSSÃO&lt;/span&gt;</w:t>
              <w:tab/>
              <w:t>&lt;/span&gt; &lt;/strong&gt;&lt;/h3&gt;&lt;ol&gt;</w:t>
            </w:r>
            <w:r>
              <w:rPr>
                <w:spacing w:val="3"/>
                <w:sz w:val="20"/>
              </w:rPr>
              <w:t> </w:t>
            </w:r>
            <w:r>
              <w:rPr>
                <w:spacing w:val="-5"/>
                <w:sz w:val="20"/>
              </w:rPr>
              <w:t>&lt;li&gt;</w:t>
            </w:r>
          </w:p>
          <w:p>
            <w:pPr>
              <w:pStyle w:val="TableParagraph"/>
              <w:tabs>
                <w:tab w:pos="2439" w:val="left" w:leader="none"/>
                <w:tab w:pos="4292" w:val="left" w:leader="none"/>
              </w:tabs>
              <w:spacing w:line="208" w:lineRule="auto" w:before="0"/>
              <w:ind w:right="42"/>
              <w:rPr>
                <w:sz w:val="20"/>
              </w:rPr>
            </w:pPr>
            <w:r>
              <w:rPr>
                <w:sz w:val="20"/>
              </w:rPr>
              <w:t>&lt;p style="line-height: 200%;" align="justify"&gt;</w:t>
              <w:tab/>
              <w:t>&lt;span style="font-family: &amp;quot;Times </w:t>
            </w:r>
            <w:r>
              <w:rPr>
                <w:spacing w:val="-6"/>
                <w:sz w:val="20"/>
              </w:rPr>
              <w:t>New </w:t>
            </w:r>
            <w:r>
              <w:rPr>
                <w:sz w:val="20"/>
              </w:rPr>
              <w:t>Roman&amp;quot;, serif;"&gt;</w:t>
              <w:tab/>
              <w:t>&lt;span style="font-size: 14pt;"&gt;Há duas questões em discussão:</w:t>
            </w:r>
          </w:p>
          <w:p>
            <w:pPr>
              <w:pStyle w:val="TableParagraph"/>
              <w:tabs>
                <w:tab w:pos="1707" w:val="left" w:leader="none"/>
                <w:tab w:pos="1917" w:val="left" w:leader="none"/>
                <w:tab w:pos="2652" w:val="left" w:leader="none"/>
              </w:tabs>
              <w:spacing w:line="208" w:lineRule="auto" w:before="0"/>
              <w:ind w:right="31"/>
              <w:rPr>
                <w:sz w:val="20"/>
              </w:rPr>
            </w:pPr>
            <w:r>
              <w:rPr>
                <w:sz w:val="20"/>
              </w:rPr>
              <w:t>(i) definir se a ausência de extratos bancários compromete os requisitos de </w:t>
            </w:r>
            <w:r>
              <w:rPr>
                <w:spacing w:val="-2"/>
                <w:sz w:val="20"/>
              </w:rPr>
              <w:t>admissibilidade </w:t>
            </w:r>
            <w:r>
              <w:rPr>
                <w:sz w:val="20"/>
              </w:rPr>
              <w:t>da petição inicial, justificando seu indeferimento; (ii) estabelecer se a extinção do feito sem exame do mérito, por ausência desses documentos, ofende os princípios processuais da cooperação, do devido processo legal, do acesso à justiça e da primazia da decisão de mérito.&lt;/span&gt;</w:t>
              <w:tab/>
              <w:t>&lt;/span&gt;</w:t>
              <w:tab/>
              <w:t>&lt;/p&gt; &lt;/li&gt;&lt;/ol&gt;&lt;h3 class="western" style="line-height: 200%;"&gt;  &lt;strong&gt;</w:t>
              <w:tab/>
              <w:tab/>
              <w:t>&lt;span style="font-family: &amp;quot;Times New Roman&amp;quot;, serif;"&gt;</w:t>
            </w:r>
          </w:p>
          <w:p>
            <w:pPr>
              <w:pStyle w:val="TableParagraph"/>
              <w:tabs>
                <w:tab w:pos="6001" w:val="left" w:leader="none"/>
              </w:tabs>
              <w:spacing w:line="190" w:lineRule="exact" w:before="0"/>
              <w:rPr>
                <w:sz w:val="20"/>
              </w:rPr>
            </w:pPr>
            <w:r>
              <w:rPr>
                <w:sz w:val="20"/>
              </w:rPr>
              <w:t>&lt;span style="font-size: 14pt;"&gt;III. RAZÕES DE DECIDIR&lt;/span&gt;</w:t>
              <w:tab/>
              <w:t>&lt;/span&gt;</w:t>
            </w:r>
          </w:p>
          <w:p>
            <w:pPr>
              <w:pStyle w:val="TableParagraph"/>
              <w:tabs>
                <w:tab w:pos="1682" w:val="left" w:leader="none"/>
                <w:tab w:pos="2029" w:val="left" w:leader="none"/>
                <w:tab w:pos="2441" w:val="left" w:leader="none"/>
                <w:tab w:pos="2974" w:val="left" w:leader="none"/>
                <w:tab w:pos="4520" w:val="left" w:leader="none"/>
                <w:tab w:pos="5706" w:val="left" w:leader="none"/>
                <w:tab w:pos="6694" w:val="left" w:leader="none"/>
              </w:tabs>
              <w:spacing w:line="208" w:lineRule="auto" w:before="9"/>
              <w:ind w:right="130"/>
              <w:rPr>
                <w:sz w:val="20"/>
              </w:rPr>
            </w:pPr>
            <w:r>
              <w:rPr>
                <w:sz w:val="20"/>
              </w:rPr>
              <w:t>&lt;/strong&gt;&lt;/h3&gt;&lt;ol&gt;  &lt;li&gt;</w:t>
              <w:tab/>
              <w:t>&lt;p style="line-height: 200%;" align="justify"&gt;</w:t>
              <w:tab/>
              <w:t>&lt;span style="font-family: &amp;quot;Times New Roman&amp;quot;, serif;"&gt;</w:t>
              <w:tab/>
              <w:t>&lt;span style="font-size: 14pt;"&gt;A petição inicial atende aos requisitos dos arts. 319 e 320 do CPC, estando instruída com procuração, documentos pessoais, comprovante de endereço e histórico </w:t>
            </w:r>
            <w:r>
              <w:rPr>
                <w:spacing w:val="-9"/>
                <w:sz w:val="20"/>
              </w:rPr>
              <w:t>de </w:t>
            </w:r>
            <w:r>
              <w:rPr>
                <w:sz w:val="20"/>
              </w:rPr>
              <w:t>empréstimos (extrato HISCON), o qual individualiza o contrato impugnado e demonstra a existência de descontos, sendo suficiente para deflagrar o contraditório e viabilizar a fase instrutória.&lt;/span&gt;</w:t>
              <w:tab/>
              <w:t>&lt;/span&gt;</w:t>
              <w:tab/>
              <w:t>&lt;/p&gt;  &lt;/li&gt;  &lt;li&gt;</w:t>
              <w:tab/>
              <w:t>&lt;p style="line-height: 200%;" align="justify"&gt;</w:t>
              <w:tab/>
              <w:t>&lt;span style="font-family: &amp;quot;Times New Roman&amp;quot;, serif;"&gt;</w:t>
            </w:r>
          </w:p>
          <w:p>
            <w:pPr>
              <w:pStyle w:val="TableParagraph"/>
              <w:spacing w:line="208" w:lineRule="auto" w:before="0"/>
              <w:ind w:right="106"/>
              <w:rPr>
                <w:sz w:val="20"/>
              </w:rPr>
            </w:pPr>
            <w:r>
              <w:rPr>
                <w:sz w:val="20"/>
              </w:rPr>
              <w:t>&lt;span style="font-size: 14pt;"&gt;A exigência de extratos bancários para comprovar a ausência de recebimento dos valores se insere no âmbito do mérito e da distribuição do ônus da prova, e não como condição de procedibilidade da ação. Trata-se de elemento útil, mas não essencial, cuja juntada pode ser oportunizada ao longo do processo, inclusive mediante eventual inversão do ônus probatório, conforme prevê o art. 6º, VIII, do</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1585" w:val="left" w:leader="none"/>
                <w:tab w:pos="2530" w:val="left" w:leader="none"/>
                <w:tab w:pos="4075" w:val="left" w:leader="none"/>
              </w:tabs>
              <w:spacing w:line="215" w:lineRule="exact"/>
              <w:rPr>
                <w:sz w:val="20"/>
              </w:rPr>
            </w:pPr>
            <w:r>
              <w:rPr>
                <w:sz w:val="20"/>
              </w:rPr>
              <w:t>CDC.&lt;/span&gt;</w:t>
              <w:tab/>
              <w:t>&lt;/span&gt;</w:t>
              <w:tab/>
              <w:t>&lt;/p&gt;  &lt;/li&gt;  &lt;li&gt;</w:t>
              <w:tab/>
              <w:t>&lt;p style="line-height: 200%;" align="justify"&gt;</w:t>
            </w:r>
          </w:p>
          <w:p>
            <w:pPr>
              <w:pStyle w:val="TableParagraph"/>
              <w:tabs>
                <w:tab w:pos="6312" w:val="left" w:leader="none"/>
              </w:tabs>
              <w:spacing w:line="208" w:lineRule="auto" w:before="9"/>
              <w:ind w:right="31"/>
              <w:rPr>
                <w:sz w:val="20"/>
              </w:rPr>
            </w:pPr>
            <w:r>
              <w:rPr>
                <w:sz w:val="20"/>
              </w:rPr>
              <w:t>&lt;span style="font-family: &amp;quot;Times New Roman&amp;quot;, serif;"&gt;</w:t>
              <w:tab/>
              <w:t>&lt;span style="font- size: 14pt;"&gt;A jurisprudência do STJ e dos tribunais estaduais reconhece que a extinção prematura do feito por ausência de documentos que não são essenciais à propositura da ação configura formalismo excessivo, em violação aos princípios constitucionais do </w:t>
            </w:r>
            <w:r>
              <w:rPr>
                <w:spacing w:val="-3"/>
                <w:sz w:val="20"/>
              </w:rPr>
              <w:t>acesso </w:t>
            </w:r>
            <w:r>
              <w:rPr>
                <w:sz w:val="20"/>
              </w:rPr>
              <w:t>à justiça (CF/1988, art. 5º, XXXV) e da primazia da decisão de mérito (CPC, art.</w:t>
            </w:r>
          </w:p>
          <w:p>
            <w:pPr>
              <w:pStyle w:val="TableParagraph"/>
              <w:tabs>
                <w:tab w:pos="1402" w:val="left" w:leader="none"/>
                <w:tab w:pos="2347" w:val="left" w:leader="none"/>
                <w:tab w:pos="3893" w:val="left" w:leader="none"/>
              </w:tabs>
              <w:spacing w:line="190" w:lineRule="exact" w:before="0"/>
              <w:rPr>
                <w:sz w:val="20"/>
              </w:rPr>
            </w:pPr>
            <w:r>
              <w:rPr>
                <w:sz w:val="20"/>
              </w:rPr>
              <w:t>4º).&lt;/span&gt;</w:t>
              <w:tab/>
              <w:t>&lt;/span&gt;</w:t>
              <w:tab/>
              <w:t>&lt;/p&gt;  &lt;/li&gt;  &lt;li&gt;</w:t>
              <w:tab/>
              <w:t>&lt;p style="line-height: 200%;" align="justify"&gt;</w:t>
            </w:r>
          </w:p>
          <w:p>
            <w:pPr>
              <w:pStyle w:val="TableParagraph"/>
              <w:tabs>
                <w:tab w:pos="6312" w:val="left" w:leader="none"/>
              </w:tabs>
              <w:spacing w:line="208" w:lineRule="auto" w:before="10"/>
              <w:ind w:right="19"/>
              <w:rPr>
                <w:sz w:val="20"/>
              </w:rPr>
            </w:pPr>
            <w:r>
              <w:rPr>
                <w:sz w:val="20"/>
              </w:rPr>
              <w:t>&lt;span style="font-family: &amp;quot;Times New Roman&amp;quot;, serif;"&gt;</w:t>
              <w:tab/>
              <w:t>&lt;span style="font- size: 14pt;"&gt;A doutrina majoritária esclarece que apenas documentos substanciais (quando exigidos por lei para existência do ato jurídico) e documentos fundamentais </w:t>
            </w:r>
            <w:r>
              <w:rPr>
                <w:spacing w:val="-3"/>
                <w:sz w:val="20"/>
              </w:rPr>
              <w:t>(prova </w:t>
            </w:r>
            <w:r>
              <w:rPr>
                <w:sz w:val="20"/>
              </w:rPr>
              <w:t>mínima do direito alegado) são exigíveis com a petição inicial. No caso concreto, os extratos requeridos não se enquadram em nenhuma dessas categorias.&lt;/span&gt;</w:t>
            </w:r>
          </w:p>
          <w:p>
            <w:pPr>
              <w:pStyle w:val="TableParagraph"/>
              <w:tabs>
                <w:tab w:pos="985" w:val="left" w:leader="none"/>
                <w:tab w:pos="1682" w:val="left" w:leader="none"/>
                <w:tab w:pos="2530" w:val="left" w:leader="none"/>
                <w:tab w:pos="2963" w:val="left" w:leader="none"/>
                <w:tab w:pos="3909" w:val="left" w:leader="none"/>
                <w:tab w:pos="5454" w:val="left" w:leader="none"/>
                <w:tab w:pos="5706" w:val="left" w:leader="none"/>
                <w:tab w:pos="6783" w:val="left" w:leader="none"/>
              </w:tabs>
              <w:spacing w:line="208" w:lineRule="auto" w:before="0"/>
              <w:ind w:right="143"/>
              <w:rPr>
                <w:sz w:val="20"/>
              </w:rPr>
            </w:pPr>
            <w:r>
              <w:rPr>
                <w:sz w:val="20"/>
              </w:rPr>
              <w:t>&lt;/span&gt;</w:t>
              <w:tab/>
              <w:t>&lt;/p&gt;  &lt;/li&gt;  &lt;li&gt;</w:t>
              <w:tab/>
              <w:t>&lt;p style="line-height: 200%;" align="justify"&gt;</w:t>
              <w:tab/>
              <w:t>&lt;span style="font-family: &amp;quot;Times New Roman&amp;quot;, serif;"&gt;</w:t>
              <w:tab/>
              <w:tab/>
              <w:t>&lt;span style="font-size: 14pt;"&gt;A atuação judicial que obsta o regular processamento da demanda com base em exigência de prova negativa – de não contratação e de não recebimento de valores – impõe ônus excessivo à parte vulnerável, especialmente em demandas que envolvem relação de consumo, hipossuficiência técnica e etária, como no caso de aposentado ou pensionista do INSS.&lt;/span&gt;</w:t>
              <w:tab/>
              <w:t>&lt;/span&gt;</w:t>
              <w:tab/>
              <w:t>&lt;/p&gt;  &lt;/li&gt;  &lt;li&gt;</w:t>
              <w:tab/>
              <w:t>&lt;p style="line-height: </w:t>
            </w:r>
            <w:r>
              <w:rPr>
                <w:spacing w:val="-3"/>
                <w:sz w:val="20"/>
              </w:rPr>
              <w:t>200%;" </w:t>
            </w:r>
            <w:r>
              <w:rPr>
                <w:sz w:val="20"/>
              </w:rPr>
              <w:t>align="justify"&gt;</w:t>
              <w:tab/>
              <w:t>&lt;span style="font-family: &amp;quot;Times New Roman&amp;quot;, serif;"&gt;</w:t>
            </w:r>
          </w:p>
          <w:p>
            <w:pPr>
              <w:pStyle w:val="TableParagraph"/>
              <w:tabs>
                <w:tab w:pos="5498" w:val="left" w:leader="none"/>
                <w:tab w:pos="6443" w:val="left" w:leader="none"/>
              </w:tabs>
              <w:spacing w:line="208" w:lineRule="auto" w:before="0"/>
              <w:ind w:right="169"/>
              <w:rPr>
                <w:sz w:val="20"/>
              </w:rPr>
            </w:pPr>
            <w:r>
              <w:rPr>
                <w:sz w:val="20"/>
              </w:rPr>
              <w:t>&lt;span style="font-size: 14pt;"&gt;A sentença também contraria o princípio da cooperação processual (CPC, art. 6º), pois a decisão judicial de indeferimento se baseou em </w:t>
            </w:r>
            <w:r>
              <w:rPr>
                <w:spacing w:val="-3"/>
                <w:sz w:val="20"/>
              </w:rPr>
              <w:t>negativa </w:t>
            </w:r>
            <w:r>
              <w:rPr>
                <w:sz w:val="20"/>
              </w:rPr>
              <w:t>de emenda que poderia ser suprida com mecanismos alternativos de instrução, inclusive com requisição judicial às instituições financeiras.&lt;/span&gt;</w:t>
              <w:tab/>
              <w:t>&lt;/span&gt;</w:t>
              <w:tab/>
              <w:t>&lt;/p&gt; &lt;/li&gt; &lt;li&gt;</w:t>
            </w:r>
          </w:p>
          <w:p>
            <w:pPr>
              <w:pStyle w:val="TableParagraph"/>
              <w:tabs>
                <w:tab w:pos="2328" w:val="left" w:leader="none"/>
                <w:tab w:pos="2439" w:val="left" w:leader="none"/>
                <w:tab w:pos="3186" w:val="left" w:leader="none"/>
                <w:tab w:pos="3550" w:val="left" w:leader="none"/>
                <w:tab w:pos="4131" w:val="left" w:leader="none"/>
                <w:tab w:pos="4292" w:val="left" w:leader="none"/>
              </w:tabs>
              <w:spacing w:line="208" w:lineRule="auto" w:before="0"/>
              <w:ind w:right="42"/>
              <w:rPr>
                <w:sz w:val="20"/>
              </w:rPr>
            </w:pPr>
            <w:r>
              <w:rPr>
                <w:sz w:val="20"/>
              </w:rPr>
              <w:t>&lt;p style="line-height: 200%;" align="justify"&gt;</w:t>
              <w:tab/>
              <w:tab/>
              <w:t>&lt;span style="font-family: &amp;quot;Times </w:t>
            </w:r>
            <w:r>
              <w:rPr>
                <w:spacing w:val="-6"/>
                <w:sz w:val="20"/>
              </w:rPr>
              <w:t>New </w:t>
            </w:r>
            <w:r>
              <w:rPr>
                <w:sz w:val="20"/>
              </w:rPr>
              <w:t>Roman&amp;quot;, serif;"&gt;</w:t>
              <w:tab/>
              <w:tab/>
              <w:t>&lt;span style="font-size: 14pt;"&gt;O Ministério Público, na qualidade de fiscal da ordem jurídica, opinou pelo provimento do recurso, reconhecendo a suficiência da inicial e a necessidade de retorno dos autos à origem para regular instrução e julgamento do mérito.&lt;/span&gt;</w:t>
              <w:tab/>
              <w:t>&lt;/span&gt;</w:t>
              <w:tab/>
              <w:t>&lt;/p&gt; &lt;/li&gt;&lt;/ol&gt;&lt;h3 class="western" style="line-height: 200%;"&gt;  &lt;strong&gt;</w:t>
              <w:tab/>
              <w:t>&lt;span style="font-family: &amp;quot;Times New Roman&amp;quot;, serif;"&gt;</w:t>
              <w:tab/>
              <w:t>&lt;span style="font-size: 14pt;"&gt;IV. DISPOSITIVO E TESE&lt;/span&gt;</w:t>
            </w:r>
          </w:p>
          <w:p>
            <w:pPr>
              <w:pStyle w:val="TableParagraph"/>
              <w:tabs>
                <w:tab w:pos="2328" w:val="left" w:leader="none"/>
                <w:tab w:pos="3275" w:val="left" w:leader="none"/>
                <w:tab w:pos="3543" w:val="left" w:leader="none"/>
                <w:tab w:pos="4374" w:val="left" w:leader="none"/>
                <w:tab w:pos="5319" w:val="left" w:leader="none"/>
                <w:tab w:pos="5706" w:val="left" w:leader="none"/>
                <w:tab w:pos="7528" w:val="left" w:leader="none"/>
              </w:tabs>
              <w:spacing w:line="208" w:lineRule="auto" w:before="0"/>
              <w:ind w:right="73"/>
              <w:rPr>
                <w:sz w:val="20"/>
              </w:rPr>
            </w:pPr>
            <w:r>
              <w:rPr>
                <w:sz w:val="20"/>
              </w:rPr>
              <w:t>&lt;/span&gt;  &lt;/strong&gt;&lt;/h3&gt;&lt;ol&gt;  &lt;li&gt;</w:t>
              <w:tab/>
              <w:t>&lt;p style="line-height: 200%;" align="justify"&gt;</w:t>
              <w:tab/>
            </w:r>
            <w:r>
              <w:rPr>
                <w:spacing w:val="-4"/>
                <w:sz w:val="20"/>
              </w:rPr>
              <w:t>&lt;span </w:t>
            </w:r>
            <w:r>
              <w:rPr>
                <w:sz w:val="20"/>
              </w:rPr>
              <w:t>style="font-family: &amp;quot;Times New Roman&amp;quot;, serif;"&gt;</w:t>
              <w:tab/>
              <w:tab/>
              <w:t>&lt;span style="font-size: 14pt;"&gt;Recurso conhecido e provido.&lt;/span&gt;</w:t>
              <w:tab/>
              <w:t>&lt;/span&gt;</w:t>
              <w:tab/>
              <w:t>&lt;/p&gt; &lt;/li&gt;&lt;/ol&gt;&lt;p style="line- height: 200%;" align="justify"&gt;  &lt;em&gt;</w:t>
              <w:tab/>
              <w:t>&lt;span style="font-family: &amp;quot;Times New Roman&amp;quot;, serif;"&gt;</w:t>
              <w:tab/>
              <w:t>&lt;span style="font-size: 14pt;"&gt;Tese de julgamento&lt;/span&gt;</w:t>
            </w:r>
          </w:p>
          <w:p>
            <w:pPr>
              <w:pStyle w:val="TableParagraph"/>
              <w:spacing w:line="190" w:lineRule="exact" w:before="0"/>
              <w:rPr>
                <w:sz w:val="20"/>
              </w:rPr>
            </w:pPr>
            <w:r>
              <w:rPr>
                <w:sz w:val="20"/>
              </w:rPr>
              <w:t>&lt;/span&gt; &lt;/em&gt; &lt;span style="font-family: &amp;quot;Times New Roman&amp;quot;, serif;"&gt;</w:t>
            </w:r>
          </w:p>
          <w:p>
            <w:pPr>
              <w:pStyle w:val="TableParagraph"/>
              <w:tabs>
                <w:tab w:pos="1105" w:val="left" w:leader="none"/>
                <w:tab w:pos="2376" w:val="left" w:leader="none"/>
                <w:tab w:pos="5802" w:val="left" w:leader="none"/>
              </w:tabs>
              <w:spacing w:line="208" w:lineRule="auto" w:before="7"/>
              <w:ind w:right="19"/>
              <w:rPr>
                <w:sz w:val="20"/>
              </w:rPr>
            </w:pPr>
            <w:r>
              <w:rPr>
                <w:sz w:val="20"/>
              </w:rPr>
              <w:t>&lt;span style="font-size: 14pt;"&gt;:&lt;/span&gt;  &lt;/span&gt;&lt;/p&gt;&lt;ol&gt;  &lt;li&gt;</w:t>
              <w:tab/>
              <w:t>&lt;p style="line-height: 200%;" align="justify"&gt;</w:t>
              <w:tab/>
              <w:t>&lt;span style="font-family: &amp;quot;Times New Roman&amp;quot;, serif;"&gt;</w:t>
              <w:tab/>
              <w:t>&lt;span style="font-size: 14pt;"&gt;A ausência de extratos bancários contemporâneos aos descontos não configura inépcia da petição inicial, quando esta já estiver instruída com elementos mínimos que individualizam o contrato</w:t>
            </w:r>
            <w:r>
              <w:rPr>
                <w:spacing w:val="-17"/>
                <w:sz w:val="20"/>
              </w:rPr>
              <w:t> </w:t>
            </w:r>
            <w:r>
              <w:rPr>
                <w:sz w:val="20"/>
              </w:rPr>
              <w:t>contestado.&lt;/span&gt;</w:t>
            </w:r>
          </w:p>
          <w:p>
            <w:pPr>
              <w:pStyle w:val="TableParagraph"/>
              <w:tabs>
                <w:tab w:pos="985" w:val="left" w:leader="none"/>
                <w:tab w:pos="1682" w:val="left" w:leader="none"/>
                <w:tab w:pos="2141" w:val="left" w:leader="none"/>
                <w:tab w:pos="2439" w:val="left" w:leader="none"/>
                <w:tab w:pos="2530" w:val="left" w:leader="none"/>
                <w:tab w:pos="3086" w:val="left" w:leader="none"/>
                <w:tab w:pos="4009" w:val="left" w:leader="none"/>
                <w:tab w:pos="4631" w:val="left" w:leader="none"/>
                <w:tab w:pos="5598" w:val="left" w:leader="none"/>
                <w:tab w:pos="5706" w:val="left" w:leader="none"/>
                <w:tab w:pos="6783" w:val="left" w:leader="none"/>
                <w:tab w:pos="7144" w:val="left" w:leader="none"/>
              </w:tabs>
              <w:spacing w:line="208" w:lineRule="auto" w:before="0"/>
              <w:ind w:right="18"/>
              <w:rPr>
                <w:sz w:val="20"/>
              </w:rPr>
            </w:pPr>
            <w:r>
              <w:rPr>
                <w:sz w:val="20"/>
              </w:rPr>
              <w:t>&lt;/span&gt;</w:t>
              <w:tab/>
              <w:t>&lt;/p&gt;  &lt;/li&gt;  &lt;li&gt;</w:t>
              <w:tab/>
              <w:tab/>
              <w:t>&lt;p style="line-height: 200%;" align="justify"&gt;</w:t>
              <w:tab/>
              <w:t>&lt;span style="font-family: &amp;quot;Times New Roman&amp;quot;, serif;"&gt;</w:t>
              <w:tab/>
              <w:tab/>
              <w:t>&lt;span style="font-size: 14pt;"&gt;A exigência de tais documentos como pressuposto de admissibilidade configura formalismo excessivo, violando os princípios do devido processo legal, da primazia da decisão de mérito e do acesso à justiça.&lt;/span&gt;</w:t>
              <w:tab/>
              <w:t>&lt;/span&gt;</w:t>
              <w:tab/>
              <w:t>&lt;/p&gt;  &lt;/li&gt;  &lt;li&gt;</w:t>
              <w:tab/>
              <w:t>&lt;p style="line-height: 200%;" align="justify"&gt;</w:t>
              <w:tab/>
              <w:t>&lt;span style="font-family: &amp;quot;Times New Roman&amp;quot;, serif;"&gt;</w:t>
              <w:tab/>
              <w:tab/>
              <w:t>&lt;span style="font-size: 14pt;"&gt;Em demandas consumeristas que envolvem hipossuficiência, a fase instrutória é o momento adequado para produção </w:t>
            </w:r>
            <w:r>
              <w:rPr>
                <w:spacing w:val="-9"/>
                <w:sz w:val="20"/>
              </w:rPr>
              <w:t>de </w:t>
            </w:r>
            <w:r>
              <w:rPr>
                <w:sz w:val="20"/>
              </w:rPr>
              <w:t>prova documental, cabendo ao réu demonstrar a regularidade do contrato impugnado.&lt;/span&gt;</w:t>
              <w:tab/>
              <w:t>&lt;/span&gt;</w:t>
              <w:tab/>
              <w:t>&lt;/p&gt;  &lt;/li&gt;  &lt;li&gt;</w:t>
              <w:tab/>
              <w:t>&lt;p style="line-height: 200%;" align="justify"&gt;</w:t>
              <w:tab/>
              <w:t>&lt;span style="font-family: &amp;quot;Times New Roman&amp;quot;, serif;"&gt;</w:t>
            </w:r>
          </w:p>
          <w:p>
            <w:pPr>
              <w:pStyle w:val="TableParagraph"/>
              <w:tabs>
                <w:tab w:pos="1618" w:val="left" w:leader="none"/>
                <w:tab w:pos="2217" w:val="left" w:leader="none"/>
                <w:tab w:pos="2784" w:val="left" w:leader="none"/>
                <w:tab w:pos="3851" w:val="left" w:leader="none"/>
                <w:tab w:pos="4520" w:val="left" w:leader="none"/>
                <w:tab w:pos="4909" w:val="left" w:leader="none"/>
                <w:tab w:pos="5006" w:val="left" w:leader="none"/>
                <w:tab w:pos="5854" w:val="left" w:leader="none"/>
                <w:tab w:pos="6889" w:val="left" w:leader="none"/>
              </w:tabs>
              <w:spacing w:line="208" w:lineRule="auto" w:before="0"/>
              <w:ind w:right="34"/>
              <w:rPr>
                <w:sz w:val="20"/>
              </w:rPr>
            </w:pPr>
            <w:r>
              <w:rPr>
                <w:sz w:val="20"/>
              </w:rPr>
              <w:t>&lt;span style="font-size: 14pt;"&gt;A extinção do feito sem exame do mérito, por ausência de documento que pode ser produzido no curso do processo, é medida incompatível com o modelo cooperativo previsto no CPC/2015.&lt;/span&gt;</w:t>
              <w:tab/>
              <w:t>&lt;/span&gt;</w:t>
              <w:tab/>
              <w:t>&lt;/p&gt; &lt;/li&gt;&lt;/ol&gt;&lt;hr /&gt;&lt;p style="line-height: 200%;" align="justify"&gt;  &lt;em&gt;</w:t>
              <w:tab/>
              <w:t>&lt;span style="font-family: &amp;quot;Times New Roman&amp;quot;, serif;"&gt;</w:t>
              <w:tab/>
              <w:t>&lt;span style="font-size: 14pt;"&gt;Dispositivos relevantes citados&lt;/span&gt;</w:t>
              <w:tab/>
              <w:t>&lt;/span&gt; &lt;/em&gt; &lt;span style="font-family: &amp;quot;Times New Roman&amp;quot;, serif;"&gt;</w:t>
              <w:tab/>
              <w:t>&lt;span style="font-size: 14pt;"&gt;: CF/1988, art. 5º, XXXV; CPC, </w:t>
            </w:r>
            <w:r>
              <w:rPr>
                <w:spacing w:val="-4"/>
                <w:sz w:val="20"/>
              </w:rPr>
              <w:t>arts. </w:t>
            </w:r>
            <w:r>
              <w:rPr>
                <w:sz w:val="20"/>
              </w:rPr>
              <w:t>4º, 6º, 320, 321, parágrafo único, e 485, I; CDC, art. 6º, VIII.&lt;/span&gt; &lt;/span&gt;&lt;/p&gt;&lt;p style="line-height: 200%;" align="justify"&gt;&lt;em&gt; &lt;span style="font-family: &amp;quot;Times </w:t>
            </w:r>
            <w:r>
              <w:rPr>
                <w:spacing w:val="-5"/>
                <w:sz w:val="20"/>
              </w:rPr>
              <w:t>New </w:t>
            </w:r>
            <w:r>
              <w:rPr>
                <w:sz w:val="20"/>
              </w:rPr>
              <w:t>Roman&amp;quot;, serif;"&gt;</w:t>
              <w:tab/>
              <w:t>&lt;span style="font-size: 14pt;"&gt;Jurisprudência relevante citada&lt;/span&gt; &lt;/span&gt;&lt;/em&gt;&lt;span style="font-family: &amp;quot;Times New Roman&amp;quot;, serif;"&gt; &lt;span style="font-size: 14pt;"&gt;:&lt;/span&gt;&lt;/span&gt; &lt;strong&gt; &lt;span style="font-family: &amp;quot;Times New Roman&amp;quot;, serif;"&gt;</w:t>
              <w:tab/>
              <w:t>&lt;span style="font-size: 14pt;"&gt;</w:t>
              <w:tab/>
              <w:t>&lt;span style="font-weight: normal;"&gt;Tema 1061/STJ;&lt;/span&gt;</w:t>
              <w:tab/>
              <w:tab/>
              <w:t>&lt;/span&gt; &lt;/span&gt;&lt;/strong&gt;</w:t>
            </w:r>
          </w:p>
          <w:p>
            <w:pPr>
              <w:pStyle w:val="TableParagraph"/>
              <w:tabs>
                <w:tab w:pos="2471" w:val="left" w:leader="none"/>
                <w:tab w:pos="6990" w:val="left" w:leader="none"/>
              </w:tabs>
              <w:spacing w:line="208" w:lineRule="auto" w:before="0"/>
              <w:ind w:right="308"/>
              <w:rPr>
                <w:sz w:val="20"/>
              </w:rPr>
            </w:pPr>
            <w:r>
              <w:rPr>
                <w:sz w:val="20"/>
              </w:rPr>
              <w:t>&lt;strong&gt;  &lt;span style="font-family: &amp;quot;Times New Roman&amp;quot;, serif;"&gt;</w:t>
              <w:tab/>
              <w:t>&lt;span style="font-size: 14pt;"&gt;</w:t>
              <w:tab/>
              <w:t>&lt;span style="font-weight: normal;"&gt;(TJCE-Apelação Cível: 02008136820248060031 AltoSanto, Relator.: MARCOS WILLIAM LEITE DE</w:t>
            </w:r>
            <w:r>
              <w:rPr>
                <w:spacing w:val="-17"/>
                <w:sz w:val="20"/>
              </w:rPr>
              <w:t> </w:t>
            </w:r>
            <w:r>
              <w:rPr>
                <w:sz w:val="20"/>
              </w:rPr>
              <w:t>OLIVEIRA,</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052" w:val="left" w:leader="none"/>
                <w:tab w:pos="3851" w:val="left" w:leader="none"/>
                <w:tab w:pos="6889" w:val="left" w:leader="none"/>
              </w:tabs>
              <w:spacing w:line="208" w:lineRule="auto" w:before="26"/>
              <w:ind w:right="559"/>
              <w:rPr>
                <w:sz w:val="20"/>
              </w:rPr>
            </w:pPr>
            <w:r>
              <w:rPr>
                <w:sz w:val="20"/>
              </w:rPr>
              <w:t>Data de Julgamento: 07/08/2024, 3ª Câmara Direito Privado, Data de Publicação: 07/08/2024)&lt;/span&gt;</w:t>
              <w:tab/>
              <w:t>&lt;/span&gt; &lt;/span&gt;&lt;/strong&gt; &lt;strong&gt; &lt;span style="font-family: &amp;quot;Times New Roman&amp;quot;, serif;"&gt;</w:t>
              <w:tab/>
              <w:t>&lt;span style="font-size: 14pt;"&gt;</w:t>
              <w:tab/>
              <w:t>&lt;span style="font-weight: normal;"&gt;e (TJ-CE - Apelação Cível: 0200998-49.2023 .8.06.0029 Acopiara, Relator.: FRANCISCO JAIME MEDEIROS NETO, Data de Julgamento: 21/05/2024, 4ª Câmara Direito Privado, Data de Publicação: 21/05/2024).&lt;/span&gt;</w:t>
            </w:r>
          </w:p>
          <w:p>
            <w:pPr>
              <w:pStyle w:val="TableParagraph"/>
              <w:tabs>
                <w:tab w:pos="1117" w:val="left" w:leader="none"/>
                <w:tab w:pos="4151" w:val="left" w:leader="none"/>
                <w:tab w:pos="5096" w:val="left" w:leader="none"/>
                <w:tab w:pos="5595" w:val="left" w:leader="none"/>
                <w:tab w:pos="7504" w:val="left" w:leader="none"/>
              </w:tabs>
              <w:spacing w:line="208" w:lineRule="auto" w:before="0"/>
              <w:ind w:right="77"/>
              <w:rPr>
                <w:sz w:val="20"/>
              </w:rPr>
            </w:pPr>
            <w:r>
              <w:rPr>
                <w:sz w:val="20"/>
              </w:rPr>
              <w:t>&lt;/span&gt; &lt;/span&gt;&lt;/strong&gt;&lt;/p&gt;&lt;p style="line-height: 200%;"&gt;&amp;#160;&lt;/p&gt;&lt;p style="font- variant-numeric: normal; font-variant-east-asian: normal; font-variant-alternates: normal; font-variant-position: normal; font-variant-emoji: normal; line-height: 200%; margin-top: 0.11cm; margin-bottom: 0.11cm;" align="center"&gt;  &lt;span style="color: #000000;"&gt;</w:t>
              <w:tab/>
              <w:t>&lt;span style="font-family: &amp;quot;Times New Roman&amp;quot;, serif;"&gt;</w:t>
              <w:tab/>
              <w:t>&lt;span style="font-size: 14pt;"&gt;</w:t>
              <w:tab/>
              <w:t>&lt;strong&gt;ACÓRDÃO:&lt;/strong&gt;</w:t>
              <w:tab/>
              <w:t>&lt;/span&gt;</w:t>
              <w:tab/>
              <w:t>&lt;/span&gt; &lt;/span&gt;&lt;/p&gt;&lt;p style="font-variant-numeric: normal; font-variant-east-asian: normal; font-variant-alternates: normal; font-variant-position: normal; font-variant-emoji: normal; line-height: 200%; margin- top: 0.11cm; margin-bottom: 0.11cm;" align="justify"&gt; &lt;span style="color: #000000;"&gt;</w:t>
            </w:r>
          </w:p>
          <w:p>
            <w:pPr>
              <w:pStyle w:val="TableParagraph"/>
              <w:tabs>
                <w:tab w:pos="6201" w:val="left" w:leader="none"/>
              </w:tabs>
              <w:spacing w:line="208" w:lineRule="auto" w:before="0"/>
              <w:ind w:right="87"/>
              <w:rPr>
                <w:sz w:val="20"/>
              </w:rPr>
            </w:pPr>
            <w:r>
              <w:rPr>
                <w:sz w:val="20"/>
              </w:rPr>
              <w:t>&lt;span style="font-family: &amp;quot;Times New Roman&amp;quot;, serif;"&gt;</w:t>
              <w:tab/>
              <w:t>&lt;span style="font- size: 14pt;"&gt;Vistos, relatados e discutidos esses autos, acorda a Quinta Câmara de </w:t>
            </w:r>
            <w:r>
              <w:rPr>
                <w:spacing w:val="-3"/>
                <w:sz w:val="20"/>
              </w:rPr>
              <w:t>Direito </w:t>
            </w:r>
            <w:r>
              <w:rPr>
                <w:sz w:val="20"/>
              </w:rPr>
              <w:t>Privado do Egrégio Tribunal de Justiça do Ceará, por unanimidade, em</w:t>
            </w:r>
          </w:p>
          <w:p>
            <w:pPr>
              <w:pStyle w:val="TableParagraph"/>
              <w:tabs>
                <w:tab w:pos="5598" w:val="left" w:leader="none"/>
              </w:tabs>
              <w:spacing w:line="190" w:lineRule="exact" w:before="0"/>
              <w:rPr>
                <w:sz w:val="20"/>
              </w:rPr>
            </w:pPr>
            <w:r>
              <w:rPr>
                <w:sz w:val="20"/>
              </w:rPr>
              <w:t>&lt;strong&gt;CONHECER&lt;/strong&gt; do recurso de Apelação, e</w:t>
              <w:tab/>
              <w:t>&lt;strong&gt;DAR-&lt;/strong&gt;</w:t>
            </w:r>
          </w:p>
          <w:p>
            <w:pPr>
              <w:pStyle w:val="TableParagraph"/>
              <w:tabs>
                <w:tab w:pos="1685" w:val="left" w:leader="none"/>
                <w:tab w:pos="2452" w:val="left" w:leader="none"/>
                <w:tab w:pos="2784" w:val="left" w:leader="none"/>
                <w:tab w:pos="4454" w:val="left" w:leader="none"/>
                <w:tab w:pos="7067" w:val="left" w:leader="none"/>
              </w:tabs>
              <w:spacing w:line="208" w:lineRule="auto" w:before="9"/>
              <w:ind w:right="60"/>
              <w:rPr>
                <w:sz w:val="20"/>
              </w:rPr>
            </w:pPr>
            <w:r>
              <w:rPr>
                <w:sz w:val="20"/>
              </w:rPr>
              <w:t>&lt;strong&gt;LHE&lt;/strong&gt;</w:t>
              <w:tab/>
              <w:t>&lt;strong&gt;PROVIMENTO&lt;/strong&gt;, nos termos do voto do Relator.&lt;/span&gt;</w:t>
              <w:tab/>
              <w:t>&lt;/span&gt; &lt;/span&gt;&lt;/p&gt;&lt;p style="font-variant-numeric: normal; font- variant-east-asian: normal; font-variant-alternates: normal; font-variant-position: normal; font-variant-emoji: normal; line-height: 200%; margin-top: 0.11cm; margin-bottom: </w:t>
            </w:r>
            <w:r>
              <w:rPr>
                <w:spacing w:val="-3"/>
                <w:sz w:val="20"/>
              </w:rPr>
              <w:t>0.11cm;" </w:t>
            </w:r>
            <w:r>
              <w:rPr>
                <w:sz w:val="20"/>
              </w:rPr>
              <w:t>align="justify"&gt;  &lt;span style="color: #000000;"&gt;</w:t>
              <w:tab/>
              <w:t>&lt;span style="font-family: &amp;quot;Times New Roman&amp;quot;, serif;"&gt;</w:t>
              <w:tab/>
              <w:tab/>
              <w:t>&lt;span style="font-size: 14pt;"&gt;&amp;#160;&lt;/span&gt;</w:t>
              <w:tab/>
              <w:t>&lt;/span&gt;</w:t>
            </w:r>
          </w:p>
          <w:p>
            <w:pPr>
              <w:pStyle w:val="TableParagraph"/>
              <w:tabs>
                <w:tab w:pos="4407" w:val="left" w:leader="none"/>
                <w:tab w:pos="4755" w:val="left" w:leader="none"/>
              </w:tabs>
              <w:spacing w:line="208" w:lineRule="auto" w:before="0"/>
              <w:ind w:right="354"/>
              <w:rPr>
                <w:sz w:val="20"/>
              </w:rPr>
            </w:pPr>
            <w:r>
              <w:rPr>
                <w:sz w:val="20"/>
              </w:rPr>
              <w:t>&lt;/span&gt; &lt;span style="font-size: 14pt; font-family: &amp;quot;Times New Roman&amp;quot;, serif;"&gt;Fortaleza, data e hora indicadas pelo sistema.&amp;#160;&lt;/span&gt;&lt;/p&gt;&lt;p style="font- variant-numeric: normal; font-variant-east-asian: normal; font-variant-alternates: </w:t>
            </w:r>
            <w:r>
              <w:rPr>
                <w:spacing w:val="-3"/>
                <w:sz w:val="20"/>
              </w:rPr>
              <w:t>normal; </w:t>
            </w:r>
            <w:r>
              <w:rPr>
                <w:sz w:val="20"/>
              </w:rPr>
              <w:t>font-variant-position: normal; font-variant-emoji: normal; line-height: 200%; margin-top: 0.11cm; margin-bottom: 0.11cm;" align="center"&gt; &lt;span style="color: #000000;"&gt;&amp;#160;&amp;#160;&lt;/span&gt;&lt;/p&gt;&lt;p style="line-height: 200%; margin-top: 0.11cm; margin-bottom: 0.11cm;" align="center"&gt;  &lt;strong&gt;</w:t>
              <w:tab/>
              <w:t>&lt;span style="font-variant-numeric: normal; font-variant-east-asian: normal; font-variant-alternates: normal; font-variant- position: normal; font-variant-emoji: normal;"&gt;</w:t>
              <w:tab/>
              <w:t>&lt;span style="color: #000000;"&gt;</w:t>
            </w:r>
          </w:p>
          <w:p>
            <w:pPr>
              <w:pStyle w:val="TableParagraph"/>
              <w:tabs>
                <w:tab w:pos="1806" w:val="left" w:leader="none"/>
                <w:tab w:pos="2407" w:val="left" w:leader="none"/>
                <w:tab w:pos="3685" w:val="left" w:leader="none"/>
                <w:tab w:pos="4455" w:val="left" w:leader="none"/>
                <w:tab w:pos="4853" w:val="left" w:leader="none"/>
                <w:tab w:pos="5909" w:val="left" w:leader="none"/>
                <w:tab w:pos="6423" w:val="left" w:leader="none"/>
                <w:tab w:pos="6854" w:val="left" w:leader="none"/>
              </w:tabs>
              <w:spacing w:line="208" w:lineRule="auto" w:before="0"/>
              <w:ind w:right="124"/>
              <w:rPr>
                <w:sz w:val="20"/>
              </w:rPr>
            </w:pPr>
            <w:r>
              <w:rPr>
                <w:sz w:val="20"/>
              </w:rPr>
              <w:t>&lt;span style="font-family: &amp;quot;Times New Roman&amp;quot;, serif;"&gt;</w:t>
              <w:tab/>
              <w:tab/>
              <w:t>&lt;span </w:t>
            </w:r>
            <w:r>
              <w:rPr>
                <w:spacing w:val="-2"/>
                <w:sz w:val="20"/>
              </w:rPr>
              <w:t>style="font- </w:t>
            </w:r>
            <w:r>
              <w:rPr>
                <w:sz w:val="20"/>
              </w:rPr>
              <w:t>size: 14pt;"&gt;</w:t>
              <w:tab/>
              <w:t>&lt;span lang="pt-BR"&gt;</w:t>
              <w:tab/>
              <w:tab/>
              <w:t>&lt;strong&gt;MARIA REGINA OLIVEIRA CÂMARA&lt;/strong&gt;</w:t>
              <w:tab/>
              <w:tab/>
              <w:t>&lt;/span&gt;</w:t>
              <w:tab/>
              <w:t>&lt;/span&gt;</w:t>
              <w:tab/>
              <w:tab/>
              <w:t>&lt;/span&gt;</w:t>
              <w:tab/>
              <w:t>&lt;/span&gt;</w:t>
              <w:tab/>
              <w:t>&lt;/span&gt;</w:t>
            </w:r>
          </w:p>
          <w:p>
            <w:pPr>
              <w:pStyle w:val="TableParagraph"/>
              <w:tabs>
                <w:tab w:pos="994" w:val="left" w:leader="none"/>
                <w:tab w:pos="2427" w:val="left" w:leader="none"/>
              </w:tabs>
              <w:spacing w:line="208" w:lineRule="auto" w:before="0"/>
              <w:ind w:right="149"/>
              <w:rPr>
                <w:sz w:val="20"/>
              </w:rPr>
            </w:pPr>
            <w:r>
              <w:rPr>
                <w:sz w:val="20"/>
              </w:rPr>
              <w:t>&lt;/strong&gt;&lt;/p&gt;&lt;p style="font-variant-numeric: normal; font-variant-east-asian: normal; </w:t>
            </w:r>
            <w:r>
              <w:rPr>
                <w:spacing w:val="-4"/>
                <w:sz w:val="20"/>
              </w:rPr>
              <w:t>font- </w:t>
            </w:r>
            <w:r>
              <w:rPr>
                <w:sz w:val="20"/>
              </w:rPr>
              <w:t>variant-alternates: normal; font-variant-position: normal; font-variant-emoji: normal; line- height: 200%; margin-top: 0.11cm; margin-bottom: 0.11cm;" align="center"&gt; &lt;span style="color: #000000;"&gt;</w:t>
              <w:tab/>
              <w:t>&lt;span style="font-family: &amp;quot;Times New Roman&amp;quot;, serif;"&gt;</w:t>
              <w:tab/>
              <w:t>&lt;span style="font-size: 14pt;"&gt;Presidente do Órgão Julgador&amp;#160;&lt;/span&gt;</w:t>
            </w:r>
          </w:p>
          <w:p>
            <w:pPr>
              <w:pStyle w:val="TableParagraph"/>
              <w:spacing w:line="208" w:lineRule="auto" w:before="0"/>
              <w:ind w:right="289"/>
              <w:rPr>
                <w:sz w:val="20"/>
              </w:rPr>
            </w:pPr>
            <w:r>
              <w:rPr>
                <w:sz w:val="20"/>
              </w:rPr>
              <w:t>&lt;/span&gt; &lt;/span&gt;&lt;/p&gt;&lt;p style="font-variant-numeric: normal; font-variant-east-asian: normal; font-variant-alternates: normal; font-variant-position: normal; font-variant-emoji: normal; line-height: 200%; margin-top: 0.11cm; margin-bottom: 0.11cm;" align="center"&gt;</w:t>
            </w:r>
          </w:p>
          <w:p>
            <w:pPr>
              <w:pStyle w:val="TableParagraph"/>
              <w:tabs>
                <w:tab w:pos="2217" w:val="left" w:leader="none"/>
                <w:tab w:pos="5255" w:val="left" w:leader="none"/>
              </w:tabs>
              <w:spacing w:line="208" w:lineRule="auto" w:before="0"/>
              <w:ind w:right="293"/>
              <w:rPr>
                <w:sz w:val="20"/>
              </w:rPr>
            </w:pPr>
            <w:r>
              <w:rPr>
                <w:sz w:val="20"/>
              </w:rPr>
              <w:t>&lt;br /&gt; &lt;br /&gt;&lt;/p&gt;&lt;p style="font-variant-numeric: normal; font-variant-east-asian: </w:t>
            </w:r>
            <w:r>
              <w:rPr>
                <w:spacing w:val="-3"/>
                <w:sz w:val="20"/>
              </w:rPr>
              <w:t>normal; </w:t>
            </w:r>
            <w:r>
              <w:rPr>
                <w:sz w:val="20"/>
              </w:rPr>
              <w:t>font-variant-alternates: normal; font-variant-position: normal; font-variant-emoji: normal; line-height: 200%; margin-top: 0.11cm; margin-bottom: 0.11cm;" align="center"&gt; &lt;span style="color: #000000;"&gt;&amp;#160;&amp;#160; &lt;span style="font-family: &amp;quot;Times New Roman&amp;quot;, serif;"&gt;</w:t>
              <w:tab/>
              <w:t>&lt;span style="font-size: 14pt;"&gt;</w:t>
              <w:tab/>
              <w:t>&lt;span lang="pt-BR"&gt;</w:t>
            </w:r>
          </w:p>
          <w:p>
            <w:pPr>
              <w:pStyle w:val="TableParagraph"/>
              <w:tabs>
                <w:tab w:pos="5219" w:val="left" w:leader="none"/>
                <w:tab w:pos="6164" w:val="left" w:leader="none"/>
              </w:tabs>
              <w:spacing w:line="190" w:lineRule="exact" w:before="0"/>
              <w:rPr>
                <w:sz w:val="20"/>
              </w:rPr>
            </w:pPr>
            <w:r>
              <w:rPr>
                <w:sz w:val="20"/>
              </w:rPr>
              <w:t>&lt;strong&gt;JOSÉ KRENTEL FERREIRA FILHO&lt;/strong&gt;</w:t>
              <w:tab/>
              <w:t>&lt;/span&gt;</w:t>
              <w:tab/>
              <w:t>&lt;/span&gt;</w:t>
            </w:r>
          </w:p>
          <w:p>
            <w:pPr>
              <w:pStyle w:val="TableParagraph"/>
              <w:spacing w:line="208" w:lineRule="auto" w:before="7"/>
              <w:ind w:right="289"/>
              <w:rPr>
                <w:sz w:val="20"/>
              </w:rPr>
            </w:pPr>
            <w:r>
              <w:rPr>
                <w:sz w:val="20"/>
              </w:rPr>
              <w:t>&lt;/span&gt;&lt;/span&gt;&lt;/p&gt;&lt;p style="font-variant-numeric: normal; font-variant-east-asian: normal; font-variant-alternates: normal; font-variant-position: normal; font-variant-emoji: normal; line-height: 200%; margin-top: 0.11cm; margin-bottom: 0.11cm;" align="center"&gt;</w:t>
            </w:r>
          </w:p>
          <w:p>
            <w:pPr>
              <w:pStyle w:val="TableParagraph"/>
              <w:tabs>
                <w:tab w:pos="2328" w:val="left" w:leader="none"/>
                <w:tab w:pos="3033" w:val="left" w:leader="none"/>
                <w:tab w:pos="7257" w:val="left" w:leader="none"/>
              </w:tabs>
              <w:spacing w:line="208" w:lineRule="auto" w:before="0"/>
              <w:ind w:right="173"/>
              <w:rPr>
                <w:sz w:val="20"/>
              </w:rPr>
            </w:pPr>
            <w:r>
              <w:rPr>
                <w:sz w:val="20"/>
              </w:rPr>
              <w:t>&lt;span style="color: #000000;"&gt;</w:t>
              <w:tab/>
              <w:t>&lt;span style="font-family: &amp;quot;Times New Roman&amp;quot;, serif;"&gt;</w:t>
              <w:tab/>
              <w:t>&lt;span style="font-size: 14pt;"&gt;Relator&amp;#160;&lt;/span&gt;</w:t>
              <w:tab/>
            </w:r>
            <w:r>
              <w:rPr>
                <w:spacing w:val="-3"/>
                <w:sz w:val="20"/>
              </w:rPr>
              <w:t>&lt;/span&gt;</w:t>
            </w:r>
          </w:p>
          <w:p>
            <w:pPr>
              <w:pStyle w:val="TableParagraph"/>
              <w:tabs>
                <w:tab w:pos="2773" w:val="left" w:leader="none"/>
                <w:tab w:pos="3851" w:val="left" w:leader="none"/>
                <w:tab w:pos="5595" w:val="left" w:leader="none"/>
                <w:tab w:pos="6610" w:val="left" w:leader="none"/>
              </w:tabs>
              <w:spacing w:line="208" w:lineRule="auto" w:before="0"/>
              <w:ind w:right="62"/>
              <w:rPr>
                <w:sz w:val="20"/>
              </w:rPr>
            </w:pPr>
            <w:r>
              <w:rPr>
                <w:sz w:val="20"/>
              </w:rPr>
              <w:t>&lt;/span&gt;&lt;/p&gt;&lt;p style="line-height: 200%;" align="center"&gt; &lt;br /&gt; &lt;br /&gt;&lt;/p&gt;&lt;h3 class="western" style="line-height: 200%; text-align: center;"&gt;  &lt;strong&gt;</w:t>
              <w:tab/>
              <w:t>&lt;span style="font-family: &amp;quot;Times New Roman&amp;quot;, serif;"&gt;</w:t>
              <w:tab/>
              <w:t>&lt;span style="font-size: 14pt;"&gt;RELATÓRIO&lt;/span&gt;</w:t>
              <w:tab/>
              <w:t>&lt;/span&gt; &lt;/strong&gt;&lt;/h3&gt;&lt;p style="line-height: 200%;" align="justify"&gt;&lt;span style="font-family: &amp;quot;Times New Roman&amp;quot;, serif;"&gt; &lt;span style="font-size: 14pt;"&gt;Cuida-se de&lt;/span&gt;&lt;/span&gt; &lt;strong&gt; &lt;span style="font-family: &amp;quot;Times New Roman&amp;quot;, serif;"&gt;</w:t>
              <w:tab/>
              <w:t>&lt;span style="font-size: 14pt;"&gt;ação </w:t>
            </w:r>
            <w:r>
              <w:rPr>
                <w:spacing w:val="-2"/>
                <w:sz w:val="20"/>
              </w:rPr>
              <w:t>declaratória </w:t>
            </w:r>
            <w:r>
              <w:rPr>
                <w:sz w:val="20"/>
              </w:rPr>
              <w:t>de nulidade de contrato bancário c/c repetição de indébito e indenização por danos morais&lt;/span&gt; &lt;/span&gt;&lt;/strong&gt;&lt;span style="font-family: &amp;quot;Times New Roman&amp;quot;, serif;"&gt; &lt;span style="font-size: 14pt;"&gt;, proposta por&lt;/span&gt;&lt;/span&gt;</w:t>
            </w:r>
          </w:p>
          <w:p>
            <w:pPr>
              <w:pStyle w:val="TableParagraph"/>
              <w:tabs>
                <w:tab w:pos="6990" w:val="left" w:leader="none"/>
              </w:tabs>
              <w:spacing w:line="208" w:lineRule="auto" w:before="0"/>
              <w:ind w:right="272"/>
              <w:rPr>
                <w:sz w:val="20"/>
              </w:rPr>
            </w:pPr>
            <w:r>
              <w:rPr>
                <w:sz w:val="20"/>
              </w:rPr>
              <w:t>&lt;strong&gt;  &lt;span style="font-family: &amp;quot;Times New Roman&amp;quot;, serif;"&gt;</w:t>
              <w:tab/>
              <w:t>&lt;span style="font-size: 14pt;"&gt;Izailton Jorge de Alexandria&lt;/span&gt; &lt;/span&gt;&lt;/strong&gt;&lt;span style="font-family: &amp;quot;Times New Roman&amp;quot;, serif;"&gt; &lt;span style="font-size: 14pt;"&gt;em face do&lt;/span&gt;&lt;/span&gt; &lt;strong&gt; &lt;span style="font-family: &amp;quot;Times </w:t>
            </w:r>
            <w:r>
              <w:rPr>
                <w:spacing w:val="-6"/>
                <w:sz w:val="20"/>
              </w:rPr>
              <w:t>New</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217" w:val="left" w:leader="none"/>
              </w:tabs>
              <w:spacing w:line="215" w:lineRule="exact"/>
              <w:rPr>
                <w:sz w:val="20"/>
              </w:rPr>
            </w:pPr>
            <w:r>
              <w:rPr>
                <w:sz w:val="20"/>
              </w:rPr>
              <w:t>Roman&amp;quot;, serif;"&gt;</w:t>
              <w:tab/>
              <w:t>&lt;span style="font-size: 14pt;"&gt;Banco Pan S.A.&lt;/span&gt;</w:t>
            </w:r>
          </w:p>
          <w:p>
            <w:pPr>
              <w:pStyle w:val="TableParagraph"/>
              <w:spacing w:line="208" w:lineRule="auto" w:before="9"/>
              <w:ind w:right="55"/>
              <w:rPr>
                <w:sz w:val="20"/>
              </w:rPr>
            </w:pPr>
            <w:r>
              <w:rPr>
                <w:sz w:val="20"/>
              </w:rPr>
              <w:t>&lt;/span&gt;&lt;/strong&gt;&lt;span style="font-family: &amp;quot;Times New Roman&amp;quot;, serif;"&gt; &lt;span style="font-size: 14pt;"&gt;, perante a 23ª Vara Cível da Comarca de Fortaleza/CE.&lt;/span&gt;&lt;/span&gt;&lt;/p&gt;&lt;p style="line-height: 200%;" align="justify"&gt;&lt;span style="font-family: &amp;quot;Times New Roman&amp;quot;, serif;"&gt; &lt;span style="font-size: 14pt;"&gt;O autor alegou não ter firmado contrato de empréstimo consignado com a instituição financeira, embora estivesse sofrendo descontos em seu benefício previdenciário. A inicial foi instruída, dentre outros documentos, com&lt;/span&gt;&lt;/span&gt;</w:t>
            </w:r>
          </w:p>
          <w:p>
            <w:pPr>
              <w:pStyle w:val="TableParagraph"/>
              <w:tabs>
                <w:tab w:pos="2217" w:val="left" w:leader="none"/>
                <w:tab w:pos="6990" w:val="left" w:leader="none"/>
              </w:tabs>
              <w:spacing w:line="208" w:lineRule="auto" w:before="0"/>
              <w:ind w:right="19"/>
              <w:rPr>
                <w:sz w:val="20"/>
              </w:rPr>
            </w:pPr>
            <w:r>
              <w:rPr>
                <w:sz w:val="20"/>
              </w:rPr>
              <w:t>&lt;strong&gt;  &lt;span style="font-family: &amp;quot;Times New Roman&amp;quot;, serif;"&gt;</w:t>
              <w:tab/>
              <w:t>&lt;span style="font-size: 14pt;"&gt;extrato do sistema HISCON&lt;/span&gt; &lt;/span&gt;&lt;/strong&gt;&lt;span style="font-family: &amp;quot;Times New Roman&amp;quot;, serif;"&gt; &lt;span style="font-size: </w:t>
            </w:r>
            <w:r>
              <w:rPr>
                <w:spacing w:val="-3"/>
                <w:sz w:val="20"/>
              </w:rPr>
              <w:t>14pt;"&gt;, </w:t>
            </w:r>
            <w:r>
              <w:rPr>
                <w:sz w:val="20"/>
              </w:rPr>
              <w:t>no qual constava a identificação do contrato questionado.&lt;/span&gt;&lt;/span&gt;&lt;/p&gt;&lt;p style="line-height: 200%;" align="justify"&gt;&lt;span style="font-family: &amp;quot;Times New Roman&amp;quot;, serif;"&gt; &lt;span style="font-size: 14pt;"&gt;O Juízo de origem, entretanto, determinou a emenda da inicial, exigindo a juntada de extrato bancário contemporâneo ao início dos descontos e demonstrativo de que não teria recebido os valores do suposto mútuo, com fundamento no Tema 1198 do STJ. O autor informou a impossibilidade de acesso a tais documentos, reafirmando que não contratou os serviços. Não obstante, sobreveio&lt;/span&gt;&lt;/span&gt; &lt;strong&gt; &lt;span style="font-family: &amp;quot;Times New Roman&amp;quot;, serif;"&gt;</w:t>
              <w:tab/>
              <w:t>&lt;span style="font-size: 14pt;"&gt;sentença que indeferiu a petição inicial e extinguiu o processo sem resolução de mérito&lt;/span&gt; &lt;/span&gt;&lt;/strong&gt;&lt;span style="font-family: &amp;quot;Times New Roman&amp;quot;, serif;"&gt; &lt;span style="font-size: </w:t>
            </w:r>
            <w:r>
              <w:rPr>
                <w:spacing w:val="-3"/>
                <w:sz w:val="20"/>
              </w:rPr>
              <w:t>14pt;"&gt;, </w:t>
            </w:r>
            <w:r>
              <w:rPr>
                <w:sz w:val="20"/>
              </w:rPr>
              <w:t>nos termos dos arts. 321, parágrafo único, e 485, I, do CPC.&lt;/span&gt;&lt;/span&gt;&lt;/p&gt;&lt;p style="line-height: 200%;" align="justify"&gt;&lt;span style="font-family: &amp;quot;Times New Roman&amp;quot;, serif;"&gt; &lt;span style="font-size: 14pt;"&gt;Inconformado, o autor interpôs&lt;/span&gt;&lt;/span&gt; &lt;strong&gt; &lt;span style="font-family: &amp;quot;Times New Roman&amp;quot;, serif;"&gt;</w:t>
              <w:tab/>
              <w:t>&lt;span style="font-size: 14pt;"&gt;apelação&lt;/span&gt;</w:t>
            </w:r>
          </w:p>
          <w:p>
            <w:pPr>
              <w:pStyle w:val="TableParagraph"/>
              <w:spacing w:line="208" w:lineRule="auto" w:before="0"/>
              <w:ind w:right="55"/>
              <w:rPr>
                <w:sz w:val="20"/>
              </w:rPr>
            </w:pPr>
            <w:r>
              <w:rPr>
                <w:sz w:val="20"/>
              </w:rPr>
              <w:t>&lt;/span&gt;&lt;/strong&gt;&lt;span style="font-family: &amp;quot;Times New Roman&amp;quot;, serif;"&gt; &lt;span style="font-size: 14pt;"&gt;, sustentando que: (i) a inicial preenchia os requisitos dos arts. 319 e 320 do CPC, estando instruída com documentos suficientes, em especial o extrato HISCON; (ii) a exigência de extratos bancários configurou formalismo excessivo, podendo a prova ser produzida ao longo da instrução; (iii) aplica-se ao caso a&lt;/span&gt;&lt;/span&gt;</w:t>
            </w:r>
          </w:p>
          <w:p>
            <w:pPr>
              <w:pStyle w:val="TableParagraph"/>
              <w:tabs>
                <w:tab w:pos="4484" w:val="left" w:leader="none"/>
                <w:tab w:pos="6990" w:val="left" w:leader="none"/>
              </w:tabs>
              <w:spacing w:line="208" w:lineRule="auto" w:before="0"/>
              <w:ind w:right="97"/>
              <w:rPr>
                <w:sz w:val="20"/>
              </w:rPr>
            </w:pPr>
            <w:r>
              <w:rPr>
                <w:sz w:val="20"/>
              </w:rPr>
              <w:t>&lt;strong&gt;  &lt;span style="font-family: &amp;quot;Times New Roman&amp;quot;, serif;"&gt;</w:t>
              <w:tab/>
              <w:t>&lt;span style="font-size: 14pt;"&gt;teoria da asserção&lt;/span&gt; &lt;/span&gt;&lt;/strong&gt;&lt;span style="font- family: &amp;quot;Times New Roman&amp;quot;, serif;"&gt; &lt;span style="font-size: 14pt;"&gt;, de modo que as alegações do autor são suficientes para ensejar o processamento do feito; (iv) a prova da regularidade do contrato cabe ao banco, à luz do Tema 1061/STJ; e (v) a extinção do feito viola os princípios da primazia do julgamento de mérito, do acesso à justiça e do devido processo legal.&lt;/span&gt;&lt;/span&gt;&lt;/p&gt;&lt;p style="line-height: 200%;" align="justify"&gt;&lt;span style="font-family: &amp;quot;Times New Roman&amp;quot;, serif;"&gt; &lt;span style="font-size: 14pt;"&gt;Foram apresentadas&lt;/span&gt;&lt;/span&gt; &lt;strong&gt; &lt;span style="font- family: &amp;quot;Times New Roman&amp;quot;, serif;"&gt;</w:t>
              <w:tab/>
              <w:t>&lt;span style="font-size: 14pt;"&gt;contrarrazões pelo Banco Pan S.A.&lt;/span&gt; &lt;/span&gt;&lt;/strong&gt;&lt;span style="font- family: &amp;quot;Times New Roman&amp;quot;, serif;"&gt; &lt;span style="font-size: 14pt;"&gt;, que arguiu: (i) a necessidade de regularização da representação processual da parte autora, diante da suspensão cautelar do advogado subscritor da demanda; (ii) a invalidade da procuração genérica, sem especificação para a demanda; (iii) a ausência de comprovante de residência atualizado; (iv) a inobservância do princípio da dialeticidade, por suposta generalidade das razões recursais; e (v) a legitimidade da sentença extintiva, em razão </w:t>
            </w:r>
            <w:r>
              <w:rPr>
                <w:spacing w:val="-9"/>
                <w:sz w:val="20"/>
              </w:rPr>
              <w:t>do </w:t>
            </w:r>
            <w:r>
              <w:rPr>
                <w:sz w:val="20"/>
              </w:rPr>
              <w:t>não atendimento à determinação de emenda.&lt;/span&gt;&lt;/span&gt;&lt;/p&gt;&lt;p style="line-height: 200%;" align="justify"&gt;&lt;span style="font-family: &amp;quot;Times New Roman&amp;quot;, serif;"&gt;</w:t>
            </w:r>
          </w:p>
          <w:p>
            <w:pPr>
              <w:pStyle w:val="TableParagraph"/>
              <w:tabs>
                <w:tab w:pos="883" w:val="left" w:leader="none"/>
              </w:tabs>
              <w:spacing w:line="208" w:lineRule="auto" w:before="0"/>
              <w:ind w:right="459"/>
              <w:rPr>
                <w:sz w:val="20"/>
              </w:rPr>
            </w:pPr>
            <w:r>
              <w:rPr>
                <w:sz w:val="20"/>
              </w:rPr>
              <w:t>&lt;span style="font-size: 14pt;"&gt;Remetidos os autos à Procuradoria-Geral de Justiça, a&lt;/span&gt;&lt;/span&gt; &lt;strong&gt; &lt;span style="font-family: &amp;quot;Times New </w:t>
            </w:r>
            <w:r>
              <w:rPr>
                <w:spacing w:val="-2"/>
                <w:sz w:val="20"/>
              </w:rPr>
              <w:t>Roman&amp;quot;, </w:t>
            </w:r>
            <w:r>
              <w:rPr>
                <w:sz w:val="20"/>
              </w:rPr>
              <w:t>serif;"&gt;</w:t>
              <w:tab/>
              <w:t>&lt;span style="font-size: 14pt;"&gt;51ª Procuradoria de Justiça&lt;/span&gt;</w:t>
            </w:r>
          </w:p>
          <w:p>
            <w:pPr>
              <w:pStyle w:val="TableParagraph"/>
              <w:tabs>
                <w:tab w:pos="4484" w:val="left" w:leader="none"/>
              </w:tabs>
              <w:spacing w:line="208" w:lineRule="auto" w:before="0"/>
              <w:ind w:right="55"/>
              <w:rPr>
                <w:sz w:val="20"/>
              </w:rPr>
            </w:pPr>
            <w:r>
              <w:rPr>
                <w:sz w:val="20"/>
              </w:rPr>
              <w:t>&lt;/span&gt;&lt;/strong&gt;&lt;span style="font-family: &amp;quot;Times New Roman&amp;quot;, serif;"&gt; </w:t>
            </w:r>
            <w:r>
              <w:rPr>
                <w:spacing w:val="-4"/>
                <w:sz w:val="20"/>
              </w:rPr>
              <w:t>&lt;span </w:t>
            </w:r>
            <w:r>
              <w:rPr>
                <w:sz w:val="20"/>
              </w:rPr>
              <w:t>style="font-size: 14pt;"&gt;manifestou-se pelo&lt;/span&gt;&lt;/span&gt; &lt;strong&gt; &lt;span style="font- family: &amp;quot;Times New Roman&amp;quot;, serif;"&gt;</w:t>
              <w:tab/>
              <w:t>&lt;span style="font-size: 14pt;"&gt;conhecimento e provimento do recurso&lt;/span&gt; &lt;/span&gt;&lt;/strong&gt;&lt;span</w:t>
            </w:r>
          </w:p>
          <w:p>
            <w:pPr>
              <w:pStyle w:val="TableParagraph"/>
              <w:tabs>
                <w:tab w:pos="994" w:val="left" w:leader="none"/>
                <w:tab w:pos="2427" w:val="left" w:leader="none"/>
                <w:tab w:pos="4143" w:val="left" w:leader="none"/>
                <w:tab w:pos="6678" w:val="left" w:leader="none"/>
                <w:tab w:pos="7510" w:val="left" w:leader="none"/>
              </w:tabs>
              <w:spacing w:line="208" w:lineRule="auto" w:before="0"/>
              <w:ind w:right="19"/>
              <w:rPr>
                <w:sz w:val="20"/>
              </w:rPr>
            </w:pPr>
            <w:r>
              <w:rPr>
                <w:sz w:val="20"/>
              </w:rPr>
              <w:t>style="font-family: &amp;quot;Times New Roman&amp;quot;, serif;"&gt; &lt;span style="font-size: </w:t>
            </w:r>
            <w:r>
              <w:rPr>
                <w:spacing w:val="-3"/>
                <w:sz w:val="20"/>
              </w:rPr>
              <w:t>14pt;"&gt;, </w:t>
            </w:r>
            <w:r>
              <w:rPr>
                <w:sz w:val="20"/>
              </w:rPr>
              <w:t>reconhecendo que a petição inicial estava devidamente instruída com documentos essenciais e que a exigência de extratos bancários não se enquadrava como requisito indispensável à propositura da ação. Ressaltou a necessidade de prosseguimento do feito para regular instrução probatória, em atenção aos princípios da primazia do julgamento de mérito e do acesso à justiça.&lt;/span&gt;&lt;/span&gt;&lt;/p&gt;&lt;p style="line-height: 200%;" align="justify"&gt;  &lt;span style="font-family: &amp;quot;Times New Roman&amp;quot;, serif;"&gt;</w:t>
              <w:tab/>
              <w:t>&lt;span style="font-size: 14pt;"&gt;É o relatório.&lt;/span&gt; &lt;/span&gt;&lt;/p&gt;&lt;p style="font-variant-numeric: normal; font-variant-east-asian: normal; font-variant-alternates: normal; font-variant- position: normal; font-variant-emoji: normal; line-height: 200%;" align="center"&gt; &lt;span style="color: #000000;"&gt;</w:t>
              <w:tab/>
              <w:t>&lt;span style="font-family: &amp;quot;Times New Roman&amp;quot;, serif;"&gt;</w:t>
              <w:tab/>
              <w:t>&lt;span style="font-size: 14pt;"&gt;</w:t>
              <w:tab/>
              <w:t>&lt;strong&gt;VOTO&lt;/strong&gt;</w:t>
              <w:tab/>
              <w: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333"/>
              <w:rPr>
                <w:sz w:val="20"/>
              </w:rPr>
            </w:pPr>
            <w:r>
              <w:rPr>
                <w:sz w:val="20"/>
              </w:rPr>
              <w:t>&lt;/span&gt; &lt;/span&gt;&lt;/p&gt;&lt;p style="font-variant-numeric: normal; font-variant-east-asian: normal; font-variant-alternates: normal; font-variant-position: normal; font-variant-emoji: normal; line-height: 200%; margin-top: 0.11cm; margin-bottom: 0.11cm;" align="justify"&gt;</w:t>
            </w:r>
          </w:p>
          <w:p>
            <w:pPr>
              <w:pStyle w:val="TableParagraph"/>
              <w:tabs>
                <w:tab w:pos="994" w:val="left" w:leader="none"/>
                <w:tab w:pos="2427" w:val="left" w:leader="none"/>
              </w:tabs>
              <w:spacing w:line="208" w:lineRule="auto" w:before="0"/>
              <w:ind w:right="293"/>
              <w:rPr>
                <w:sz w:val="20"/>
              </w:rPr>
            </w:pPr>
            <w:r>
              <w:rPr>
                <w:sz w:val="20"/>
              </w:rPr>
              <w:t>&lt;br /&gt; &lt;br /&gt;&lt;/p&gt;&lt;p style="font-variant-numeric: normal; font-variant-east-asian: </w:t>
            </w:r>
            <w:r>
              <w:rPr>
                <w:spacing w:val="-3"/>
                <w:sz w:val="20"/>
              </w:rPr>
              <w:t>normal; </w:t>
            </w:r>
            <w:r>
              <w:rPr>
                <w:sz w:val="20"/>
              </w:rPr>
              <w:t>font-variant-alternates: normal; font-variant-position: normal; font-variant-emoji: normal; line-height: 200%; margin-top: 0.11cm; margin-bottom: 0.11cm;" align="justify"&gt; &lt;span style="color: #000000;"&gt;</w:t>
              <w:tab/>
              <w:t>&lt;span style="font-family: &amp;quot;Times New Roman&amp;quot;, serif;"&gt;</w:t>
              <w:tab/>
              <w:t>&lt;span style="font-size: 14pt;"&gt;</w:t>
            </w:r>
          </w:p>
          <w:p>
            <w:pPr>
              <w:pStyle w:val="TableParagraph"/>
              <w:tabs>
                <w:tab w:pos="4375" w:val="left" w:leader="none"/>
                <w:tab w:pos="5320" w:val="left" w:leader="none"/>
              </w:tabs>
              <w:spacing w:line="208" w:lineRule="auto" w:before="0"/>
              <w:ind w:right="77"/>
              <w:rPr>
                <w:sz w:val="20"/>
              </w:rPr>
            </w:pPr>
            <w:r>
              <w:rPr>
                <w:sz w:val="20"/>
              </w:rPr>
              <w:t>&lt;strong&gt;ADMISSIBILIDADE&amp;#160;&lt;/strong&gt;</w:t>
              <w:tab/>
              <w:t>&lt;/span&gt;</w:t>
              <w:tab/>
              <w:t>&lt;/span&gt; &lt;/span&gt;&lt;/p&gt;&lt;p style="font-variant-numeric: normal; font-variant-east-asian: normal; font-variant-alternates: normal; font-variant-position: normal; font-variant-emoji: normal; line-height: 200%; margin- top: 0.11cm; margin-bottom: 0.11cm;" align="justify"&gt;&lt;span style="color: #000000;"&gt;</w:t>
            </w:r>
          </w:p>
          <w:p>
            <w:pPr>
              <w:pStyle w:val="TableParagraph"/>
              <w:tabs>
                <w:tab w:pos="894" w:val="left" w:leader="none"/>
                <w:tab w:pos="2296" w:val="left" w:leader="none"/>
                <w:tab w:pos="6090" w:val="left" w:leader="none"/>
              </w:tabs>
              <w:spacing w:line="208" w:lineRule="auto" w:before="0"/>
              <w:ind w:right="46"/>
              <w:rPr>
                <w:sz w:val="20"/>
              </w:rPr>
            </w:pPr>
            <w:r>
              <w:rPr>
                <w:sz w:val="20"/>
              </w:rPr>
              <w:t>&lt;span style="font-family: &amp;quot;Times New Roman&amp;quot;, serif;"&gt;</w:t>
              <w:tab/>
              <w:t>&lt;span style="font-size: 14pt;"&gt;</w:t>
              <w:tab/>
              <w:t>&lt;em&gt;Ab initio,&lt;/em&gt; observo que estão presentes os requisitos legais de admissibilidade recursal estabelecidos no Código de Processo Civil. Considerando os ditames dos artigos 214, 219 e 1.003, § 5º, do CPC, a presente Apelação Cível é tempestiva. Ademais, o instrumento processual adequado para a insurgência em face da sentença é exatamente a Apelação (art. 1.009, do CPC), de modo que se tem por cabível o presente recurso. Por fim, também se encontram presentes a legitimidade, o interesse e a inexistência de fato impeditivo ou extintivo do direito de recorrer, bem como os demais requisitos formais de admissibilidade, em consonância com os artigos 1.010 da legislação supra, razão pela qual</w:t>
              <w:tab/>
              <w:t>&lt;strong&gt;CONHEÇO DO PRESENTE APELO&lt;/strong&gt;.&lt;/span&gt;</w:t>
            </w:r>
          </w:p>
          <w:p>
            <w:pPr>
              <w:pStyle w:val="TableParagraph"/>
              <w:tabs>
                <w:tab w:pos="883" w:val="left" w:leader="none"/>
                <w:tab w:pos="1005" w:val="left" w:leader="none"/>
                <w:tab w:pos="2217" w:val="left" w:leader="none"/>
                <w:tab w:pos="3995" w:val="left" w:leader="none"/>
                <w:tab w:pos="5483" w:val="left" w:leader="none"/>
              </w:tabs>
              <w:spacing w:line="208" w:lineRule="auto" w:before="0"/>
              <w:ind w:right="151"/>
              <w:rPr>
                <w:sz w:val="20"/>
              </w:rPr>
            </w:pPr>
            <w:r>
              <w:rPr>
                <w:sz w:val="20"/>
              </w:rPr>
              <w:t>&lt;/span&gt;&lt;/span&gt;&amp;#160;&amp;#160;&lt;/p&gt;&lt;p style="line-height: 200%;" align="justify"&gt; &lt;span style="font-family: &amp;quot;Times New Roman&amp;quot;, serif;"&gt;</w:t>
              <w:tab/>
              <w:t>&lt;span style="font-size: 14pt;"&gt;</w:t>
              <w:tab/>
              <w:tab/>
              <w:t>&lt;strong&gt;DO MÉRITO&lt;/strong&gt;</w:t>
              <w:tab/>
              <w:t>&lt;/span&gt; &lt;/span&gt;&lt;/p&gt;&lt;p style="line-height: 200%;" align="justify"&gt; &lt;span style="font-size: 14pt; font-family: &amp;quot;Times New Roman&amp;quot;, serif;"&gt;A sentença apelada considerou imprescindível a juntada dos referidos extratos bancários, interpretando-os como documentos indispensáveis à propositura da ação (art. 320 do CPC), reputando inerte a parte autora ao não cumprir a ordem de emenda.&lt;/span&gt;&lt;/p&gt;&lt;p style="line-height: 200%;" align="justify"&gt;&lt;span style="font-family: &amp;quot;Times New Roman&amp;quot;, serif;"&gt; &lt;span style="font-size: 14pt;"&gt;Todavia, a&lt;/span&gt;&lt;/span&gt; &lt;strong&gt; &lt;span style="font-family: &amp;quot;Times New Roman&amp;quot;, serif;"&gt;</w:t>
              <w:tab/>
              <w:t>&lt;span style="font-size: 14pt;"&gt;decisão de indeferimento não se sustenta&lt;/span&gt; &lt;/span&gt;&lt;/strong&gt;&lt;span style="font-family: &amp;quot;Times New Roman&amp;quot;, serif;"&gt; &lt;span style="font-size: 14pt;"&gt;, à luz da correta interpretação do art. 320 do CPC e dos princípios que regem o processo civil contemporâneo, em especial os&lt;/span&gt;&lt;/span&gt; &lt;strong&gt; &lt;span style="font-family: &amp;quot;Times New Roman&amp;quot;, serif;"&gt;</w:t>
              <w:tab/>
              <w:t>&lt;span style="font-size: 14pt;"&gt;princípios da primazia do julgamento de mérito&lt;/span&gt; &lt;/span&gt;&lt;/strong&gt;&lt;span style="font-family: &amp;quot;Times New Roman&amp;quot;, serif;"&gt; &lt;span style="font-size: 14pt;"&gt;,&lt;/span&gt;&lt;/span&gt; &lt;strong&gt; &lt;span style="font-family: &amp;quot;Times New Roman&amp;quot;, serif;"&gt;</w:t>
              <w:tab/>
              <w:t>&lt;span style="font-size: 14pt;"&gt;do acesso à justiça&lt;/span&gt; &lt;/span&gt;&lt;/strong&gt;&lt;span style="font-family: &amp;quot;Times New Roman&amp;quot;, serif;"&gt;  &lt;span style="font-size:</w:t>
            </w:r>
            <w:r>
              <w:rPr>
                <w:spacing w:val="-19"/>
                <w:sz w:val="20"/>
              </w:rPr>
              <w:t> </w:t>
            </w:r>
            <w:r>
              <w:rPr>
                <w:sz w:val="20"/>
              </w:rPr>
              <w:t>14pt;"&gt;e&lt;/span&gt;&lt;/span&gt;</w:t>
            </w:r>
          </w:p>
          <w:p>
            <w:pPr>
              <w:pStyle w:val="TableParagraph"/>
              <w:tabs>
                <w:tab w:pos="883" w:val="left" w:leader="none"/>
                <w:tab w:pos="6990" w:val="left" w:leader="none"/>
              </w:tabs>
              <w:spacing w:line="208" w:lineRule="auto" w:before="0"/>
              <w:ind w:right="105"/>
              <w:rPr>
                <w:sz w:val="20"/>
              </w:rPr>
            </w:pPr>
            <w:r>
              <w:rPr>
                <w:sz w:val="20"/>
              </w:rPr>
              <w:t>&lt;strong&gt;  &lt;span style="font-family: &amp;quot;Times New Roman&amp;quot;, serif;"&gt;</w:t>
              <w:tab/>
              <w:t>&lt;span style="font-size: 14pt;"&gt;da cooperação&lt;/span&gt; &lt;/span&gt;&lt;/strong&gt;&lt;span style="font-family: &amp;quot;Times New Roman&amp;quot;, serif;"&gt; &lt;span style="font-size: 14pt;"&gt;(arts. 4º, 6º e </w:t>
            </w:r>
            <w:r>
              <w:rPr>
                <w:spacing w:val="-5"/>
                <w:sz w:val="20"/>
              </w:rPr>
              <w:t>139, </w:t>
            </w:r>
            <w:r>
              <w:rPr>
                <w:sz w:val="20"/>
              </w:rPr>
              <w:t>IX, CPC).&lt;/span&gt;&lt;/span&gt;&lt;/p&gt;&lt;p style="line-height: 200%;" align="justify"&gt;&lt;span style="font-family: &amp;quot;Times New Roman&amp;quot;, serif;"&gt; &lt;span style="font-size: 14pt;"&gt;A petição inicial está devidamente instruída com elementos capazes de&lt;/span&gt;&lt;/span&gt; &lt;strong&gt; &lt;span style="font-family: &amp;quot;Times New Roman&amp;quot;, serif;"&gt;</w:t>
              <w:tab/>
              <w:t>&lt;span style="font-size: 14pt;"&gt;individualizar o contrato impugnado&lt;/span&gt;</w:t>
            </w:r>
          </w:p>
          <w:p>
            <w:pPr>
              <w:pStyle w:val="TableParagraph"/>
              <w:tabs>
                <w:tab w:pos="4484" w:val="left" w:leader="none"/>
              </w:tabs>
              <w:spacing w:line="208" w:lineRule="auto" w:before="0"/>
              <w:ind w:right="19"/>
              <w:rPr>
                <w:sz w:val="20"/>
              </w:rPr>
            </w:pPr>
            <w:r>
              <w:rPr>
                <w:sz w:val="20"/>
              </w:rPr>
              <w:t>&lt;/span&gt;&lt;/strong&gt;&lt;span style="font-family: &amp;quot;Times New Roman&amp;quot;, serif;"&gt; &lt;span style="font-size: 14pt;"&gt;, notadamente o&lt;/span&gt;&lt;/span&gt; &lt;strong&gt; &lt;span style="font- family: &amp;quot;Times New Roman&amp;quot;, serif;"&gt;</w:t>
              <w:tab/>
              <w:t>&lt;span style="font-size: 14pt;"&gt;extrato do sistema HISCON&lt;/span&gt; &lt;/span&gt;&lt;/strong&gt;&lt;span style="font-family: &amp;quot;Times New Roman&amp;quot;, serif;"&gt;  &lt;span style="font-size: 14pt;"&gt;, no qual consta o número do contrato de empréstimo e os valores descontados, o que permite à instituição financeira exercer contraditório e à jurisdição identificar com precisão o objeto litigioso.&lt;/span&gt;&lt;/span&gt;&lt;/p&gt;&lt;p style="line-height: 200%;" align="justify"&gt;&lt;span </w:t>
            </w:r>
            <w:r>
              <w:rPr>
                <w:spacing w:val="-2"/>
                <w:sz w:val="20"/>
              </w:rPr>
              <w:t>style="font- </w:t>
            </w:r>
            <w:r>
              <w:rPr>
                <w:sz w:val="20"/>
              </w:rPr>
              <w:t>family: &amp;quot;Times New Roman&amp;quot;, serif;"&gt; &lt;span style="font-size: 14pt;"&gt;N&lt;/span&gt;&lt;/span&gt;&lt;span style="font-family: &amp;quot;Times New Roman&amp;quot;, serif;"&gt;</w:t>
            </w:r>
          </w:p>
          <w:p>
            <w:pPr>
              <w:pStyle w:val="TableParagraph"/>
              <w:tabs>
                <w:tab w:pos="2217" w:val="left" w:leader="none"/>
              </w:tabs>
              <w:spacing w:line="208" w:lineRule="auto" w:before="0"/>
              <w:ind w:right="28"/>
              <w:rPr>
                <w:sz w:val="20"/>
              </w:rPr>
            </w:pPr>
            <w:r>
              <w:rPr>
                <w:sz w:val="20"/>
              </w:rPr>
              <w:t>&lt;span style="font-size: 14pt;"&gt;esse&lt;/span&gt;&lt;/span&gt; &lt;span style="font-family: &amp;quot;Times New Roman&amp;quot;, serif;"&gt; &lt;span style="font-size: 14pt;"&gt;sentido, o Superior Tribunal de Justiça entende que&lt;/span&gt;&lt;/span&gt; &lt;strong&gt; &lt;span style="font-family: &amp;quot;Times New Roman&amp;quot;, serif;"&gt;</w:t>
              <w:tab/>
              <w:t>&lt;span style="font-size: 14pt;"&gt;documentos exigidos para instrução do mérito&lt;/span&gt; &lt;/span&gt;&lt;/strong&gt;&lt;span style="font-family: &amp;quot;Times New Roman&amp;quot;, serif;"&gt; &lt;span style="font-size: 14pt;"&gt;não devem ser confundidos com aqueles&lt;/span&gt;&lt;/span&gt; &lt;strong&gt; &lt;span style="font-family: &amp;quot;Times New Roman&amp;quot;, serif;"&gt;</w:t>
              <w:tab/>
              <w:t>&lt;span style="font-size: 14pt;"&gt;indispensáveis à propositura da ação&lt;/span&gt; &lt;/span&gt;&lt;/strong&gt;&lt;span style="font-family: &amp;quot;Times New Roman&amp;quot;,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2217" w:val="left" w:leader="none"/>
              </w:tabs>
              <w:spacing w:line="208" w:lineRule="auto" w:before="26"/>
              <w:ind w:right="180"/>
              <w:rPr>
                <w:sz w:val="20"/>
              </w:rPr>
            </w:pPr>
            <w:r>
              <w:rPr>
                <w:sz w:val="20"/>
              </w:rPr>
              <w:t>serif;"&gt; &lt;span style="font-size: 14pt;"&gt;, cuja ausência justifique o indeferimento da </w:t>
            </w:r>
            <w:r>
              <w:rPr>
                <w:spacing w:val="-3"/>
                <w:sz w:val="20"/>
              </w:rPr>
              <w:t>inicial. </w:t>
            </w:r>
            <w:r>
              <w:rPr>
                <w:sz w:val="20"/>
              </w:rPr>
              <w:t>Nesse contexto, o&lt;/span&gt;&lt;/span&gt; &lt;strong&gt; &lt;span style="font-family: &amp;quot;Times New Roman&amp;quot;, serif;"&gt;</w:t>
              <w:tab/>
              <w:t>&lt;span style="font-size: 14pt;"&gt;Tema 1061/STJ&lt;/span&gt;</w:t>
            </w:r>
          </w:p>
          <w:p>
            <w:pPr>
              <w:pStyle w:val="TableParagraph"/>
              <w:tabs>
                <w:tab w:pos="3851" w:val="left" w:leader="none"/>
              </w:tabs>
              <w:spacing w:line="208" w:lineRule="auto" w:before="0"/>
              <w:ind w:right="51"/>
              <w:rPr>
                <w:sz w:val="20"/>
              </w:rPr>
            </w:pPr>
            <w:r>
              <w:rPr>
                <w:sz w:val="20"/>
              </w:rPr>
              <w:t>&lt;/span&gt;&lt;/strong&gt;&lt;span style="font-family: &amp;quot;Times New Roman&amp;quot;, serif;"&gt; </w:t>
            </w:r>
            <w:r>
              <w:rPr>
                <w:spacing w:val="-3"/>
                <w:sz w:val="20"/>
              </w:rPr>
              <w:t>&lt;span </w:t>
            </w:r>
            <w:r>
              <w:rPr>
                <w:sz w:val="20"/>
              </w:rPr>
              <w:t>style="font-size: 14pt;"&gt;reconhece que&lt;/span&gt;&lt;/span&gt; &lt;strong&gt; &lt;span style="font-family: &amp;quot;Times New Roman&amp;quot;, serif;"&gt;</w:t>
              <w:tab/>
              <w:t>&lt;span style="font-size: 14pt;"&gt;cabe à instituição financeira comprovar a autenticidade do contrato&lt;/span&gt; &lt;/span&gt;&lt;/strong&gt;&lt;span style="font-family: &amp;quot;Times New Roman&amp;quot;, serif;"&gt; &lt;span style="font-size: 14pt;"&gt;nos casos de impugnação de assinatura.&lt;/span&gt;&lt;/span&gt;&lt;/p&gt;&lt;p style="line-height: 200%;" align="justify"&gt; &lt;span style="font-family: &amp;quot;Times New Roman&amp;quot;, serif;"&gt;</w:t>
            </w:r>
          </w:p>
          <w:p>
            <w:pPr>
              <w:pStyle w:val="TableParagraph"/>
              <w:tabs>
                <w:tab w:pos="7510" w:val="left" w:leader="none"/>
              </w:tabs>
              <w:spacing w:line="208" w:lineRule="auto" w:before="0"/>
              <w:ind w:right="91"/>
              <w:rPr>
                <w:sz w:val="20"/>
              </w:rPr>
            </w:pPr>
            <w:r>
              <w:rPr>
                <w:sz w:val="20"/>
              </w:rPr>
              <w:t>&lt;span style="font-size: 14pt;"&gt;Assim tem decidido esta corte:&lt;/span&gt; &lt;/span&gt;&lt;/p&gt;&lt;p style="line-height: 200%; margin-left: 7cm; margin-right: 2.1cm; background: transparent;" align="justify"&gt;  &lt;span style="font-family: &amp;quot;Times New Roman&amp;quot;, serif;"&gt;</w:t>
              <w:tab/>
            </w:r>
            <w:r>
              <w:rPr>
                <w:spacing w:val="-4"/>
                <w:sz w:val="20"/>
              </w:rPr>
              <w:t>&lt;span </w:t>
            </w:r>
            <w:r>
              <w:rPr>
                <w:sz w:val="20"/>
              </w:rPr>
              <w:t>style="font-size: 14pt;"&gt;DIREITO PROCESSUAL CIVIL. APELAÇÃO CÍVEL. AÇÃO DECLARATÓRIA DE INEXISTÊNCIA DE DÉBITO C/C DANOS MATERIAIS E MORAIS. EMPRÉSTIMO CONSIGNADO. PRELIMINARES DE AUSÊNCIA DE DIALETICIDADE E</w:t>
            </w:r>
          </w:p>
          <w:p>
            <w:pPr>
              <w:pStyle w:val="TableParagraph"/>
              <w:tabs>
                <w:tab w:pos="4251" w:val="left" w:leader="none"/>
              </w:tabs>
              <w:spacing w:line="190" w:lineRule="exact" w:before="0"/>
              <w:rPr>
                <w:sz w:val="20"/>
              </w:rPr>
            </w:pPr>
            <w:r>
              <w:rPr>
                <w:sz w:val="20"/>
              </w:rPr>
              <w:t>DE INOVAÇÃO RECURSAL. REJEITADAS.</w:t>
              <w:tab/>
              <w:t>&lt;span style="text-decoration: underline;"&gt;</w:t>
            </w:r>
          </w:p>
          <w:p>
            <w:pPr>
              <w:pStyle w:val="TableParagraph"/>
              <w:spacing w:line="208" w:lineRule="auto" w:before="9"/>
              <w:rPr>
                <w:sz w:val="20"/>
              </w:rPr>
            </w:pPr>
            <w:r>
              <w:rPr>
                <w:sz w:val="20"/>
              </w:rPr>
              <w:t>&lt;strong&gt;FEITO EXTINTO SEM RESOLUÇÃO DE MÉRITO POR INDEFERIMENTO DA INICIAL. AUSÊNCIA DE DOCUMENTOS INDISPENSÁVEIS À PROPOSITURA DA</w:t>
            </w:r>
            <w:r>
              <w:rPr>
                <w:spacing w:val="2"/>
                <w:sz w:val="20"/>
              </w:rPr>
              <w:t> </w:t>
            </w:r>
            <w:r>
              <w:rPr>
                <w:spacing w:val="-5"/>
                <w:sz w:val="20"/>
              </w:rPr>
              <w:t>AÇÃO</w:t>
            </w:r>
          </w:p>
          <w:p>
            <w:pPr>
              <w:pStyle w:val="TableParagraph"/>
              <w:tabs>
                <w:tab w:pos="2685" w:val="left" w:leader="none"/>
              </w:tabs>
              <w:spacing w:line="208" w:lineRule="auto" w:before="0"/>
              <w:ind w:right="21"/>
              <w:rPr>
                <w:sz w:val="20"/>
              </w:rPr>
            </w:pPr>
            <w:r>
              <w:rPr>
                <w:sz w:val="20"/>
              </w:rPr>
              <w:t>. NÃO OCORRÊNCIA. OFENSA AO PRINCÍPIO DO ACESSO À JUSTIÇA E DO DEVIDO PROCESSO LEGAL. PRINCÍPIO DA INAFASTABILIDADE DA TUTELA JURISDICIONAL.&lt;/strong&gt;</w:t>
              <w:tab/>
              <w:t>&lt;/span&gt; IMPOSSIBILIDADE DE JULGAMENTO DE</w:t>
            </w:r>
            <w:r>
              <w:rPr>
                <w:spacing w:val="1"/>
                <w:sz w:val="20"/>
              </w:rPr>
              <w:t> </w:t>
            </w:r>
            <w:r>
              <w:rPr>
                <w:spacing w:val="-3"/>
                <w:sz w:val="20"/>
              </w:rPr>
              <w:t>MÉRITO</w:t>
            </w:r>
          </w:p>
          <w:p>
            <w:pPr>
              <w:pStyle w:val="TableParagraph"/>
              <w:spacing w:line="190" w:lineRule="exact" w:before="0"/>
              <w:rPr>
                <w:sz w:val="20"/>
              </w:rPr>
            </w:pPr>
            <w:r>
              <w:rPr>
                <w:sz w:val="20"/>
              </w:rPr>
              <w:t>. RECURSO CONHECIDO E PARCIALMENTE PROVIDO. SENTENÇA ANULADA.</w:t>
            </w:r>
          </w:p>
          <w:p>
            <w:pPr>
              <w:pStyle w:val="TableParagraph"/>
              <w:spacing w:line="208" w:lineRule="auto" w:before="9"/>
              <w:ind w:right="79"/>
              <w:rPr>
                <w:sz w:val="20"/>
              </w:rPr>
            </w:pPr>
            <w:r>
              <w:rPr>
                <w:sz w:val="20"/>
              </w:rPr>
              <w:t>RETORNO DOS AUTOS À ORIGEM. 01 . No caso em análise, depreende-se que o d. Juízo de origem extinguiu o feito, sem resolução de mérito, com fulcro no art. 485, inciso I, do CPC. 02 . O cerne controvertido da questão cinge-se em examinar o acerto, ou o desacerto, da sentença que extinguiu a ação por inépcia da inicial, sob o fundamento de que a autora não juntou extratos bancários e outros documentos considerados indispensáveis à propositura do processo, bem como não compareceu à secretaria da Vara. 03. De início, cumpre afastar a preliminar de ausência de dialeticidade, uma vez </w:t>
            </w:r>
            <w:r>
              <w:rPr>
                <w:spacing w:val="-6"/>
                <w:sz w:val="20"/>
              </w:rPr>
              <w:t>que </w:t>
            </w:r>
            <w:r>
              <w:rPr>
                <w:sz w:val="20"/>
              </w:rPr>
              <w:t>o recurso em questão impugnou os fundamentos da sentença, portanto, não há falar em malferimento à dialeticidade recursal ou inovação recursal. PRELIMINARES REJEITADA </w:t>
            </w:r>
            <w:r>
              <w:rPr>
                <w:spacing w:val="-17"/>
                <w:sz w:val="20"/>
              </w:rPr>
              <w:t>.</w:t>
            </w:r>
          </w:p>
          <w:p>
            <w:pPr>
              <w:pStyle w:val="TableParagraph"/>
              <w:tabs>
                <w:tab w:pos="883" w:val="left" w:leader="none"/>
                <w:tab w:pos="1795" w:val="left" w:leader="none"/>
                <w:tab w:pos="2063" w:val="left" w:leader="none"/>
                <w:tab w:pos="2484" w:val="left" w:leader="none"/>
                <w:tab w:pos="5631" w:val="left" w:leader="none"/>
                <w:tab w:pos="5834" w:val="left" w:leader="none"/>
              </w:tabs>
              <w:spacing w:line="208" w:lineRule="auto" w:before="0"/>
              <w:ind w:right="21"/>
              <w:rPr>
                <w:sz w:val="20"/>
              </w:rPr>
            </w:pPr>
            <w:r>
              <w:rPr>
                <w:sz w:val="20"/>
              </w:rPr>
              <w:t>05. Compulsando os autos, verifico que a autora/recorrente, quando do ingresso da ação, ofertou a seguinte documentação: procuração (fl. 11); documentos de identificação (fl. 12) comprovante de residência (fl . 13); extrato de empréstimo consignado junto ao INSS (fls. 14/20); requerimento administrativo em que pleiteou as cópias dos contratos de empréstimos consignado pela via administrativa (fls. 22/23).</w:t>
              <w:tab/>
              <w:t>&lt;span style="text- decoration: underline;"&gt;</w:t>
              <w:tab/>
              <w:t>&lt;strong&gt;05 . Assim, o indeferimento da inicial, tal qual como proclamado pela sentença, traduziu-se em patente formalismo exacerbado, sendo vedado ao julgador obstar o acesso à justiça, como aconteceu no caso presente, tendo em vista que o promovente cumpriu todas as formalidades legais exigidas pelo art. 319 do CPC, bem como instruiu a inicial com o mínimo de prova dos fatos constitutivos de seu direito (art. 320, CPC), não sendo possível, assim, o indeferimento da exordial, sob pena de ofensa aos princípios do acesso à justiça e da primazia da resolução do mérito. 06 . Nesta senda, o Tribunal da Cidadania assevera que "os documentos indispensáveis à propositura da ação, e que devem ser instruídos com a inicial, são aqueles que comprovam a ocorrência da causa de pedir (documentos fundamentais) e, em casos específicos, os que a própria lei exige como da substância do ato que está sendo levado à apreciação (documentos substanciais)." (AgRg no AgRg no REsp 1513217/CE, Rel. Ministro MAURO CAMPBELL MARQUES, SEGUNDA TURMA, julgado em 27/10/2015, DJe 05/11/2015). 07 . Assim, o indeferimento da inicial, tal qual como proclamado pela sentença, traduziu-se em patente formalismo exacerbado, sendo vedado ao julgador obstar o acesso à justiça, como aconteceu no caso presente. 08. Finalmente, mister ressaltar que, embora cassada a decisão, a causa se encontra na sua fase inicial, não estando madura para julgamento, em virtude da necessidade de instrução probatória.&lt;/strong&gt;</w:t>
              <w:tab/>
              <w:t>&lt;/span&gt; 09 . Recurso conhecido e parcialmente provido. Sentença Anulada. ACÓRDÃO: Acordam os integrantes da Eg. 3ª Câmara de Direito Privado do Tribunal de Justiça do Estado do Ceará, à unanimidade, em conhecer e dar parcial provimento ao recurso de apelação cível, de acordo com o voto do Relator . Fortaleza (CE), data e hora da assinatura digital. DESEMBARGADOR MARCOS WILLIAM LEITE </w:t>
            </w:r>
            <w:r>
              <w:rPr>
                <w:spacing w:val="-9"/>
                <w:sz w:val="20"/>
              </w:rPr>
              <w:t>DE </w:t>
            </w:r>
            <w:r>
              <w:rPr>
                <w:sz w:val="20"/>
              </w:rPr>
              <w:t>OLIVEIRA Relator (TJ-CE - Apelação Cível: 02008136820248060031 AltoSanto, Relator.: MARCOS WILLIAM LEITE DE OLIVEIRA, Data de Julgamento: 07/08/2024, 3ª Câmara Direito Privado, Data de Publicação: 07/08/2024)&lt;/span&gt; &lt;/span&gt;&lt;/p&gt;&lt;p style="line- height: 200%; margin-left: 6.9cm; margin-right: 2cm; background: transparent; page-break- before: auto;" align="justify"&gt; &lt;span style="font-family: &amp;quot;Times New Roman&amp;quot;, serif;"&gt;</w:t>
              <w:tab/>
              <w:t>&lt;span style="font-size: 14pt;"&gt;EMENTA: APELAÇÃO CÍVEL. DIREITO PROCESSUAL CIVIL. AÇÃO DE DECLARAÇÃO DE INEXISTÊNCIA DE DÉBITO C/C INDENIZAÇÃO POR DANOS MORAIS E DANOS MATERIAIS. EMPRÉSTIMO CONSIGNADO .</w:t>
              <w:tab/>
              <w:t>&lt;span style="text-decoration: underline;"&gt;</w:t>
              <w:tab/>
              <w:tab/>
              <w:t>&lt;strong&gt;EXTINÇÃO DA AÇÃO POR INDEFERIMENTO DA PETIÇÃO INICIAL. FUNDAMENTO DE AUSÊNCIA DE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08" w:lineRule="auto" w:before="26"/>
              <w:ind w:right="193"/>
              <w:rPr>
                <w:sz w:val="20"/>
              </w:rPr>
            </w:pPr>
            <w:r>
              <w:rPr>
                <w:sz w:val="20"/>
              </w:rPr>
              <w:t>DOCUMENTOS INDISPENSÁVEIS À PROPOSITURA DA AÇÃO. NÃO OCORRÊNCIA. EXTRATO BANCÁRIO . DOCUMENTO NÃO ESSENCIAL À PROPOSITURA DA AÇÃO. EXCESSO DE FORMALISMO. OFENSA AO PRINCÍPIO DO DEVIDO PROCESSO LEGAL. PRINCÍPIO DA INAFASTABILIDADE DA TUTELA JURISDICIONAL&lt;/strong&gt;</w:t>
            </w:r>
          </w:p>
          <w:p>
            <w:pPr>
              <w:pStyle w:val="TableParagraph"/>
              <w:tabs>
                <w:tab w:pos="1085" w:val="left" w:leader="none"/>
                <w:tab w:pos="5123" w:val="left" w:leader="none"/>
              </w:tabs>
              <w:spacing w:line="208" w:lineRule="auto" w:before="0"/>
              <w:ind w:right="19"/>
              <w:rPr>
                <w:sz w:val="20"/>
              </w:rPr>
            </w:pPr>
            <w:r>
              <w:rPr>
                <w:sz w:val="20"/>
              </w:rPr>
              <w:t>&lt;/span&gt; . PRECEDENTES DO STJ E TJCE. Recurso conhecido e provido. Sentença anulada.</w:t>
              <w:tab/>
              <w:t>&lt;span style="text-decoration: underline;"&gt;</w:t>
              <w:tab/>
              <w:t>&lt;strong&gt;1 . Trata-se de hipótese em que a ação foi extinta e a inicial indeferida porque a parte autora deixou de emendar a inicial para juntar os extratos bancários que correspondem aos três meses anteriores e </w:t>
            </w:r>
            <w:r>
              <w:rPr>
                <w:spacing w:val="-6"/>
                <w:sz w:val="20"/>
              </w:rPr>
              <w:t>aos </w:t>
            </w:r>
            <w:r>
              <w:rPr>
                <w:sz w:val="20"/>
              </w:rPr>
              <w:t>três meses posteriores a data da realização do referido contrato de empréstimo consignado. 2. Os documentos indispensáveis à propositura de qualquer ação, cuja falta acarreta o indeferimento da petição inicial, são aqueles relacionados à demonstração das condições para o exercício do direito de ação e dos pressupostos processuais, distinguindo-se daqueles que visam a comprovar as alegações da parte. 3 . O extrato bancário não é o único meio de convencimento do juiz acerca da existência de legitimidade processual e do interesse de agir, razão pela qual não pode ser considerado documento indispensável à propositura da ação. 4. Consonante jurisprudência do c. STJ</w:t>
            </w:r>
          </w:p>
          <w:p>
            <w:pPr>
              <w:pStyle w:val="TableParagraph"/>
              <w:spacing w:line="208" w:lineRule="auto" w:before="0"/>
              <w:ind w:right="75"/>
              <w:rPr>
                <w:sz w:val="20"/>
              </w:rPr>
            </w:pPr>
            <w:r>
              <w:rPr>
                <w:sz w:val="20"/>
              </w:rPr>
              <w:t>¿Em ação declaratória de nulidade de empréstimo consignado alegadamente não contratado, desde que a parte cumpra com seu dever de demonstrar a verossimilhança </w:t>
            </w:r>
            <w:r>
              <w:rPr>
                <w:spacing w:val="-9"/>
                <w:sz w:val="20"/>
              </w:rPr>
              <w:t>do </w:t>
            </w:r>
            <w:r>
              <w:rPr>
                <w:sz w:val="20"/>
              </w:rPr>
              <w:t>direito alegado e as condições do seu direito de ação, não há que se falar em inépcia da petição inicial pela falta de juntada de extrato bancários aos autos .¿ (STJ - REsp: 1991550 MS 2022/0076620-4, Data de Julgamento: 23/08/2022, T3 - TERCEIRA TURMA,</w:t>
            </w:r>
          </w:p>
          <w:p>
            <w:pPr>
              <w:pStyle w:val="TableParagraph"/>
              <w:spacing w:line="208" w:lineRule="auto" w:before="0"/>
              <w:rPr>
                <w:sz w:val="20"/>
              </w:rPr>
            </w:pPr>
            <w:r>
              <w:rPr>
                <w:sz w:val="20"/>
              </w:rPr>
              <w:t>Data de Publicação: DJe 25/08/2022). No mesmo sentido, precedentes do e. TJCE. 5 . Caso vertente em que que a parte autora se desincumbiu de tal ônus, juntando aos autos: procuração ad judicia, declaração de hipossuficiência, documentos de identidade, comprovante de residência e extrato de empréstimos consignados no seu benefício previdenciário, documentos estes necessários e suficientes à comprovação da causa de pedir e à propositura da ação. 6. Recurso conhecido e provido. Sentença</w:t>
            </w:r>
            <w:r>
              <w:rPr>
                <w:spacing w:val="-18"/>
                <w:sz w:val="20"/>
              </w:rPr>
              <w:t> </w:t>
            </w:r>
            <w:r>
              <w:rPr>
                <w:sz w:val="20"/>
              </w:rPr>
              <w:t>anulada&lt;/strong&gt;</w:t>
            </w:r>
          </w:p>
          <w:p>
            <w:pPr>
              <w:pStyle w:val="TableParagraph"/>
              <w:spacing w:line="208" w:lineRule="auto" w:before="0"/>
              <w:ind w:right="181"/>
              <w:rPr>
                <w:sz w:val="20"/>
              </w:rPr>
            </w:pPr>
            <w:r>
              <w:rPr>
                <w:sz w:val="20"/>
              </w:rPr>
              <w:t>&lt;/span&gt; . ACÓRDÃO Vistos, relatados e discutidos estes autos, acorda a 4ª Câmara Direito Privado do Tribunal de Justiça do Estado do Ceará, por unanimidade, em CONHECER DO RECURSO E DAR-LHE PROVIMENTO, para anular a sentença e determinar o retorno dos autos à origem para regular prosseguimento do feito, tudo nos termos do voto do eminente Relator. Fortaleza,data e hora da assinatura digital. JOSÉ EVANDRO NOGUEIRA LIMA FILHO Presidente do Órgão Julgador DESEMBARGADOR FRANCISCO JAIME MEDEIROS NETO Relator (TJ-CE - Apelação Cível: 0200998- 49.2023 .8.06.0029 Acopiara, Relator.: FRANCISCO JAIME MEDEIROS NETO, Data de</w:t>
            </w:r>
          </w:p>
          <w:p>
            <w:pPr>
              <w:pStyle w:val="TableParagraph"/>
              <w:tabs>
                <w:tab w:pos="3851" w:val="left" w:leader="none"/>
              </w:tabs>
              <w:spacing w:line="208" w:lineRule="auto" w:before="0"/>
              <w:ind w:right="95"/>
              <w:rPr>
                <w:sz w:val="20"/>
              </w:rPr>
            </w:pPr>
            <w:r>
              <w:rPr>
                <w:sz w:val="20"/>
              </w:rPr>
              <w:t>Julgamento: 21/05/2024, 4ª Câmara Direito Privado, Data de Publicação: 21/05/2024).&lt;/span&gt; &lt;/span&gt;&lt;/p&gt;&lt;p style="line-height: 200%;" align="justify"&gt;&lt;span style="font-family: &amp;quot;Times New Roman&amp;quot;, serif;"&gt; &lt;span style="font-size: 14pt;"&gt;Além disso, trata-se de&lt;/span&gt;&lt;/span&gt; &lt;strong&gt; &lt;span style="font-family: &amp;quot;Times New Roman&amp;quot;, serif;"&gt;</w:t>
              <w:tab/>
              <w:t>&lt;span style="font-size: 14pt;"&gt;relação de consumo&lt;/span&gt; &lt;/span&gt;&lt;/strong&gt;&lt;span style="font-family: &amp;quot;Times New Roman&amp;quot;, serif;"&gt; &lt;span style="font-size: 14pt;"&gt;, em que é cabível</w:t>
            </w:r>
            <w:r>
              <w:rPr>
                <w:spacing w:val="11"/>
                <w:sz w:val="20"/>
              </w:rPr>
              <w:t> </w:t>
            </w:r>
            <w:r>
              <w:rPr>
                <w:spacing w:val="-2"/>
                <w:sz w:val="20"/>
              </w:rPr>
              <w:t>a&lt;/span&gt;&lt;/span&gt;</w:t>
            </w:r>
          </w:p>
          <w:p>
            <w:pPr>
              <w:pStyle w:val="TableParagraph"/>
              <w:tabs>
                <w:tab w:pos="1005" w:val="left" w:leader="none"/>
                <w:tab w:pos="4140" w:val="left" w:leader="none"/>
                <w:tab w:pos="4595" w:val="left" w:leader="none"/>
                <w:tab w:pos="5483" w:val="left" w:leader="none"/>
                <w:tab w:pos="6378" w:val="left" w:leader="none"/>
                <w:tab w:pos="6990" w:val="left" w:leader="none"/>
              </w:tabs>
              <w:spacing w:line="208" w:lineRule="auto" w:before="0"/>
              <w:ind w:right="109"/>
              <w:rPr>
                <w:sz w:val="20"/>
              </w:rPr>
            </w:pPr>
            <w:r>
              <w:rPr>
                <w:sz w:val="20"/>
              </w:rPr>
              <w:t>&lt;strong&gt;  &lt;span style="font-family: &amp;quot;Times New Roman&amp;quot;, serif;"&gt;</w:t>
              <w:tab/>
              <w:t>&lt;span style="font-size: 14pt;"&gt;inversão do ônus da prova&lt;/span&gt; &lt;/span&gt;&lt;/strong&gt;&lt;span style="font-family: &amp;quot;Times New Roman&amp;quot;, serif;"&gt; &lt;span style="font-size: 14pt;"&gt;(art. 6º, VIII, do CDC), reforçando que a exigência de produção documental exaustiva pelo consumidor, ainda na fase postulatória, compromete o equilíbrio processual.&lt;/span&gt;&lt;/span&gt;&lt;/p&gt;&lt;p style="line-height: 200%;" align="justify"&gt; &lt;span style="font-family: &amp;quot;Times New Roman&amp;quot;, serif;"&gt;</w:t>
              <w:tab/>
              <w:t>&lt;span style="font-size: 14pt;"&gt;Eventual complementação probatória deve ocorrer em fase própria, não cabendo </w:t>
            </w:r>
            <w:r>
              <w:rPr>
                <w:spacing w:val="-18"/>
                <w:sz w:val="20"/>
              </w:rPr>
              <w:t>à </w:t>
            </w:r>
            <w:r>
              <w:rPr>
                <w:sz w:val="20"/>
              </w:rPr>
              <w:t>parte autora comprovar negativamente o recebimento de valores que alega desconhecer.&lt;/span&gt; &lt;/span&gt;&lt;/p&gt;&lt;p style="line-height: 200%;" align="center"&gt; &lt;span style="font-family: &amp;quot;Times New Roman&amp;quot;, serif;"&gt;</w:t>
              <w:tab/>
              <w:t>&lt;span style="font-size: 14pt;"&gt;</w:t>
              <w:tab/>
              <w:t>&lt;strong&gt;DISPOSITIVO&lt;/strong&gt;</w:t>
              <w:tab/>
              <w:t>&lt;/span&gt; &lt;/span&gt;&lt;/p&gt;&lt;p style="line-height: 200%; margin-bottom: 0cm;" align="justify"&gt;&lt;span style="font-variant-numeric: normal; font-variant-east-asian: normal; font-variant-alternates: normal; font-variant-position: normal; font-variant-emoji: normal;"&gt;  &lt;span style="color: #000000;"&gt;</w:t>
              <w:tab/>
              <w:t>&lt;span style="font- family: &amp;quot;Times New Roman&amp;quot;, serif;"&gt;</w:t>
              <w:tab/>
              <w:t>&lt;span style="font-size: 14pt;"&gt;</w:t>
            </w:r>
          </w:p>
          <w:p>
            <w:pPr>
              <w:pStyle w:val="TableParagraph"/>
              <w:tabs>
                <w:tab w:pos="5446" w:val="left" w:leader="none"/>
                <w:tab w:pos="6391" w:val="left" w:leader="none"/>
              </w:tabs>
              <w:spacing w:line="189" w:lineRule="exact" w:before="0"/>
              <w:rPr>
                <w:sz w:val="20"/>
              </w:rPr>
            </w:pPr>
            <w:r>
              <w:rPr>
                <w:sz w:val="20"/>
              </w:rPr>
              <w:t>&lt;span lang="pt-BR"&gt;Diante do exposto, sou pelo&lt;/span&gt;</w:t>
              <w:tab/>
              <w:t>&lt;/span&gt;</w:t>
              <w:tab/>
              <w:t>&lt;/span&gt;</w:t>
            </w:r>
          </w:p>
          <w:p>
            <w:pPr>
              <w:pStyle w:val="TableParagraph"/>
              <w:spacing w:line="208" w:lineRule="auto" w:before="6"/>
              <w:ind w:right="26"/>
              <w:rPr>
                <w:sz w:val="20"/>
              </w:rPr>
            </w:pPr>
            <w:r>
              <w:rPr>
                <w:sz w:val="20"/>
              </w:rPr>
              <w:t>&lt;/span&gt;&lt;/span&gt; &lt;span style="font-variant-numeric: normal; font-variant-east-asian: normal; font-variant-alternates: normal; font-variant-position: normal; font-variant-emoji: normal;"&gt;</w:t>
            </w:r>
          </w:p>
          <w:p>
            <w:pPr>
              <w:pStyle w:val="TableParagraph"/>
              <w:tabs>
                <w:tab w:pos="2328" w:val="left" w:leader="none"/>
                <w:tab w:pos="3033" w:val="left" w:leader="none"/>
                <w:tab w:pos="5477" w:val="left" w:leader="none"/>
              </w:tabs>
              <w:spacing w:line="208" w:lineRule="auto" w:before="0"/>
              <w:ind w:right="804"/>
              <w:rPr>
                <w:sz w:val="20"/>
              </w:rPr>
            </w:pPr>
            <w:r>
              <w:rPr>
                <w:sz w:val="20"/>
              </w:rPr>
              <w:t>&lt;span style="color: #000000;"&gt;</w:t>
              <w:tab/>
              <w:t>&lt;span style="font-family: &amp;quot;Times New Roman&amp;quot;, serif;"&gt;</w:t>
              <w:tab/>
              <w:t>&lt;span style="font-size: 14pt;"&gt;</w:t>
              <w:tab/>
              <w:t>&lt;span</w:t>
            </w:r>
            <w:r>
              <w:rPr>
                <w:spacing w:val="6"/>
                <w:sz w:val="20"/>
              </w:rPr>
              <w:t> </w:t>
            </w:r>
            <w:r>
              <w:rPr>
                <w:spacing w:val="-2"/>
                <w:sz w:val="20"/>
              </w:rPr>
              <w:t>lang="pt-BR"&gt;</w:t>
            </w:r>
          </w:p>
          <w:p>
            <w:pPr>
              <w:pStyle w:val="TableParagraph"/>
              <w:tabs>
                <w:tab w:pos="3763" w:val="left" w:leader="none"/>
                <w:tab w:pos="4819" w:val="left" w:leader="none"/>
                <w:tab w:pos="5764" w:val="left" w:leader="none"/>
              </w:tabs>
              <w:spacing w:line="190" w:lineRule="exact" w:before="0"/>
              <w:rPr>
                <w:sz w:val="20"/>
              </w:rPr>
            </w:pPr>
            <w:r>
              <w:rPr>
                <w:sz w:val="20"/>
              </w:rPr>
              <w:t>&lt;strong&gt;CONHECIMENTO&lt;/strong&gt;</w:t>
              <w:tab/>
              <w:t>&lt;/span&gt;</w:t>
              <w:tab/>
              <w:t>&lt;/span&gt;</w:t>
              <w:tab/>
              <w:t>&lt;/span&gt;</w:t>
            </w:r>
          </w:p>
          <w:p>
            <w:pPr>
              <w:pStyle w:val="TableParagraph"/>
              <w:spacing w:line="208" w:lineRule="auto" w:before="10"/>
              <w:ind w:right="82"/>
              <w:rPr>
                <w:sz w:val="20"/>
              </w:rPr>
            </w:pPr>
            <w:r>
              <w:rPr>
                <w:sz w:val="20"/>
              </w:rPr>
              <w:t>&lt;/span&gt;&lt;/span&gt;&lt;span style="font-variant-numeric: normal; font-variant-east-asian: normal; font-variant-alternates: normal; font-variant-position: normal; font-variant-emoji: normal;"&gt;</w:t>
            </w:r>
          </w:p>
          <w:p>
            <w:pPr>
              <w:pStyle w:val="TableParagraph"/>
              <w:tabs>
                <w:tab w:pos="2328" w:val="left" w:leader="none"/>
                <w:tab w:pos="2986" w:val="left" w:leader="none"/>
                <w:tab w:pos="3033" w:val="left" w:leader="none"/>
                <w:tab w:pos="3931" w:val="left" w:leader="none"/>
                <w:tab w:pos="5477" w:val="left" w:leader="none"/>
              </w:tabs>
              <w:spacing w:line="208" w:lineRule="auto" w:before="0"/>
              <w:ind w:right="281"/>
              <w:rPr>
                <w:sz w:val="20"/>
              </w:rPr>
            </w:pPr>
            <w:r>
              <w:rPr>
                <w:sz w:val="20"/>
              </w:rPr>
              <w:t>&lt;span style="color: #000000;"&gt;</w:t>
              <w:tab/>
              <w:tab/>
              <w:t>&lt;span style="font-family: &amp;quot;Times New Roman&amp;quot;, serif;"&gt;</w:t>
              <w:tab/>
              <w:t>&lt;span style="font-size: 14pt;"&gt;</w:t>
              <w:tab/>
              <w:t>&lt;span lang="pt-BR"&gt;do recurso de Apelação,&lt;/span&gt;</w:t>
              <w:tab/>
              <w:t>&lt;/span&gt;</w:t>
              <w:tab/>
              <w:t>&lt;/span&gt; &lt;/span&gt;&lt;/span&gt; &lt;span </w:t>
            </w:r>
            <w:r>
              <w:rPr>
                <w:spacing w:val="-2"/>
                <w:sz w:val="20"/>
              </w:rPr>
              <w:t>style="font- </w:t>
            </w:r>
            <w:r>
              <w:rPr>
                <w:sz w:val="20"/>
              </w:rPr>
              <w:t>variant-numeric: normal; font-variant-east-asian: normal; font-variant-alternates: normal;</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font-variant-position: normal; font-variant-emoji: normal;"&gt; &lt;span style="color: #000000;"&gt;</w:t>
            </w:r>
          </w:p>
          <w:p>
            <w:pPr>
              <w:pStyle w:val="TableParagraph"/>
              <w:tabs>
                <w:tab w:pos="1583" w:val="left" w:leader="none"/>
                <w:tab w:pos="4911" w:val="left" w:leader="none"/>
                <w:tab w:pos="5856" w:val="left" w:leader="none"/>
                <w:tab w:pos="6201" w:val="left" w:leader="none"/>
              </w:tabs>
              <w:spacing w:line="208" w:lineRule="auto" w:before="9"/>
              <w:ind w:right="346"/>
              <w:rPr>
                <w:sz w:val="20"/>
              </w:rPr>
            </w:pPr>
            <w:r>
              <w:rPr>
                <w:sz w:val="20"/>
              </w:rPr>
              <w:t>&lt;span style="font-family: &amp;quot;Times New Roman&amp;quot;, serif;"&gt;</w:t>
              <w:tab/>
              <w:t>&lt;span </w:t>
            </w:r>
            <w:r>
              <w:rPr>
                <w:spacing w:val="-2"/>
                <w:sz w:val="20"/>
              </w:rPr>
              <w:t>style="font- </w:t>
            </w:r>
            <w:r>
              <w:rPr>
                <w:sz w:val="20"/>
              </w:rPr>
              <w:t>size: 14pt;"&gt;</w:t>
              <w:tab/>
              <w:t>&lt;span lang="pt-BR"&gt;para&lt;/span&gt;</w:t>
              <w:tab/>
              <w:t>&lt;/span&gt;</w:t>
              <w:tab/>
              <w:t>&lt;/span&gt;</w:t>
            </w:r>
          </w:p>
          <w:p>
            <w:pPr>
              <w:pStyle w:val="TableParagraph"/>
              <w:spacing w:line="208" w:lineRule="auto" w:before="0"/>
              <w:ind w:right="26"/>
              <w:rPr>
                <w:sz w:val="20"/>
              </w:rPr>
            </w:pPr>
            <w:r>
              <w:rPr>
                <w:sz w:val="20"/>
              </w:rPr>
              <w:t>&lt;/span&gt;&lt;/span&gt; &lt;span style="font-variant-numeric: normal; font-variant-east-asian: normal; font-variant-alternates: normal; font-variant-position: normal; font-variant-emoji: normal;"&gt;</w:t>
            </w:r>
          </w:p>
          <w:p>
            <w:pPr>
              <w:pStyle w:val="TableParagraph"/>
              <w:tabs>
                <w:tab w:pos="2328" w:val="left" w:leader="none"/>
                <w:tab w:pos="3033" w:val="left" w:leader="none"/>
                <w:tab w:pos="5477" w:val="left" w:leader="none"/>
              </w:tabs>
              <w:spacing w:line="208" w:lineRule="auto" w:before="0"/>
              <w:ind w:right="804"/>
              <w:rPr>
                <w:sz w:val="20"/>
              </w:rPr>
            </w:pPr>
            <w:r>
              <w:rPr>
                <w:sz w:val="20"/>
              </w:rPr>
              <w:t>&lt;span style="color: #000000;"&gt;</w:t>
              <w:tab/>
              <w:t>&lt;span style="font-family: &amp;quot;Times New Roman&amp;quot;, serif;"&gt;</w:t>
              <w:tab/>
              <w:t>&lt;span style="font-size: 14pt;"&gt;</w:t>
              <w:tab/>
              <w:t>&lt;span</w:t>
            </w:r>
            <w:r>
              <w:rPr>
                <w:spacing w:val="6"/>
                <w:sz w:val="20"/>
              </w:rPr>
              <w:t> </w:t>
            </w:r>
            <w:r>
              <w:rPr>
                <w:spacing w:val="-2"/>
                <w:sz w:val="20"/>
              </w:rPr>
              <w:t>lang="pt-BR"&gt;</w:t>
            </w:r>
          </w:p>
          <w:p>
            <w:pPr>
              <w:pStyle w:val="TableParagraph"/>
              <w:tabs>
                <w:tab w:pos="4396" w:val="left" w:leader="none"/>
                <w:tab w:pos="5453" w:val="left" w:leader="none"/>
                <w:tab w:pos="6398" w:val="left" w:leader="none"/>
              </w:tabs>
              <w:spacing w:line="190" w:lineRule="exact" w:before="0"/>
              <w:rPr>
                <w:sz w:val="20"/>
              </w:rPr>
            </w:pPr>
            <w:r>
              <w:rPr>
                <w:sz w:val="20"/>
              </w:rPr>
              <w:t>&lt;strong&gt;DAR-LHE PROVIMENTO&lt;/strong&gt;</w:t>
              <w:tab/>
              <w:t>&lt;/span&gt;</w:t>
              <w:tab/>
              <w:t>&lt;/span&gt;</w:t>
              <w:tab/>
              <w:t>&lt;/span&gt;</w:t>
            </w:r>
          </w:p>
          <w:p>
            <w:pPr>
              <w:pStyle w:val="TableParagraph"/>
              <w:spacing w:line="208" w:lineRule="auto" w:before="10"/>
              <w:ind w:right="82"/>
              <w:rPr>
                <w:sz w:val="20"/>
              </w:rPr>
            </w:pPr>
            <w:r>
              <w:rPr>
                <w:sz w:val="20"/>
              </w:rPr>
              <w:t>&lt;/span&gt;&lt;/span&gt;&lt;span style="font-variant-numeric: normal; font-variant-east-asian: normal; font-variant-alternates: normal; font-variant-position: normal; font-variant-emoji: normal;"&gt;</w:t>
            </w:r>
          </w:p>
          <w:p>
            <w:pPr>
              <w:pStyle w:val="TableParagraph"/>
              <w:tabs>
                <w:tab w:pos="2328" w:val="left" w:leader="none"/>
                <w:tab w:pos="3033" w:val="left" w:leader="none"/>
                <w:tab w:pos="5477" w:val="left" w:leader="none"/>
              </w:tabs>
              <w:spacing w:line="208" w:lineRule="auto" w:before="0"/>
              <w:ind w:right="25"/>
              <w:rPr>
                <w:sz w:val="20"/>
              </w:rPr>
            </w:pPr>
            <w:r>
              <w:rPr>
                <w:sz w:val="20"/>
              </w:rPr>
              <w:t>&lt;span style="color: #000000;"&gt;</w:t>
              <w:tab/>
              <w:t>&lt;span style="font-family: &amp;quot;Times New Roman&amp;quot;, serif;"&gt;</w:t>
              <w:tab/>
              <w:t>&lt;span style="font-size: 14pt;"&gt;</w:t>
              <w:tab/>
              <w:t>&lt;span</w:t>
            </w:r>
            <w:r>
              <w:rPr>
                <w:spacing w:val="-13"/>
                <w:sz w:val="20"/>
              </w:rPr>
              <w:t> </w:t>
            </w:r>
            <w:r>
              <w:rPr>
                <w:sz w:val="20"/>
              </w:rPr>
              <w:t>lang="pt-BR"&gt;,&lt;/span&gt;</w:t>
            </w:r>
          </w:p>
          <w:p>
            <w:pPr>
              <w:pStyle w:val="TableParagraph"/>
              <w:tabs>
                <w:tab w:pos="985" w:val="left" w:leader="none"/>
                <w:tab w:pos="3184" w:val="left" w:leader="none"/>
                <w:tab w:pos="3962" w:val="left" w:leader="none"/>
                <w:tab w:pos="4129" w:val="left" w:leader="none"/>
                <w:tab w:pos="5655" w:val="left" w:leader="none"/>
                <w:tab w:pos="7111" w:val="left" w:leader="none"/>
              </w:tabs>
              <w:spacing w:line="208" w:lineRule="auto" w:before="0"/>
              <w:ind w:right="129"/>
              <w:rPr>
                <w:sz w:val="20"/>
              </w:rPr>
            </w:pPr>
            <w:r>
              <w:rPr>
                <w:sz w:val="20"/>
              </w:rPr>
              <w:t>&lt;/span&gt;</w:t>
              <w:tab/>
              <w:t>&lt;/span&gt; &lt;/span&gt;&lt;/span&gt; &lt;span style="font-variant-numeric: normal; font- variant-east-asian: normal; font-variant-alternates: normal; font-variant-position: normal; font-variant-emoji: normal;"&gt;  &lt;span style="color: #000000;"&gt;</w:t>
              <w:tab/>
              <w:t>&lt;span style="font-family: &amp;quot;Times New Roman&amp;quot;, serif;"&gt;</w:t>
              <w:tab/>
              <w:t>&lt;span style="font-size: 14pt;"&gt;</w:t>
              <w:tab/>
              <w:t>&lt;span lang="pt-BR"&gt;anulando&lt;/span&gt;</w:t>
              <w:tab/>
              <w:t>&lt;/span&gt;</w:t>
              <w:tab/>
              <w:tab/>
              <w:t>&lt;/span&gt; &lt;/span&gt;&lt;/span&gt;&lt;span style="font- variant-numeric: normal; font-variant-east-asian: normal; font-variant-alternates: normal; font-variant-position: normal; font-variant-emoji: normal;"&gt; &lt;span style="color:</w:t>
            </w:r>
            <w:r>
              <w:rPr>
                <w:spacing w:val="-17"/>
                <w:sz w:val="20"/>
              </w:rPr>
              <w:t> </w:t>
            </w:r>
            <w:r>
              <w:rPr>
                <w:sz w:val="20"/>
              </w:rPr>
              <w:t>#000000;"&gt;</w:t>
            </w:r>
          </w:p>
          <w:p>
            <w:pPr>
              <w:pStyle w:val="TableParagraph"/>
              <w:tabs>
                <w:tab w:pos="1583" w:val="left" w:leader="none"/>
                <w:tab w:pos="6201" w:val="left" w:leader="none"/>
              </w:tabs>
              <w:spacing w:line="208" w:lineRule="auto" w:before="0"/>
              <w:ind w:right="346"/>
              <w:rPr>
                <w:sz w:val="20"/>
              </w:rPr>
            </w:pPr>
            <w:r>
              <w:rPr>
                <w:sz w:val="20"/>
              </w:rPr>
              <w:t>&lt;span style="font-family: &amp;quot;Times New Roman&amp;quot;, serif;"&gt;</w:t>
              <w:tab/>
              <w:t>&lt;span </w:t>
            </w:r>
            <w:r>
              <w:rPr>
                <w:spacing w:val="-2"/>
                <w:sz w:val="20"/>
              </w:rPr>
              <w:t>style="font- </w:t>
            </w:r>
            <w:r>
              <w:rPr>
                <w:sz w:val="20"/>
              </w:rPr>
              <w:t>size: 14pt;"&gt;</w:t>
              <w:tab/>
              <w:t>&lt;span lang="pt-BR"&gt;a sentença recorrida e determina&lt;/span&gt;</w:t>
            </w:r>
          </w:p>
          <w:p>
            <w:pPr>
              <w:pStyle w:val="TableParagraph"/>
              <w:tabs>
                <w:tab w:pos="985" w:val="left" w:leader="none"/>
                <w:tab w:pos="2694" w:val="left" w:leader="none"/>
                <w:tab w:pos="3639" w:val="left" w:leader="none"/>
                <w:tab w:pos="3962" w:val="left" w:leader="none"/>
                <w:tab w:pos="5655" w:val="left" w:leader="none"/>
                <w:tab w:pos="7111" w:val="left" w:leader="none"/>
              </w:tabs>
              <w:spacing w:line="208" w:lineRule="auto" w:before="0"/>
              <w:ind w:right="129"/>
              <w:rPr>
                <w:sz w:val="20"/>
              </w:rPr>
            </w:pPr>
            <w:r>
              <w:rPr>
                <w:sz w:val="20"/>
              </w:rPr>
              <w:t>&lt;/span&gt;</w:t>
              <w:tab/>
              <w:t>&lt;/span&gt; &lt;/span&gt;&lt;/span&gt;&lt;span style="font-variant-numeric: normal; font- variant-east-asian: normal; font-variant-alternates: normal; font-variant-position: normal; font-variant-emoji: normal;"&gt;  &lt;span style="color: #000000;"&gt;</w:t>
              <w:tab/>
              <w:t>&lt;span style="font-family: &amp;quot;Times New Roman&amp;quot;, serif;"&gt;</w:t>
              <w:tab/>
              <w:tab/>
              <w:t>&lt;span style="font-size: 14pt;"&gt;</w:t>
              <w:tab/>
              <w:t>&lt;span lang="pt-BR"&gt;ndo&lt;/span&gt;</w:t>
              <w:tab/>
              <w:t>&lt;/span&gt;</w:t>
              <w:tab/>
              <w:t>&lt;/span&gt; &lt;/span&gt;&lt;/span&gt;&lt;span style="font- variant-numeric: normal; font-variant-east-asian: normal; font-variant-alternates: normal; font-variant-position: normal; font-variant-emoji: normal;"&gt; &lt;span style="color:</w:t>
            </w:r>
            <w:r>
              <w:rPr>
                <w:spacing w:val="-17"/>
                <w:sz w:val="20"/>
              </w:rPr>
              <w:t> </w:t>
            </w:r>
            <w:r>
              <w:rPr>
                <w:sz w:val="20"/>
              </w:rPr>
              <w:t>#000000;"&gt;</w:t>
            </w:r>
          </w:p>
          <w:p>
            <w:pPr>
              <w:pStyle w:val="TableParagraph"/>
              <w:tabs>
                <w:tab w:pos="1583" w:val="left" w:leader="none"/>
                <w:tab w:pos="6201" w:val="left" w:leader="none"/>
              </w:tabs>
              <w:spacing w:line="208" w:lineRule="auto" w:before="0"/>
              <w:ind w:right="346"/>
              <w:rPr>
                <w:sz w:val="20"/>
              </w:rPr>
            </w:pPr>
            <w:r>
              <w:rPr>
                <w:sz w:val="20"/>
              </w:rPr>
              <w:t>&lt;span style="font-family: &amp;quot;Times New Roman&amp;quot;, serif;"&gt;</w:t>
              <w:tab/>
              <w:t>&lt;span </w:t>
            </w:r>
            <w:r>
              <w:rPr>
                <w:spacing w:val="-2"/>
                <w:sz w:val="20"/>
              </w:rPr>
              <w:t>style="font- </w:t>
            </w:r>
            <w:r>
              <w:rPr>
                <w:sz w:val="20"/>
              </w:rPr>
              <w:t>size: 14pt;"&gt;</w:t>
              <w:tab/>
              <w:t>&lt;span lang="pt-BR"&gt;o retorno dos autos ao Juízo de origem,&lt;/span&gt;</w:t>
            </w:r>
          </w:p>
          <w:p>
            <w:pPr>
              <w:pStyle w:val="TableParagraph"/>
              <w:tabs>
                <w:tab w:pos="985" w:val="left" w:leader="none"/>
                <w:tab w:pos="2761" w:val="left" w:leader="none"/>
                <w:tab w:pos="3706" w:val="left" w:leader="none"/>
                <w:tab w:pos="3962" w:val="left" w:leader="none"/>
                <w:tab w:pos="5655" w:val="left" w:leader="none"/>
                <w:tab w:pos="7111" w:val="left" w:leader="none"/>
              </w:tabs>
              <w:spacing w:line="208" w:lineRule="auto" w:before="0"/>
              <w:ind w:right="129"/>
              <w:rPr>
                <w:sz w:val="20"/>
              </w:rPr>
            </w:pPr>
            <w:r>
              <w:rPr>
                <w:sz w:val="20"/>
              </w:rPr>
              <w:t>&lt;/span&gt;</w:t>
              <w:tab/>
              <w:t>&lt;/span&gt; &lt;/span&gt;&lt;/span&gt; &lt;span style="font-variant-numeric: normal; font- variant-east-asian: normal; font-variant-alternates: normal; font-variant-position: normal; font-variant-emoji: normal;"&gt;  &lt;span style="color: #000000;"&gt;</w:t>
              <w:tab/>
              <w:t>&lt;span style="font-family: &amp;quot;Times New Roman&amp;quot;, serif;"&gt;</w:t>
              <w:tab/>
              <w:tab/>
              <w:t>&lt;span style="font-size: 14pt;"&gt;</w:t>
              <w:tab/>
              <w:t>&lt;span lang="pt-BR"&gt;para&lt;/span&gt;</w:t>
              <w:tab/>
              <w:t>&lt;/span&gt;</w:t>
              <w:tab/>
              <w:t>&lt;/span&gt; &lt;/span&gt;&lt;/span&gt; &lt;span style="font- variant-numeric: normal; font-variant-east-asian: normal; font-variant-alternates: normal; font-variant-position: normal; font-variant-emoji: normal;"&gt; &lt;span style="color:</w:t>
            </w:r>
            <w:r>
              <w:rPr>
                <w:spacing w:val="-17"/>
                <w:sz w:val="20"/>
              </w:rPr>
              <w:t> </w:t>
            </w:r>
            <w:r>
              <w:rPr>
                <w:sz w:val="20"/>
              </w:rPr>
              <w:t>#000000;"&gt;</w:t>
            </w:r>
          </w:p>
          <w:p>
            <w:pPr>
              <w:pStyle w:val="TableParagraph"/>
              <w:tabs>
                <w:tab w:pos="1583" w:val="left" w:leader="none"/>
                <w:tab w:pos="4622" w:val="left" w:leader="none"/>
                <w:tab w:pos="5567" w:val="left" w:leader="none"/>
                <w:tab w:pos="6201" w:val="left" w:leader="none"/>
              </w:tabs>
              <w:spacing w:line="208" w:lineRule="auto" w:before="0"/>
              <w:ind w:right="305"/>
              <w:rPr>
                <w:sz w:val="20"/>
              </w:rPr>
            </w:pPr>
            <w:r>
              <w:rPr>
                <w:sz w:val="20"/>
              </w:rPr>
              <w:t>&lt;span style="font-family: &amp;quot;Times New Roman&amp;quot;, serif;"&gt;</w:t>
              <w:tab/>
              <w:t>&lt;span style="font- size: 14pt;"&gt;</w:t>
              <w:tab/>
              <w:t>&lt;span lang="pt-BR"&gt;o&lt;/span&gt;</w:t>
              <w:tab/>
              <w:t>&lt;/span&gt;</w:t>
              <w:tab/>
              <w:t>&lt;/span&gt;</w:t>
            </w:r>
            <w:r>
              <w:rPr>
                <w:spacing w:val="41"/>
                <w:sz w:val="20"/>
              </w:rPr>
              <w:t> </w:t>
            </w:r>
            <w:r>
              <w:rPr>
                <w:sz w:val="20"/>
              </w:rPr>
              <w:t>&lt;/span&gt;&lt;/span&gt;</w:t>
            </w:r>
          </w:p>
          <w:p>
            <w:pPr>
              <w:pStyle w:val="TableParagraph"/>
              <w:spacing w:line="208" w:lineRule="auto" w:before="0"/>
              <w:ind w:right="171"/>
              <w:rPr>
                <w:sz w:val="20"/>
              </w:rPr>
            </w:pPr>
            <w:r>
              <w:rPr>
                <w:sz w:val="20"/>
              </w:rPr>
              <w:t>&lt;strong&gt; &lt;span style="font-variant-numeric: normal; font-variant-east-asian: normal; font- variant-alternates: normal; font-variant-position: normal; font-variant-emoji: normal;"&gt;</w:t>
            </w:r>
          </w:p>
          <w:p>
            <w:pPr>
              <w:pStyle w:val="TableParagraph"/>
              <w:tabs>
                <w:tab w:pos="2439" w:val="left" w:leader="none"/>
                <w:tab w:pos="3144" w:val="left" w:leader="none"/>
                <w:tab w:pos="4485" w:val="left" w:leader="none"/>
                <w:tab w:pos="5541" w:val="left" w:leader="none"/>
                <w:tab w:pos="5700" w:val="left" w:leader="none"/>
                <w:tab w:pos="6487" w:val="left" w:leader="none"/>
              </w:tabs>
              <w:spacing w:line="208" w:lineRule="auto" w:before="0"/>
              <w:ind w:right="942"/>
              <w:rPr>
                <w:sz w:val="20"/>
              </w:rPr>
            </w:pPr>
            <w:r>
              <w:rPr>
                <w:sz w:val="20"/>
              </w:rPr>
              <w:t>&lt;span style="color: #000000;"&gt;</w:t>
              <w:tab/>
              <w:t>&lt;span style="font-family: &amp;quot;Times New Roman&amp;quot;, serif;"&gt;</w:t>
              <w:tab/>
              <w:t>&lt;span style="font-size: 14pt;"&gt;</w:t>
              <w:tab/>
              <w:tab/>
              <w:t>&lt;span lang="pt- BR"&gt;regular prosseguimento do feito&lt;/span&gt;</w:t>
              <w:tab/>
              <w:t>&lt;/span&gt;</w:t>
              <w:tab/>
              <w:t>&lt;/span&gt;</w:t>
              <w:tab/>
            </w:r>
            <w:r>
              <w:rPr>
                <w:spacing w:val="-3"/>
                <w:sz w:val="20"/>
              </w:rPr>
              <w:t>&lt;/span&gt;</w:t>
            </w:r>
          </w:p>
          <w:p>
            <w:pPr>
              <w:pStyle w:val="TableParagraph"/>
              <w:tabs>
                <w:tab w:pos="1685" w:val="left" w:leader="none"/>
                <w:tab w:pos="2328" w:val="left" w:leader="none"/>
                <w:tab w:pos="2630" w:val="left" w:leader="none"/>
                <w:tab w:pos="3999" w:val="left" w:leader="none"/>
                <w:tab w:pos="5477" w:val="left" w:leader="none"/>
              </w:tabs>
              <w:spacing w:line="208" w:lineRule="auto" w:before="0"/>
              <w:ind w:right="125"/>
              <w:rPr>
                <w:sz w:val="20"/>
              </w:rPr>
            </w:pPr>
            <w:r>
              <w:rPr>
                <w:sz w:val="20"/>
              </w:rPr>
              <w:t>&lt;/span&gt;&lt;/strong&gt;&lt;span style="font-variant-numeric: normal; font-variant-east-asian: normal; font-variant-alternates: normal; font-variant-position: normal; font-variant-emoji: normal;"&gt;  &lt;span style="color: #000000;"&gt;</w:t>
              <w:tab/>
              <w:t>&lt;span style="font-family: &amp;quot;Times New Roman&amp;quot;, serif;"&gt;</w:t>
              <w:tab/>
              <w:t>&lt;span style="font-size: 14pt;"&gt;</w:t>
              <w:tab/>
              <w:t>&lt;span lang="pt-BR"&gt;, para </w:t>
            </w:r>
            <w:r>
              <w:rPr>
                <w:spacing w:val="-17"/>
                <w:sz w:val="20"/>
              </w:rPr>
              <w:t>a </w:t>
            </w:r>
            <w:r>
              <w:rPr>
                <w:sz w:val="20"/>
              </w:rPr>
              <w:t>devida&lt;/span&gt;</w:t>
              <w:tab/>
              <w:t>&lt;/span&gt;</w:t>
              <w:tab/>
              <w:t>&lt;/span&gt; &lt;/span&gt;&lt;/span&gt; &lt;strong&gt; &lt;span style="font- variant-numeric: normal; font-variant-east-asian: normal; font-variant-alternates: normal;</w:t>
            </w:r>
          </w:p>
          <w:p>
            <w:pPr>
              <w:pStyle w:val="TableParagraph"/>
              <w:tabs>
                <w:tab w:pos="5363" w:val="left" w:leader="none"/>
              </w:tabs>
              <w:spacing w:line="190" w:lineRule="exact" w:before="0"/>
              <w:rPr>
                <w:sz w:val="20"/>
              </w:rPr>
            </w:pPr>
            <w:r>
              <w:rPr>
                <w:sz w:val="20"/>
              </w:rPr>
              <w:t>font-variant-position: normal; font-variant-emoji: normal;"&gt;</w:t>
              <w:tab/>
              <w:t>&lt;span style="color: #000000;"&gt;</w:t>
            </w:r>
          </w:p>
          <w:p>
            <w:pPr>
              <w:pStyle w:val="TableParagraph"/>
              <w:tabs>
                <w:tab w:pos="994" w:val="left" w:leader="none"/>
                <w:tab w:pos="1284" w:val="left" w:leader="none"/>
                <w:tab w:pos="1694" w:val="left" w:leader="none"/>
                <w:tab w:pos="2052" w:val="left" w:leader="none"/>
                <w:tab w:pos="2174" w:val="left" w:leader="none"/>
                <w:tab w:pos="2427" w:val="left" w:leader="none"/>
                <w:tab w:pos="2583" w:val="left" w:leader="none"/>
                <w:tab w:pos="3019" w:val="left" w:leader="none"/>
                <w:tab w:pos="3230" w:val="left" w:leader="none"/>
                <w:tab w:pos="3962" w:val="left" w:leader="none"/>
                <w:tab w:pos="4143" w:val="left" w:leader="none"/>
                <w:tab w:pos="4175" w:val="left" w:leader="none"/>
                <w:tab w:pos="5014" w:val="left" w:leader="none"/>
                <w:tab w:pos="5964" w:val="left" w:leader="none"/>
                <w:tab w:pos="6312" w:val="left" w:leader="none"/>
                <w:tab w:pos="6570" w:val="left" w:leader="none"/>
                <w:tab w:pos="7445" w:val="left" w:leader="none"/>
              </w:tabs>
              <w:spacing w:line="208" w:lineRule="auto" w:before="6"/>
              <w:ind w:right="77"/>
              <w:rPr>
                <w:sz w:val="20"/>
              </w:rPr>
            </w:pPr>
            <w:r>
              <w:rPr>
                <w:sz w:val="20"/>
              </w:rPr>
              <w:t>&lt;span style="font-family: &amp;quot;Times New Roman&amp;quot;, serif;"&gt;</w:t>
              <w:tab/>
              <w:tab/>
              <w:t>&lt;span style="font- size: 14pt;"&gt;</w:t>
              <w:tab/>
              <w:tab/>
              <w:t>&lt;span lang="pt-BR"&gt;citação da parte ré e posterior instrução processual&lt;/span&gt;</w:t>
              <w:tab/>
              <w:tab/>
              <w:t>&lt;/span&gt;</w:t>
              <w:tab/>
              <w:tab/>
              <w:t>&lt;/span&gt;</w:t>
              <w:tab/>
              <w:tab/>
              <w:tab/>
              <w:t>&lt;/span&gt; &lt;/span&gt;&lt;/strong&gt;&lt;span style="font-variant-numeric: normal; font-variant-east-asian: normal; font-variant-alternates: normal; font-variant-position: normal; font-variant-emoji: normal;"&gt; &lt;span style="color: #000000;"&gt;</w:t>
              <w:tab/>
              <w:t>&lt;span style="font-family: &amp;quot;Times New Roman&amp;quot;, serif;"&gt;</w:t>
              <w:tab/>
              <w:t>&lt;span style="font-size: 14pt;"&gt;</w:t>
              <w:tab/>
              <w:tab/>
              <w:tab/>
              <w:t>&lt;span lang="pt-BR"&gt;, nos termos do art. 334 e seguintes do CPC, respeitando-se o contraditório e os princípios da cooperação e da primazia do julgamento de mérito.&lt;/span&gt;</w:t>
              <w:tab/>
              <w:t>&lt;/span&gt;</w:t>
              <w:tab/>
              <w:t>&lt;/span&gt; &lt;/span&gt;&lt;/span&gt;&lt;/p&gt;&lt;p style="font- variant-numeric: normal; font-variant-east-asian: normal; font-variant-alternates: normal; font-variant-position: normal; font-variant-emoji: normal; line-height: 200%; margin-bottom: 0cm;" align="justify"&gt;  &lt;span style="color: #000000;"&gt;</w:t>
              <w:tab/>
              <w:t>&lt;span style="font-family: &amp;quot;Times New Roman&amp;quot;, serif;"&gt;</w:t>
              <w:tab/>
              <w:t>&lt;span style="font-size: 14pt;"&gt;É como voto.&amp;#160;&lt;/span&gt;</w:t>
              <w:tab/>
              <w:t>&lt;/span&gt; &lt;/span&gt;&lt;/p&gt;&lt;p style="font-variant-numeric: normal; font- variant-east-asian: normal; font-variant-alternates: normal; font-variant-position: normal; font-variant-emoji: normal; line-height: 200%; margin-bottom: 0cm;" align="center"&gt; &lt;span style="color: #000000;"&gt;</w:t>
              <w:tab/>
              <w:t>&lt;span style="font-family: &amp;quot;Times New Roman&amp;quot;, serif;"&gt;</w:t>
              <w:tab/>
              <w:t>&lt;span style="font-size: 14pt;"&gt;</w:t>
              <w:tab/>
              <w:tab/>
              <w:t>&lt;span lang="pt-BR"&gt;</w:t>
              <w:tab/>
              <w:tab/>
              <w:t>&lt;strong&gt;JOSÉ KRENTEL FERREIRA FILHO&lt;/strong&gt;</w:t>
              <w:tab/>
              <w:t>&lt;/span&gt;</w:t>
              <w:tab/>
              <w:t>&lt;/span&gt;</w:t>
              <w:tab/>
              <w:t>&lt;/span&gt;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3026082-98.2025.8.06.0001</w:t>
            </w:r>
          </w:p>
        </w:tc>
      </w:tr>
      <w:tr>
        <w:trPr>
          <w:trHeight w:val="14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994" w:val="left" w:leader="none"/>
                <w:tab w:pos="2427" w:val="left" w:leader="none"/>
                <w:tab w:pos="5289" w:val="left" w:leader="none"/>
              </w:tabs>
              <w:spacing w:line="208" w:lineRule="auto" w:before="26"/>
              <w:ind w:right="271"/>
              <w:rPr>
                <w:sz w:val="20"/>
              </w:rPr>
            </w:pPr>
            <w:r>
              <w:rPr>
                <w:sz w:val="20"/>
              </w:rPr>
              <w:t>&lt;/span&gt;&lt;/p&gt;&lt;p style="font-variant-numeric: normal; font-variant-east-asian: normal; </w:t>
            </w:r>
            <w:r>
              <w:rPr>
                <w:spacing w:val="-4"/>
                <w:sz w:val="20"/>
              </w:rPr>
              <w:t>font- </w:t>
            </w:r>
            <w:r>
              <w:rPr>
                <w:sz w:val="20"/>
              </w:rPr>
              <w:t>variant-alternates: normal; font-variant-position: normal; font-variant-emoji: normal; line- height: 200%; margin-top: 0.05cm; margin-bottom: 0cm;" align="center"&gt; &lt;span style="color: #000000;"&gt;</w:t>
              <w:tab/>
              <w:t>&lt;span style="font-family: &amp;quot;Times New Roman&amp;quot;, serif;"&gt;</w:t>
              <w:tab/>
              <w:t>&lt;span style="font-size: 14pt;"&gt;Relator&lt;/span&gt;</w:t>
              <w:tab/>
              <w:t>&lt;/span&gt;</w:t>
            </w:r>
          </w:p>
          <w:p>
            <w:pPr>
              <w:pStyle w:val="TableParagraph"/>
              <w:spacing w:line="190" w:lineRule="exact" w:before="0"/>
              <w:rPr>
                <w:sz w:val="20"/>
              </w:rPr>
            </w:pPr>
            <w:r>
              <w:rPr>
                <w:sz w:val="20"/>
              </w:rPr>
              <w:t>&lt;/span&gt;&lt;/p&gt;&lt;p&gt;&amp;#160;&lt;/p&gt;&lt;p&gt;&amp;#160;&lt;/p&gt;&lt;p&gt;&amp;#160;&lt;/p&gt;&lt;p style="text-align: center;"&gt;</w:t>
            </w:r>
          </w:p>
          <w:p>
            <w:pPr>
              <w:pStyle w:val="TableParagraph"/>
              <w:tabs>
                <w:tab w:pos="3288" w:val="left" w:leader="none"/>
              </w:tabs>
              <w:spacing w:line="215" w:lineRule="exact" w:before="0"/>
              <w:rPr>
                <w:sz w:val="20"/>
              </w:rPr>
            </w:pPr>
            <w:r>
              <w:rPr>
                <w:sz w:val="20"/>
              </w:rPr>
              <w:t>&lt;span style="font-size: medium;"&gt;</w:t>
              <w:tab/>
              <w:t>&lt;strong&gt;&amp;#160;&lt;/strong&gt; &lt;/span&gt;&lt;/p&gt;</w:t>
            </w:r>
          </w:p>
        </w:tc>
      </w:tr>
    </w:tbl>
    <w:p>
      <w:pPr>
        <w:pStyle w:val="BodyText"/>
        <w:rPr>
          <w:sz w:val="7"/>
        </w:r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260" w:hRule="atLeast"/>
        </w:trPr>
        <w:tc>
          <w:tcPr>
            <w:tcW w:w="2725" w:type="dxa"/>
            <w:shd w:val="clear" w:color="auto" w:fill="E5E5E5"/>
          </w:tcPr>
          <w:p>
            <w:pPr>
              <w:pStyle w:val="TableParagraph"/>
              <w:rPr>
                <w:b/>
                <w:sz w:val="20"/>
              </w:rPr>
            </w:pPr>
            <w:r>
              <w:rPr>
                <w:b/>
                <w:sz w:val="20"/>
              </w:rPr>
              <w:t>Número de ordem</w:t>
            </w:r>
          </w:p>
        </w:tc>
        <w:tc>
          <w:tcPr>
            <w:tcW w:w="8175" w:type="dxa"/>
          </w:tcPr>
          <w:p>
            <w:pPr>
              <w:pStyle w:val="TableParagraph"/>
              <w:rPr>
                <w:sz w:val="20"/>
              </w:rPr>
            </w:pPr>
            <w:r>
              <w:rPr>
                <w:sz w:val="20"/>
              </w:rPr>
              <w:t>329</w:t>
            </w:r>
          </w:p>
        </w:tc>
      </w:tr>
      <w:tr>
        <w:trPr>
          <w:trHeight w:val="260" w:hRule="atLeast"/>
        </w:trPr>
        <w:tc>
          <w:tcPr>
            <w:tcW w:w="2725" w:type="dxa"/>
            <w:shd w:val="clear" w:color="auto" w:fill="E5E5E5"/>
          </w:tcPr>
          <w:p>
            <w:pPr>
              <w:pStyle w:val="TableParagraph"/>
              <w:rPr>
                <w:b/>
                <w:sz w:val="20"/>
              </w:rPr>
            </w:pPr>
            <w:r>
              <w:rPr>
                <w:b/>
                <w:sz w:val="20"/>
              </w:rPr>
              <w:t>Órgão julgador</w:t>
            </w:r>
          </w:p>
        </w:tc>
        <w:tc>
          <w:tcPr>
            <w:tcW w:w="8175" w:type="dxa"/>
          </w:tcPr>
          <w:p>
            <w:pPr>
              <w:pStyle w:val="TableParagraph"/>
              <w:rPr>
                <w:sz w:val="20"/>
              </w:rPr>
            </w:pPr>
            <w:r>
              <w:rPr>
                <w:sz w:val="20"/>
              </w:rPr>
              <w:t>4º Gabinete da 5ª Câmara de Direito Privado</w:t>
            </w:r>
          </w:p>
        </w:tc>
      </w:tr>
      <w:tr>
        <w:trPr>
          <w:trHeight w:val="260" w:hRule="atLeast"/>
        </w:trPr>
        <w:tc>
          <w:tcPr>
            <w:tcW w:w="2725" w:type="dxa"/>
            <w:shd w:val="clear" w:color="auto" w:fill="E5E5E5"/>
          </w:tcPr>
          <w:p>
            <w:pPr>
              <w:pStyle w:val="TableParagraph"/>
              <w:rPr>
                <w:b/>
                <w:sz w:val="20"/>
              </w:rPr>
            </w:pPr>
            <w:r>
              <w:rPr>
                <w:b/>
                <w:sz w:val="20"/>
              </w:rPr>
              <w:t>Órgão julgador colegiado</w:t>
            </w:r>
          </w:p>
        </w:tc>
        <w:tc>
          <w:tcPr>
            <w:tcW w:w="8175" w:type="dxa"/>
          </w:tcPr>
          <w:p>
            <w:pPr>
              <w:pStyle w:val="TableParagraph"/>
              <w:rPr>
                <w:sz w:val="20"/>
              </w:rPr>
            </w:pPr>
            <w:r>
              <w:rPr>
                <w:sz w:val="20"/>
              </w:rPr>
              <w:t>5ª Câmara de Direito Privado</w:t>
            </w:r>
          </w:p>
        </w:tc>
      </w:tr>
      <w:tr>
        <w:trPr>
          <w:trHeight w:val="260" w:hRule="atLeast"/>
        </w:trPr>
        <w:tc>
          <w:tcPr>
            <w:tcW w:w="2725" w:type="dxa"/>
            <w:shd w:val="clear" w:color="auto" w:fill="E5E5E5"/>
          </w:tcPr>
          <w:p>
            <w:pPr>
              <w:pStyle w:val="TableParagraph"/>
              <w:rPr>
                <w:b/>
                <w:sz w:val="20"/>
              </w:rPr>
            </w:pPr>
            <w:r>
              <w:rPr>
                <w:b/>
                <w:sz w:val="20"/>
              </w:rPr>
              <w:t>Relator</w:t>
            </w:r>
          </w:p>
        </w:tc>
        <w:tc>
          <w:tcPr>
            <w:tcW w:w="8175" w:type="dxa"/>
          </w:tcPr>
          <w:p>
            <w:pPr>
              <w:pStyle w:val="TableParagraph"/>
              <w:rPr>
                <w:sz w:val="20"/>
              </w:rPr>
            </w:pPr>
            <w:r>
              <w:rPr>
                <w:sz w:val="20"/>
              </w:rPr>
              <w:t>JOSE KRENTEL FERREIRA FILHO</w:t>
            </w:r>
          </w:p>
        </w:tc>
      </w:tr>
      <w:tr>
        <w:trPr>
          <w:trHeight w:val="260" w:hRule="atLeast"/>
        </w:trPr>
        <w:tc>
          <w:tcPr>
            <w:tcW w:w="2725" w:type="dxa"/>
            <w:shd w:val="clear" w:color="auto" w:fill="E5E5E5"/>
          </w:tcPr>
          <w:p>
            <w:pPr>
              <w:pStyle w:val="TableParagraph"/>
              <w:rPr>
                <w:b/>
                <w:sz w:val="20"/>
              </w:rPr>
            </w:pPr>
            <w:r>
              <w:rPr>
                <w:b/>
                <w:sz w:val="20"/>
              </w:rPr>
              <w:t>Classe judicial</w:t>
            </w:r>
          </w:p>
        </w:tc>
        <w:tc>
          <w:tcPr>
            <w:tcW w:w="8175" w:type="dxa"/>
          </w:tcPr>
          <w:p>
            <w:pPr>
              <w:pStyle w:val="TableParagraph"/>
              <w:rPr>
                <w:sz w:val="20"/>
              </w:rPr>
            </w:pPr>
            <w:r>
              <w:rPr>
                <w:sz w:val="20"/>
              </w:rPr>
              <w:t>APELAÇÃO CÍVEL</w:t>
            </w:r>
          </w:p>
        </w:tc>
      </w:tr>
      <w:tr>
        <w:trPr>
          <w:trHeight w:val="260" w:hRule="atLeast"/>
        </w:trPr>
        <w:tc>
          <w:tcPr>
            <w:tcW w:w="2725" w:type="dxa"/>
            <w:shd w:val="clear" w:color="auto" w:fill="E5E5E5"/>
          </w:tcPr>
          <w:p>
            <w:pPr>
              <w:pStyle w:val="TableParagraph"/>
              <w:rPr>
                <w:b/>
                <w:sz w:val="20"/>
              </w:rPr>
            </w:pPr>
            <w:r>
              <w:rPr>
                <w:b/>
                <w:sz w:val="20"/>
              </w:rPr>
              <w:t>Assunto principal</w:t>
            </w:r>
          </w:p>
        </w:tc>
        <w:tc>
          <w:tcPr>
            <w:tcW w:w="8175" w:type="dxa"/>
          </w:tcPr>
          <w:p>
            <w:pPr>
              <w:pStyle w:val="TableParagraph"/>
              <w:rPr>
                <w:sz w:val="20"/>
              </w:rPr>
            </w:pPr>
            <w:r>
              <w:rPr>
                <w:sz w:val="20"/>
              </w:rPr>
              <w:t>Alienação Fiduciária</w:t>
            </w:r>
          </w:p>
        </w:tc>
      </w:tr>
      <w:tr>
        <w:trPr>
          <w:trHeight w:val="260" w:hRule="atLeast"/>
        </w:trPr>
        <w:tc>
          <w:tcPr>
            <w:tcW w:w="2725" w:type="dxa"/>
            <w:shd w:val="clear" w:color="auto" w:fill="E5E5E5"/>
          </w:tcPr>
          <w:p>
            <w:pPr>
              <w:pStyle w:val="TableParagraph"/>
              <w:rPr>
                <w:b/>
                <w:sz w:val="20"/>
              </w:rPr>
            </w:pPr>
            <w:r>
              <w:rPr>
                <w:b/>
                <w:sz w:val="20"/>
              </w:rPr>
              <w:t>Polo ativo</w:t>
            </w:r>
          </w:p>
        </w:tc>
        <w:tc>
          <w:tcPr>
            <w:tcW w:w="8175" w:type="dxa"/>
          </w:tcPr>
          <w:p>
            <w:pPr>
              <w:pStyle w:val="TableParagraph"/>
              <w:rPr>
                <w:sz w:val="20"/>
              </w:rPr>
            </w:pPr>
            <w:r>
              <w:rPr>
                <w:sz w:val="20"/>
              </w:rPr>
              <w:t>ITAU UNIBANCO HOLDING S.A.</w:t>
            </w:r>
          </w:p>
        </w:tc>
      </w:tr>
      <w:tr>
        <w:trPr>
          <w:trHeight w:val="260" w:hRule="atLeast"/>
        </w:trPr>
        <w:tc>
          <w:tcPr>
            <w:tcW w:w="2725" w:type="dxa"/>
            <w:shd w:val="clear" w:color="auto" w:fill="E5E5E5"/>
          </w:tcPr>
          <w:p>
            <w:pPr>
              <w:pStyle w:val="TableParagraph"/>
              <w:rPr>
                <w:b/>
                <w:sz w:val="20"/>
              </w:rPr>
            </w:pPr>
            <w:r>
              <w:rPr>
                <w:b/>
                <w:sz w:val="20"/>
              </w:rPr>
              <w:t>Advogado(s) - Polo ativo</w:t>
            </w:r>
          </w:p>
        </w:tc>
        <w:tc>
          <w:tcPr>
            <w:tcW w:w="8175" w:type="dxa"/>
          </w:tcPr>
          <w:p>
            <w:pPr>
              <w:pStyle w:val="TableParagraph"/>
              <w:rPr>
                <w:sz w:val="20"/>
              </w:rPr>
            </w:pPr>
            <w:r>
              <w:rPr>
                <w:sz w:val="20"/>
              </w:rPr>
              <w:t>ROBERTA BEATRIZ DO NASCIMENTO - (CE35179-A)</w:t>
            </w:r>
          </w:p>
        </w:tc>
      </w:tr>
      <w:tr>
        <w:trPr>
          <w:trHeight w:val="260" w:hRule="atLeast"/>
        </w:trPr>
        <w:tc>
          <w:tcPr>
            <w:tcW w:w="2725" w:type="dxa"/>
            <w:shd w:val="clear" w:color="auto" w:fill="E5E5E5"/>
          </w:tcPr>
          <w:p>
            <w:pPr>
              <w:pStyle w:val="TableParagraph"/>
              <w:rPr>
                <w:b/>
                <w:sz w:val="20"/>
              </w:rPr>
            </w:pPr>
            <w:r>
              <w:rPr>
                <w:b/>
                <w:sz w:val="20"/>
              </w:rPr>
              <w:t>Polo passivo</w:t>
            </w:r>
          </w:p>
        </w:tc>
        <w:tc>
          <w:tcPr>
            <w:tcW w:w="8175" w:type="dxa"/>
          </w:tcPr>
          <w:p>
            <w:pPr>
              <w:pStyle w:val="TableParagraph"/>
              <w:rPr>
                <w:sz w:val="20"/>
              </w:rPr>
            </w:pPr>
            <w:r>
              <w:rPr>
                <w:sz w:val="20"/>
              </w:rPr>
              <w:t>RAIMUNDO JORGE PESSOA DA SILVA</w:t>
            </w:r>
          </w:p>
        </w:tc>
      </w:tr>
      <w:tr>
        <w:trPr>
          <w:trHeight w:val="460" w:hRule="atLeast"/>
        </w:trPr>
        <w:tc>
          <w:tcPr>
            <w:tcW w:w="2725" w:type="dxa"/>
            <w:shd w:val="clear" w:color="auto" w:fill="E5E5E5"/>
          </w:tcPr>
          <w:p>
            <w:pPr>
              <w:pStyle w:val="TableParagraph"/>
              <w:rPr>
                <w:b/>
                <w:sz w:val="20"/>
              </w:rPr>
            </w:pPr>
            <w:r>
              <w:rPr>
                <w:b/>
                <w:sz w:val="20"/>
              </w:rPr>
              <w:t>Advogado(s) - Polo passivo</w:t>
            </w:r>
          </w:p>
        </w:tc>
        <w:tc>
          <w:tcPr>
            <w:tcW w:w="8175" w:type="dxa"/>
          </w:tcPr>
          <w:p>
            <w:pPr>
              <w:pStyle w:val="TableParagraph"/>
              <w:spacing w:line="215" w:lineRule="exact"/>
              <w:rPr>
                <w:sz w:val="20"/>
              </w:rPr>
            </w:pPr>
            <w:r>
              <w:rPr>
                <w:sz w:val="20"/>
              </w:rPr>
              <w:t>PAULO ROBERTO LOPES JUNIOR - (CE46673-A)</w:t>
            </w:r>
          </w:p>
          <w:p>
            <w:pPr>
              <w:pStyle w:val="TableParagraph"/>
              <w:spacing w:line="215" w:lineRule="exact" w:before="0"/>
              <w:rPr>
                <w:sz w:val="20"/>
              </w:rPr>
            </w:pPr>
            <w:r>
              <w:rPr>
                <w:sz w:val="20"/>
              </w:rPr>
              <w:t>GABRIEL MARCO PIMENTEL ARCHANJO DE OLIVEIRA - (CE41822-A)</w:t>
            </w:r>
          </w:p>
        </w:tc>
      </w:tr>
      <w:tr>
        <w:trPr>
          <w:trHeight w:val="260" w:hRule="atLeast"/>
        </w:trPr>
        <w:tc>
          <w:tcPr>
            <w:tcW w:w="2725" w:type="dxa"/>
            <w:shd w:val="clear" w:color="auto" w:fill="E5E5E5"/>
          </w:tcPr>
          <w:p>
            <w:pPr>
              <w:pStyle w:val="TableParagraph"/>
              <w:rPr>
                <w:b/>
                <w:sz w:val="20"/>
              </w:rPr>
            </w:pPr>
            <w:r>
              <w:rPr>
                <w:b/>
                <w:sz w:val="20"/>
              </w:rPr>
              <w:t>Terceiros</w:t>
            </w:r>
          </w:p>
        </w:tc>
        <w:tc>
          <w:tcPr>
            <w:tcW w:w="8175" w:type="dxa"/>
          </w:tcPr>
          <w:p>
            <w:pPr>
              <w:pStyle w:val="TableParagraph"/>
              <w:rPr>
                <w:sz w:val="20"/>
              </w:rPr>
            </w:pPr>
            <w:r>
              <w:rPr>
                <w:sz w:val="20"/>
              </w:rPr>
              <w:t>MINISTERIO PUBLICO DO ESTADO DO CEARA</w:t>
            </w:r>
          </w:p>
        </w:tc>
      </w:tr>
    </w:tbl>
    <w:p>
      <w:pPr>
        <w:spacing w:after="0"/>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14180" w:hRule="atLeast"/>
        </w:trPr>
        <w:tc>
          <w:tcPr>
            <w:tcW w:w="2725" w:type="dxa"/>
            <w:shd w:val="clear" w:color="auto" w:fill="E5E5E5"/>
          </w:tcPr>
          <w:p>
            <w:pPr>
              <w:pStyle w:val="TableParagraph"/>
              <w:rPr>
                <w:b/>
                <w:sz w:val="20"/>
              </w:rPr>
            </w:pPr>
            <w:r>
              <w:rPr>
                <w:b/>
                <w:sz w:val="20"/>
              </w:rPr>
              <w:t>Acordão</w:t>
            </w:r>
          </w:p>
        </w:tc>
        <w:tc>
          <w:tcPr>
            <w:tcW w:w="8175" w:type="dxa"/>
          </w:tcPr>
          <w:p>
            <w:pPr>
              <w:pStyle w:val="TableParagraph"/>
              <w:spacing w:line="208" w:lineRule="auto" w:before="26"/>
              <w:ind w:right="13"/>
              <w:rPr>
                <w:sz w:val="20"/>
              </w:rPr>
            </w:pPr>
            <w:r>
              <w:rPr>
                <w:sz w:val="20"/>
              </w:rPr>
              <w:t>&lt;p style="text-align: center;"&gt; &lt;img src="data:image/jpeg;base64,/9j/4AAQSkZJRgABAQAAAQABAAD/2wCEAAkGBxETEhUT EREWFhUWExcVGBcXFRgYGxoXHRoXFhkVGRYbHigiGholGxgZLTMjJTUrLzouGB8zOD csNygtLisBCgoKDg0OGxAQGzAlICUrMiswNzE1LTUrNjItNS0yLS0vNzUtLS0tNy81Li0tMi0t Ky0tLy0vLTYtLi0tLS4vNf/AABEIAI0AjQMBIgACEQEDEQH/xAAbAAEAAgMBAQAAAAAAA AAAAAAABQYDBAcCAf/EAEEQAAIBAgQDBgIHBQUJAAAAAAECEQADBBIhMQVBUQY TImFxgTKhQlKCkbHB0SMzcpLwFFNik6I0Q0RUY4PC0uH/xAAaAQEAAwEBAQAAAAAA AAAAAAAAAgMFBAEG/8QALREAAgEDAwMBBgcAAAAAAAAAAAECAxExBCFBEhNRIg</w:t>
            </w:r>
          </w:p>
          <w:p>
            <w:pPr>
              <w:pStyle w:val="TableParagraph"/>
              <w:spacing w:line="208" w:lineRule="auto" w:before="0"/>
              <w:ind w:right="1"/>
              <w:rPr>
                <w:sz w:val="20"/>
              </w:rPr>
            </w:pPr>
            <w:r>
              <w:rPr>
                <w:sz w:val="20"/>
              </w:rPr>
              <w:t>UUMnGx8EJhgZGhwdH/2gAMAwEAAhEDEQA/AO40pSgFKUoBSlR3G+J9wisEzlnyAZson KzSTB5KeVeNpK7PUruyJGlVEdq74fxYYMsDRG13M+JoBjTTTetW5xzFZATfRX8JKwgXc ZhrJ2nnVXvEPJZ2pF4pVLbtC7tJxKWRlUZUey3i1zGXQmNvurw/aK+VVFvW9HbNdz2yzL mOUBIyg5YnTcU70TztSLvSqevaHEWzt36lTtkWGkQSRuIzbA7CvdjtXeCg3bCxzhypH2SD J9xRV6fkdqRbaUpVxWKUpQClKUApSlAKUpQCtPi3DlxFprTkgGCGUwVI1DA9a3Kg+0vG Ut2XVLq96wyKAwkE6FoGugk+oFeStbc9WTndzADOQWNwZmAOQeID6Uu5EH8xWLCW 0LEAmIGkosGA3iOQDYjadjW6mDZpVbJIywrf2e6+8iAx2iB99ZsNwa+GLLYua5j8K7tl+uwg DKOXM1mqEnfZnY5xXJquUyqQYnKf30aEzB0gEidN/ur7fFuD5KW0uAnTcQy7+RrFxnszj7 2WMO2hJOZ7I1KoNg+0qfvqQs8GxgTI9i5GTKYNhtcqgnV51Oc+4qboytg87kfJFWsOhzSC xUtJC2yBlMEaqpkabf8AwWLsfwVbl0tcuN+yZXFuGAbmrGXIIDA6AchrrFR1vg15WJaw2pdj No3JZ8kmFYx8Pzra4Limw95LjoUWSjg2rlsZCYnxaQCFb0FIQamrrY8lJOOzOlUrDh8VbcT bdXHVWDfhWatA5BSlKAUpSgFKUoBSlR3FMWf3VtociWb+7Tm/qYIE85OwNAaHHOIWyr 5zFi1+8P12G1odQDEjmYX6wqg3e3t8SLNq1bWdBlJMcuYHyrT7XccF9has6WLWi/4m27w 9ecT1J51X16GoSl4MvU6uV7U3jJPXe2OPb/fx5BEHzyzWs/aHGHfE3fZyPwqNit/h/CLt3UD Kv1m5jqF50ipzdkcfeqy36nY8njOK/wCav/5z/rQcZxQ/4q//AJr/AK1Kp2aWPFccnyyj8jWDEd nSPguT5MPzH6Vb7vUtdfdyPdkn8f14Ne32kxq7Ym57tm/Ga3LHbfHLvdVv4kX/AMQKg71lk bK6wfx8wedYyKpfVF2Z77xVj+Jl97P9qBibot31S3eOtq6gjx/VMk79Jg6jnXQOHYzvFOYZX U5XXoeo6qRqD085FcA21FdM7Jcfa+oO+JtLDLt31r/2HyPQMalGV9maWk1Xc9Msl+pWLD X1uKHQypEj9CORB5VlqR3ilKUApSlAKj8dgCSblohbkaz8LgfRcfg248xoZClAcf7ZcFRMuIsr lt3GKun93dEyschIPlI00IqLxnAL1uwl9suRyYIdD0iIOs67dDNX/tnbHcY0cs1l/Rz3YPyA++ub 38fdNsIzkosZV5AiQIHLc+tQktzH1dOMam2Xj5m52d4X3zFnEomkfWb9BI++rat1cxUT8O8a TE5Z+tGsdK9cJwgtWkX6qyfXd/zNaWHskP3vd3Moulycmnd5X8URA0ke086sU+naJZDTK a3wbuIQqNFzEDaY8t/Sa12OhJy6CSM0ED+Fwpb7INTVy15c5jz5L7CJrVtvctuXtkZvNQVE cp367Eb1ZTrX+ErlQgnapggOIYVbiQwMH4WgwDyIP9dKqly2VJVt1MH9fQ1f+1fFldrbmdbS kIToHMMfX4l/kqk8TYlg5iT4TAjzH517XlGcFfP3koq0OiTjG9lvv/X5W/k0wpJgCSdAPPpXVO zPAe4HdJpdKhr92ASoO1tJ56fKTuBVA7MIDi7AO3eqfcGR8wK7BwMeG43Nr9yfZsi/6FWu aC5Oz2dTXS584NzC4ZLa5UEDU7kkk6kknUknmazUpUzTFKUoBSlKAUJpUdxtiUFsb3W7 v0Uglz5eANB6kUBTe2GJZsOEQEvi7/eBRubahQmnWFtadSaqN/hN2zftW7yRNxDrzEgm OvStztfxTvMWxWMtoi2g5eE66fxT7AVG4niFy9dR7zZmkLJAk7gT9/yFRzIxq1SM6/ydkXxy SCBp4ZP5D+vzrVs21i4ndWpGBL5dNBDDvAe7nP5T0qBVRz/GtgWQpbPbKwo33KkZojkII 0PWlPSzhUnKUrp2svFjshq4dCUY4yWXE4wW0Zrh0VZnYkdPWem5Ik1Qsdxu5cbNmKjkq kgAdNNz51bcVwO2pti4AzFGdh9EHQBQOY1Op5gbbVBcb7m23d27FsuQTqAIA1++K4tOp Uoqm5dT84O6vpnV9fwrwRmN4n3otjbJbyk+eZjm9Yyj7IrUxLiNCTqN46+lbtrug+W5atlSYD L1iTpPnWbi+BtJbYqgBlQP5h+VXupaST5KZaGTi59S2yR+ExBt3EuDdHVx9kgx8q7Pwi8O 8cKZW6q30PUEKjAekIf+5XEjXQuxvE82GUk+LCPr52GmZ8gMxj/prVsHwZvs6pu4fqdCpSl TNcUpSgFKUoBVe4/je7N67/cYYlf43J0/0J/MasNU7tijGxjQN/2T/YGST6eB/uoRm7RbOf8A AOCvimZUZZVGY5jBMAxvyLQCeU1HX1iQCCVO41Eg8jX3D4h01Ryp01UkbGRt5gfdXzX eqU+T5vqSs1m5aOC5Xu2Z+FrlvfmCwgH1q3druEGTiE1GWLi+Q0zjqY0I6AR5804bdb92H ykHMpidN4HmDU44v3XFy9fLkHmoj2EwvtFd28mpI0aU4RpuL53RYkum7Yt3R4mtAo8akq QpzjqYCn3bnVS43h/2jvLd3cQeJZIkajQczy9as3B8R3d1fqv4G9foH+bT7dSXE+E2yGZSU MEmPhJ31U6fdBrPrR7dQ2tNU7tLc5jg8PmXKkyzCYkAAc55g6/Kt/j7wETzzeyiPxPyqS4PY cYfvIBQFpObUAakmY09D7VW8Xie8uM3LZf4R+u/vUN5VL8Ir1lWNHSu2ZKxiNWLsBisuLF s/DdRkI5bZh+BH2qrhqV7JIzYywF37yfYAk/IGro5PnNK2qsbeTsXBHJsoCZK5rZPUoxtz75Z 963qj+C/A55G9dj2Yg/6gakKtPohSlKAUpSgFRnFsOZ71VzQpS4kTmtnoOZUyQOYLDcipO lAcX7TdnTYPe2vHh31VxrlnZWP4H8683uL2ThFsCyouBsxuZRrOhA6HKE18j611fF8NPia1l 8U57bfA87nnlY9RIPMHcUfi/Y63cYnDfsru5sXNPdG109JHmKi4+DNr6Nq8qfPH+FHAmImZ 0jefKpfAcZA0uiP8QEg+o5V94XdbBYgHE2CSoJyMBqfolW2gHmJqO4hfV7jsihVLHKoAELy EDnFIVHAz03TVn+xaLWPskpF1P3lvXONPGpk66Rv7VYuI9p8HbBm8r6fCnjJ8vDoPeK5rh OH3Ls5LZbKCxIE6ASfesDLBgiCOW1RqtVGmzto+0HRj6Y58ktxnjTXh3du2LVgGcigDMeR eNPb8YqHcTU3w7jFq3hrlprKs7/C5UHLGqz9bUn089q88F7M4jEeILkt7m4+ix1A3b208xUU uEc9SVXUTUr3f0IW2GYhQCWJgACST5DrXRuynAGwwkgHFXVgDcWk5s39akADma3uz vAbdr/ZlzMRBxNwaeYtL9L206sYirVg8GtsGJJOrM2rMepP5DQcoq1RsaGn0ipvqeT3hcOLa Ki7KANdz5k8yay0pXp2ilKUApSlAKUpQCsOKwqXBDqCNx1B6gjVT5jWs1KAguIcILLkdRiL X1XgXF/hfQMfXKf8Rqj8W7FzmbBsWj4rL+G4vlrHzj1NdVrWxmBS5BMhh8Lroy+h6eRkHm DRpPJVVowqK0kcV4Xxe/hGcIMrHwuGBmAZKkcj579Irxwjg9/FNFpJ18TnRV9W6+Q1rovH eB2brAYvwsozLeTw50XVlbowE6e45gSvDuFhkVcndWAPDZHhLDrcO+v1f5pmBHoOKOg 9VpO8Vgr3BOyti2dE/tN0HVm0tIek6gkfaPkKtdvheaDfbvDyWItj0T6Xq0+UVIW0CgBQAAIA AgAdAK9VI74QjBWihSlKExSlKAUpSgFKUoBSlKAUpSgFKUoDDicMlwAOoYBgwnkymQa zUpQClKUApSlAKUpQClKUB//Z" alt="Bem vindo ao PJe · Processo Judicial Eletrônico"</w:t>
            </w:r>
          </w:p>
          <w:p>
            <w:pPr>
              <w:pStyle w:val="TableParagraph"/>
              <w:tabs>
                <w:tab w:pos="1439" w:val="left" w:leader="none"/>
                <w:tab w:pos="6332" w:val="left" w:leader="none"/>
              </w:tabs>
              <w:spacing w:line="208" w:lineRule="auto" w:before="0"/>
              <w:ind w:right="59"/>
              <w:rPr>
                <w:sz w:val="20"/>
              </w:rPr>
            </w:pPr>
            <w:r>
              <w:rPr>
                <w:sz w:val="20"/>
              </w:rPr>
              <w:t>/&gt;&lt;/p&gt;&lt;p style="text-align: center;"&gt;  &lt;span style="font-size: small;"&gt;</w:t>
              <w:tab/>
              <w:t>&lt;strong&gt;ESTADO DO CEARÁ&amp;#160;&lt;/strong&gt; &lt;/span&gt;&lt;/p&gt;&lt;p style="text-align: center;"&gt; &lt;span </w:t>
            </w:r>
            <w:r>
              <w:rPr>
                <w:spacing w:val="-2"/>
                <w:sz w:val="20"/>
              </w:rPr>
              <w:t>style="font- </w:t>
            </w:r>
            <w:r>
              <w:rPr>
                <w:sz w:val="20"/>
              </w:rPr>
              <w:t>size: small;"&gt;</w:t>
              <w:tab/>
              <w:t>&lt;strong&gt;&amp;#160;&lt;/strong&gt; &lt;/span&gt; &lt;strong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spacing w:line="215" w:lineRule="exact"/>
              <w:rPr>
                <w:sz w:val="20"/>
              </w:rPr>
            </w:pPr>
            <w:r>
              <w:rPr>
                <w:sz w:val="20"/>
              </w:rPr>
              <w:t>small;"&gt;&amp;#160; &amp;#160;PODER JUDICIÁRIO&amp;#160; &amp;#160;&amp;#160;&lt;/strong&gt;&lt;/p&gt;&lt;p</w:t>
            </w:r>
          </w:p>
          <w:p>
            <w:pPr>
              <w:pStyle w:val="TableParagraph"/>
              <w:tabs>
                <w:tab w:pos="5476" w:val="left" w:leader="none"/>
              </w:tabs>
              <w:spacing w:line="208" w:lineRule="auto" w:before="9"/>
              <w:ind w:right="531"/>
              <w:rPr>
                <w:sz w:val="20"/>
              </w:rPr>
            </w:pPr>
            <w:r>
              <w:rPr>
                <w:sz w:val="20"/>
              </w:rPr>
              <w:t>style="text-align: center;"&gt;  &lt;span style="font-size: small;"&gt;</w:t>
              <w:tab/>
              <w:t>&lt;strong&gt;&amp;#160; &amp;#160; &amp;#160; &amp;#160; &amp;#160; TRIBUNAL DE JUSTIÇA ESTADO DO CEARA&amp;#160; </w:t>
            </w:r>
            <w:r>
              <w:rPr>
                <w:spacing w:val="-3"/>
                <w:sz w:val="20"/>
              </w:rPr>
              <w:t>&amp;#160;</w:t>
            </w:r>
          </w:p>
          <w:p>
            <w:pPr>
              <w:pStyle w:val="TableParagraph"/>
              <w:tabs>
                <w:tab w:pos="2438" w:val="left" w:leader="none"/>
              </w:tabs>
              <w:spacing w:line="208" w:lineRule="auto" w:before="0"/>
              <w:ind w:right="193"/>
              <w:rPr>
                <w:sz w:val="20"/>
              </w:rPr>
            </w:pPr>
            <w:r>
              <w:rPr>
                <w:sz w:val="20"/>
              </w:rPr>
              <w:t>&amp;#160; &amp;#160; &amp;#160;&lt;/strong&gt; &lt;/span&gt;&lt;/p&gt;&lt;p style="text-align: center;"&gt; &lt;span style="font-size: small;"&gt;</w:t>
              <w:tab/>
              <w:t>&lt;strong&gt;5ª CÂMARA DE DIREITO</w:t>
            </w:r>
            <w:r>
              <w:rPr>
                <w:spacing w:val="-16"/>
                <w:sz w:val="20"/>
              </w:rPr>
              <w:t> </w:t>
            </w:r>
            <w:r>
              <w:rPr>
                <w:sz w:val="20"/>
              </w:rPr>
              <w:t>PRIVADO&amp;#160;&lt;/strong&gt;</w:t>
            </w:r>
          </w:p>
          <w:p>
            <w:pPr>
              <w:pStyle w:val="TableParagraph"/>
              <w:spacing w:line="190" w:lineRule="exact" w:before="0"/>
              <w:rPr>
                <w:sz w:val="20"/>
              </w:rPr>
            </w:pPr>
            <w:r>
              <w:rPr>
                <w:sz w:val="20"/>
              </w:rPr>
              <w:t>&lt;/span&gt;&lt;/p&gt;&lt;p style="text-align: center;"&gt; &lt;span style="font-size: small;"&gt;</w:t>
            </w:r>
          </w:p>
          <w:p>
            <w:pPr>
              <w:pStyle w:val="TableParagraph"/>
              <w:spacing w:line="200" w:lineRule="exact" w:before="0"/>
              <w:rPr>
                <w:sz w:val="20"/>
              </w:rPr>
            </w:pPr>
            <w:r>
              <w:rPr>
                <w:sz w:val="20"/>
              </w:rPr>
              <w:t>&lt;strong&gt;GABINETE JUIZ CONVOCADO JOSÉ KRENTEL FERREIRA FILHO&lt;/strong&gt;</w:t>
            </w:r>
          </w:p>
          <w:p>
            <w:pPr>
              <w:pStyle w:val="TableParagraph"/>
              <w:tabs>
                <w:tab w:pos="2682" w:val="left" w:leader="none"/>
                <w:tab w:pos="5483" w:val="left" w:leader="none"/>
              </w:tabs>
              <w:spacing w:line="208" w:lineRule="auto" w:before="10"/>
              <w:ind w:right="158"/>
              <w:rPr>
                <w:sz w:val="20"/>
              </w:rPr>
            </w:pPr>
            <w:r>
              <w:rPr>
                <w:sz w:val="20"/>
              </w:rPr>
              <w:t>&lt;/span&gt;&lt;/p&gt;&lt;p style="text-align: center;"&gt;&amp;#160;&lt;/p&gt;&lt;p style="text-align: left;"&gt; &lt;span style="font-size: medium;"&gt; &lt;strong&gt;PROCESSO:&lt;/strong&gt;&amp;#160;0263791- 11.2023.8.06.0001 -&amp;#160;APELAÇÃO CÍVEL (198)&lt;/span&gt;&lt;/p&gt;&lt;p style="text-align: left;"&gt; &lt;span style="font-size: medium;"&gt;APELANTE: ITAU UNIBANCO HOLDING S.A.&lt;/span&gt;&lt;/p&gt;&lt;p style="text-align: left;"&gt; &lt;span style="font-size: medium;"&gt;APELADO: RAIMUNDO JORGE PESSOA DA SILVA&lt;/span&gt;&lt;/p&gt;&lt;p style="text-align: left;"&gt; &lt;span style="font-size: medium;"&gt;</w:t>
              <w:tab/>
              <w:t>&lt;br /&gt; &lt;/span&gt;&lt;/p&gt;&lt;h3 class="western" style="line-height: 200%; text-align: justify;"&gt;&lt;span style="font-family: &amp;quot;Times New Roman&amp;quot;, serif;"&gt; &lt;span style="font-size: 14pt;"&gt;EMENTA:&lt;/span&gt;&lt;/span&gt; &lt;strong&gt; &lt;span style="font-family: &amp;quot;Times New Roman&amp;quot;, serif;"&gt;</w:t>
              <w:tab/>
              <w:t>&lt;span style="font-size: 14pt;"&gt;EMBARGOS DE DECLARAÇÃO. AÇÃO DE BUSCA E APREENSÃO. CAPITALIZAÇÃO DIÁRIA DE JUROS. AUSÊNCIA DE PACTUAÇÃO EXPRESSA DA TAXA. DESCARACTERIZAÇÃO DA MORA. ALEGAÇÃO DE OMISSÃO. INOCORRÊNCIA. REDISCUSSÃO DO MÉRITO. IMPOSSIBILIDADE. EMBARGOS</w:t>
            </w:r>
          </w:p>
          <w:p>
            <w:pPr>
              <w:pStyle w:val="TableParagraph"/>
              <w:tabs>
                <w:tab w:pos="2217" w:val="left" w:leader="none"/>
                <w:tab w:pos="5483" w:val="left" w:leader="none"/>
                <w:tab w:pos="7111" w:val="left" w:leader="none"/>
              </w:tabs>
              <w:spacing w:line="208" w:lineRule="auto" w:before="0"/>
              <w:ind w:right="164"/>
              <w:rPr>
                <w:sz w:val="20"/>
              </w:rPr>
            </w:pPr>
            <w:r>
              <w:rPr>
                <w:sz w:val="20"/>
              </w:rPr>
              <w:t>CONHECIDOS E NO MÉRITO&amp;#160;&lt;/span&gt; &lt;/span&gt;&lt;/strong&gt;&lt;strong style="font-size: 1.17em;"&gt;  &lt;span style="font-family: &amp;quot;Times New Roman&amp;quot;, serif;"&gt;</w:t>
              <w:tab/>
              <w:t>&lt;span style="font-size: 14pt;"&gt;REJEITADOS.&amp;#160;&lt;/span&gt; &lt;/span&gt;&lt;/strong&gt;&lt;/h3&gt;&lt;p style="line-height: 200%" align="justify"&gt; &lt;span style="font-family: &amp;quot;Times New Roman&amp;quot;, serif;"&gt;</w:t>
              <w:tab/>
              <w:t>&lt;span style="font-size: 14pt;"&gt;I – Caso em Exame: Trata-se de embargos de declaração opostos contra acórdão que reconheceu a abusividade da capitalização diária de juros sem previsão da taxa contratual, descaracterizando a mora </w:t>
            </w:r>
            <w:r>
              <w:rPr>
                <w:spacing w:val="-18"/>
                <w:sz w:val="20"/>
              </w:rPr>
              <w:t>e </w:t>
            </w:r>
            <w:r>
              <w:rPr>
                <w:sz w:val="20"/>
              </w:rPr>
              <w:t>extinguindo a ação de busca e apreensão, com fixação de indenização substitutiva.&lt;/span&gt; &lt;/span&gt;&lt;/p&gt;&lt;p style="line-height: 200%" align="justify"&gt; &lt;span style="font-family: &amp;quot;Times New Roman&amp;quot;, serif;"&gt;</w:t>
              <w:tab/>
              <w:t>&lt;span style="font-size: 14pt;"&gt;II – Questão em Discussão: Se o acórdão teria incorrido em omissão ao não se manifestar sobre a legalidade da capitalização mensal e anual de juros e sobre o parâmetro de perdas e danos (valor FIPE).&lt;/span&gt; &lt;/span&gt;&lt;/p&gt;&lt;p style="line-height: 200%" align="justify"&gt; &lt;span style="font-family: &amp;quot;Times New Roman&amp;quot;, serif;"&gt;</w:t>
            </w:r>
          </w:p>
          <w:p>
            <w:pPr>
              <w:pStyle w:val="TableParagraph"/>
              <w:tabs>
                <w:tab w:pos="5483" w:val="left" w:leader="none"/>
              </w:tabs>
              <w:spacing w:line="208" w:lineRule="auto" w:before="0"/>
              <w:ind w:right="105"/>
              <w:rPr>
                <w:sz w:val="20"/>
              </w:rPr>
            </w:pPr>
            <w:r>
              <w:rPr>
                <w:sz w:val="20"/>
              </w:rPr>
              <w:t>&lt;span style="font-size: 14pt;"&gt;III – Razões de Decidir: Os embargos de declaração não </w:t>
            </w:r>
            <w:r>
              <w:rPr>
                <w:spacing w:val="-9"/>
                <w:sz w:val="20"/>
              </w:rPr>
              <w:t>se </w:t>
            </w:r>
            <w:r>
              <w:rPr>
                <w:sz w:val="20"/>
              </w:rPr>
              <w:t>prestam à rediscussão de mérito. O acórdão recorrido enfrentou expressamente a ausência de pactuação da taxa de juros diária e seus efeitos na descaracterização da mora. As questões trazidas pelo embargante já foram apreciadas, não configurando omissão.&lt;/span&gt; &lt;/span&gt;&lt;/p&gt;&lt;p style="line-height: 200%" align="justify"&gt; &lt;span style="font-family: &amp;quot;Times New Roman&amp;quot;, serif;"&gt;</w:t>
              <w:tab/>
              <w:t>&lt;span style="font-size: 14pt;"&gt;IV – Dispositivo e Tese: Embargos de declaração rejeitados. Honorários advocatícios majorados em 2% sobre o valor atualizado da condenação, nos termos do art. 85, §11, CPC.&lt;/span&gt; &lt;/span&gt;&lt;/p&gt;&lt;p style="line-height: 200%" align="justify"&gt;</w:t>
            </w:r>
          </w:p>
          <w:p>
            <w:pPr>
              <w:pStyle w:val="TableParagraph"/>
              <w:tabs>
                <w:tab w:pos="1051" w:val="left" w:leader="none"/>
                <w:tab w:pos="4951" w:val="left" w:leader="none"/>
                <w:tab w:pos="5483" w:val="left" w:leader="none"/>
                <w:tab w:pos="7212" w:val="left" w:leader="none"/>
              </w:tabs>
              <w:spacing w:line="208" w:lineRule="auto" w:before="0"/>
              <w:ind w:right="75"/>
              <w:rPr>
                <w:sz w:val="20"/>
              </w:rPr>
            </w:pPr>
            <w:r>
              <w:rPr>
                <w:sz w:val="20"/>
              </w:rPr>
              <w:t>&lt;strong&gt;</w:t>
              <w:tab/>
              <w:t>&lt;span style="font-family: &amp;quot;Times New Roman&amp;quot;, serif;"&gt;</w:t>
              <w:tab/>
              <w:t>&lt;span style="font-size: 14pt;"&gt;Tese de Julgamento:&lt;/span&gt;</w:t>
              <w:tab/>
              <w:t>&lt;/span&gt; &lt;/strong&gt; &lt;span style="font-family: &amp;quot;Times New Roman&amp;quot;, serif;"&gt;</w:t>
              <w:tab/>
              <w:t>&lt;span style="font-size: 14pt;"&gt;Não configurada omissão, obscuridade ou contradição, são rejeitados os </w:t>
            </w:r>
            <w:r>
              <w:rPr>
                <w:spacing w:val="-3"/>
                <w:sz w:val="20"/>
              </w:rPr>
              <w:t>embargos </w:t>
            </w:r>
            <w:r>
              <w:rPr>
                <w:sz w:val="20"/>
              </w:rPr>
              <w:t>de declaração que visam rediscutir o mérito do julgado.&lt;/span&gt; &lt;/span&gt;&lt;/p&gt;&lt;p</w:t>
            </w:r>
          </w:p>
          <w:p>
            <w:pPr>
              <w:pStyle w:val="TableParagraph"/>
              <w:tabs>
                <w:tab w:pos="883" w:val="left" w:leader="none"/>
                <w:tab w:pos="1674" w:val="left" w:leader="none"/>
                <w:tab w:pos="2217" w:val="left" w:leader="none"/>
                <w:tab w:pos="2784" w:val="left" w:leader="none"/>
                <w:tab w:pos="4743" w:val="left" w:leader="none"/>
              </w:tabs>
              <w:spacing w:line="208" w:lineRule="auto" w:before="0"/>
              <w:ind w:right="48"/>
              <w:rPr>
                <w:sz w:val="20"/>
              </w:rPr>
            </w:pPr>
            <w:r>
              <w:rPr>
                <w:sz w:val="20"/>
              </w:rPr>
              <w:t>style="line-height: 200%" align="justify"&gt;  &lt;strong&gt;</w:t>
              <w:tab/>
              <w:t>&lt;span style="font-family: &amp;quot;Times New Roman&amp;quot;, serif;"&gt;</w:t>
              <w:tab/>
              <w:t>&lt;span style="font-size: 14pt;"&gt;Dispositivos relevantes citados:&lt;/span&gt;</w:t>
              <w:tab/>
              <w:t>&lt;/span&gt; &lt;/strong&gt; &lt;span style="font-family: &amp;quot;Times New Roman&amp;quot;, serif;"&gt;</w:t>
              <w:tab/>
              <w:t>&lt;span style="font-size: 14pt;"&gt;CPC, arts. 1.022, I e II; 1.023, §2º; 1.026, §2º; 85, §11; CDC, arts. 6º, III, 46, 51, IV.&lt;/span&gt; &lt;/span&gt;&lt;/p&gt;&lt;h3 class="western" style="line-height: 200%"&gt; &lt;span style="font-family: &amp;quot;Times New Roman&amp;quot;, serif;"&gt;</w:t>
              <w:tab/>
              <w:t>&lt;span style="font-size: 14pt;"&gt;ACÓRDÃO&lt;/span&gt; &lt;/span&gt;&lt;/h3&gt;&lt;p style="line- height: 200%" align="justify"&gt;&lt;span style="font-family: &amp;quot;Times New Roman&amp;quot;, serif;"&gt; &lt;span style="font-size: 14pt;"&gt;Vistos, relatados e discutidos estes autos, acordam os Desembargadores integrantes da&lt;/span&gt;&lt;/span&gt; &lt;span style="font-family: &amp;quot;Times New Roman&amp;quot;, serif;"&gt; &lt;span style="font-size: 14pt;"&gt;5&lt;/span&gt;&lt;/span&gt;&lt;span style="font-family: &amp;quot;Times New Roman&amp;quot;, serif;"&gt;</w:t>
            </w:r>
          </w:p>
          <w:p>
            <w:pPr>
              <w:pStyle w:val="TableParagraph"/>
              <w:tabs>
                <w:tab w:pos="2217" w:val="left" w:leader="none"/>
                <w:tab w:pos="5483" w:val="left" w:leader="none"/>
              </w:tabs>
              <w:spacing w:line="208" w:lineRule="auto" w:before="0"/>
              <w:ind w:right="631"/>
              <w:rPr>
                <w:sz w:val="20"/>
              </w:rPr>
            </w:pPr>
            <w:r>
              <w:rPr>
                <w:sz w:val="20"/>
              </w:rPr>
              <w:t>&lt;span style="font-size: 14pt;"&gt;ª Câmara de Direito Privado do Tribunal de Justiça </w:t>
            </w:r>
            <w:r>
              <w:rPr>
                <w:spacing w:val="-9"/>
                <w:sz w:val="20"/>
              </w:rPr>
              <w:t>do </w:t>
            </w:r>
            <w:r>
              <w:rPr>
                <w:sz w:val="20"/>
              </w:rPr>
              <w:t>Estado do Ceará, por unanimidade, em conhecer dos embargos e no mérito&amp;#160;&lt;/span&gt;&lt;/span&gt;&lt;strong style="color: #ff0000; font-size: 18.6667px;"&gt;&amp;#160;&lt;/strong&gt;&lt;strong&gt; &lt;span style="font-family: &amp;quot;Times New Roman&amp;quot;, serif;"&gt;</w:t>
              <w:tab/>
              <w:t>&lt;span style="font-size: 14pt;"&gt;rejeitar os embargos de declaração&lt;/span&gt; &lt;/span&gt;&lt;/strong&gt;&lt;span style="font-family: &amp;quot;Times New Roman&amp;quot;, serif;"&gt; &lt;span style="font-size: 14pt;"&gt;, nos termos do voto do Relator.&lt;/span&gt;&lt;/span&gt;&lt;/p&gt;&lt;p style="line-height: 200%" align="justify"&gt; &lt;span style="font-family: &amp;quot;Times New Roman&amp;quot;, serif;"&gt;</w:t>
              <w:tab/>
              <w:t>&lt;span style="font-size:</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883" w:val="left" w:leader="none"/>
                <w:tab w:pos="2217" w:val="left" w:leader="none"/>
                <w:tab w:pos="7555" w:val="left" w:leader="none"/>
              </w:tabs>
              <w:spacing w:line="208" w:lineRule="auto" w:before="26"/>
              <w:ind w:right="23"/>
              <w:rPr>
                <w:sz w:val="20"/>
              </w:rPr>
            </w:pPr>
            <w:r>
              <w:rPr>
                <w:sz w:val="20"/>
              </w:rPr>
              <w:t>14pt;"&gt;&amp;#160;&lt;/span&gt;  &lt;/span&gt;  &lt;span style="font-size: 14pt; font-family: &amp;quot;Times New Roman&amp;quot;, serif;"&gt;Fortaleza, data de inserção no sistema.&lt;/span&gt;&lt;/p&gt;&lt;p style="line-height: 200%" align="center"&gt; &lt;br /&gt; &lt;br /&gt;&lt;/p&gt;&lt;p style="line-height: 200%" align="center"&gt;  &lt;span style="font-family: &amp;quot;Times New Roman&amp;quot;, serif;"&gt;</w:t>
              <w:tab/>
              <w:t>&lt;span style="font-size: 14pt;"&gt;Maria Regina Oliveira Câmara&lt;/span&gt; &lt;/span&gt;&lt;/p&gt;&lt;p style="line- height: 200%" align="center"&gt; &lt;span style="font-family: &amp;quot;Times New Roman&amp;quot;, serif;"&gt;</w:t>
              <w:tab/>
              <w:t>&lt;span style="font-size: 14pt;"&gt;Presidente&lt;/span&gt; &lt;/span&gt;&lt;/p&gt;&lt;p style="line- height: 200%" align="center"&gt; &lt;span style="font-family: &amp;quot;Times New Roman&amp;quot;, serif;"&gt;</w:t>
              <w:tab/>
              <w:t>&lt;span style="font-size: 14pt;"&gt;José Krentel Ferreira Lima&lt;/span&gt; </w:t>
            </w:r>
            <w:r>
              <w:rPr>
                <w:spacing w:val="-2"/>
                <w:sz w:val="20"/>
              </w:rPr>
              <w:t>&lt;/span&gt;&lt;/p&gt;&lt;p </w:t>
            </w:r>
            <w:r>
              <w:rPr>
                <w:sz w:val="20"/>
              </w:rPr>
              <w:t>style="line-height: 200%" align="center"&gt; &lt;span style="font-family: &amp;quot;Times New Roman&amp;quot;, serif;"&gt;</w:t>
              <w:tab/>
              <w:t>&lt;span style="font-size: 14pt;"&gt;Relator&lt;/span&gt; &lt;/span&gt;&lt;/p&gt;&lt;h3 class="western" style="line-height: 200%"&gt; &lt;span style="font-family: &amp;quot;Times New Roman&amp;quot;, serif;"&gt;</w:t>
              <w:tab/>
              <w:t>&lt;span style="font-size: 14pt;"&gt;RELATÓRIO&lt;/span&gt;</w:t>
            </w:r>
          </w:p>
          <w:p>
            <w:pPr>
              <w:pStyle w:val="TableParagraph"/>
              <w:tabs>
                <w:tab w:pos="3851" w:val="left" w:leader="none"/>
                <w:tab w:pos="7510" w:val="left" w:leader="none"/>
              </w:tabs>
              <w:spacing w:line="208" w:lineRule="auto" w:before="0"/>
              <w:ind w:right="31"/>
              <w:rPr>
                <w:sz w:val="20"/>
              </w:rPr>
            </w:pPr>
            <w:r>
              <w:rPr>
                <w:sz w:val="20"/>
              </w:rPr>
              <w:t>&lt;/span&gt;&lt;/h3&gt;&lt;p style="line-height: 200%" align="justify"&gt;&lt;span style="font-family: &amp;quot;Times New Roman&amp;quot;, serif;"&gt; &lt;span style="font-size: 14pt;"&gt;Trata-se de embargos de declaração opostos por&lt;/span&gt;&lt;/span&gt; &lt;strong&gt; &lt;span style="font-family: &amp;quot;Times New Roman&amp;quot;, serif;"&gt;</w:t>
              <w:tab/>
              <w:t>&lt;span style="font-size: 14pt;"&gt;Itaú Unibanco Holding S.A.&lt;/span&gt; &lt;/span&gt;&lt;/strong&gt;&lt;span style="font-family: &amp;quot;Times New Roman&amp;quot;, serif;"&gt; &lt;span style="font-size: 14pt;"&gt;em face de acórdão desta Câmara que reconheceu a abusividade da capitalização diária de juros sem pactuação expressa </w:t>
            </w:r>
            <w:r>
              <w:rPr>
                <w:spacing w:val="-10"/>
                <w:sz w:val="20"/>
              </w:rPr>
              <w:t>da </w:t>
            </w:r>
            <w:r>
              <w:rPr>
                <w:sz w:val="20"/>
              </w:rPr>
              <w:t>taxa, descaracterizou a mora e extinguiu a ação de busca e apreensão, fixando indenização substitutiva pelo valor médio do veículo conforme Tabela FIPE e condenação em honorários advocatícios.&lt;/span&gt;&lt;/span&gt;&lt;/p&gt;&lt;p style="line-height: 200%" align="justify"&gt;  &lt;span style="font-family: &amp;quot;Times New Roman&amp;quot;, serif;"&gt;</w:t>
              <w:tab/>
              <w:t>&lt;span style="font-size: 14pt;"&gt;O embargante alega a existência de omissão no julgado, sustentando que não teria havido pronunciamento quanto à legalidade da capitalização mensal e anual de juros, bem como sobre a adequação do parâmetro de perdas e danos adotado. Requer, ao final, o acolhimento dos embargos com efeitos infringentes, para que seja afastada a descaracterização da mora e revista a condenação.&lt;/span&gt;</w:t>
            </w:r>
          </w:p>
          <w:p>
            <w:pPr>
              <w:pStyle w:val="TableParagraph"/>
              <w:tabs>
                <w:tab w:pos="2217" w:val="left" w:leader="none"/>
                <w:tab w:pos="3851" w:val="left" w:leader="none"/>
              </w:tabs>
              <w:spacing w:line="208" w:lineRule="auto" w:before="0"/>
              <w:ind w:right="297"/>
              <w:rPr>
                <w:sz w:val="20"/>
              </w:rPr>
            </w:pPr>
            <w:r>
              <w:rPr>
                <w:sz w:val="20"/>
              </w:rPr>
              <w:t>&lt;/span&gt;&lt;/p&gt;&lt;p style="line-height: 200%" align="justify"&gt; &lt;span style="font-family: &amp;quot;Times New Roman&amp;quot;, serif;"&gt;</w:t>
              <w:tab/>
              <w:t>&lt;span style="font-size: 14pt;"&gt;O embargado apresentou contrarrazões, defendendo a ausência de omissão no acórdão, afirmando tratar-se de mera tentativa de rediscussão do mérito. Requereu, ainda, a majoração </w:t>
            </w:r>
            <w:r>
              <w:rPr>
                <w:spacing w:val="-6"/>
                <w:sz w:val="20"/>
              </w:rPr>
              <w:t>dos </w:t>
            </w:r>
            <w:r>
              <w:rPr>
                <w:sz w:val="20"/>
              </w:rPr>
              <w:t>honorários advocatícios, nos termos do art. 85, §11, CPC.&lt;/span&gt; &lt;/span&gt;&lt;/p&gt;&lt;p style="line-height: 200%" align="justify"&gt; &lt;span style="font-family: &amp;quot;Times New Roman&amp;quot;, serif;"&gt;</w:t>
              <w:tab/>
              <w:t>&lt;span style="font-size: 14pt;"&gt;É o relatório.&lt;/span&gt;</w:t>
            </w:r>
          </w:p>
          <w:p>
            <w:pPr>
              <w:pStyle w:val="TableParagraph"/>
              <w:tabs>
                <w:tab w:pos="994" w:val="left" w:leader="none"/>
                <w:tab w:pos="2472" w:val="left" w:leader="none"/>
                <w:tab w:pos="3439" w:val="left" w:leader="none"/>
                <w:tab w:pos="4595" w:val="left" w:leader="none"/>
                <w:tab w:pos="6150" w:val="left" w:leader="none"/>
                <w:tab w:pos="6311" w:val="left" w:leader="none"/>
              </w:tabs>
              <w:spacing w:line="208" w:lineRule="auto" w:before="0"/>
              <w:ind w:right="143"/>
              <w:rPr>
                <w:sz w:val="20"/>
              </w:rPr>
            </w:pPr>
            <w:r>
              <w:rPr>
                <w:sz w:val="20"/>
              </w:rPr>
              <w:t>&lt;/span&gt;&lt;/p&gt;&lt;p style="line-height: 200%" align="justify"&gt;  &lt;strong&gt;</w:t>
              <w:tab/>
              <w:t>&lt;span style="font- family: &amp;quot;Times New Roman&amp;quot;, serif;"&gt;</w:t>
              <w:tab/>
              <w:t>&lt;span style="font-size: 14pt;"&gt;FUNDAMENTAÇÃO&lt;/span&gt;</w:t>
              <w:tab/>
              <w:t>&lt;/span&gt; &lt;/strong&gt;&lt;/p&gt;&lt;p style="line-height: </w:t>
            </w:r>
            <w:r>
              <w:rPr>
                <w:spacing w:val="-4"/>
                <w:sz w:val="20"/>
              </w:rPr>
              <w:t>200%" </w:t>
            </w:r>
            <w:r>
              <w:rPr>
                <w:sz w:val="20"/>
              </w:rPr>
              <w:t>align="justify"&gt;  &lt;strong&gt;</w:t>
              <w:tab/>
              <w:t>&lt;span style="font-family: &amp;quot;Times New Roman&amp;quot;, serif;"&gt;</w:t>
              <w:tab/>
              <w:t>&lt;span style="font-size: 14pt;"&gt;I – Admissibilidade&lt;/span&gt;</w:t>
              <w:tab/>
              <w:tab/>
              <w:t>&lt;/span&gt;</w:t>
            </w:r>
          </w:p>
          <w:p>
            <w:pPr>
              <w:pStyle w:val="TableParagraph"/>
              <w:tabs>
                <w:tab w:pos="3851" w:val="left" w:leader="none"/>
              </w:tabs>
              <w:spacing w:line="208" w:lineRule="auto" w:before="0"/>
              <w:ind w:right="297"/>
              <w:rPr>
                <w:sz w:val="20"/>
              </w:rPr>
            </w:pPr>
            <w:r>
              <w:rPr>
                <w:sz w:val="20"/>
              </w:rPr>
              <w:t>&lt;/strong&gt;&lt;/p&gt;&lt;p style="line-height: 200%" align="justify"&gt; &lt;span style="font-family: &amp;quot;Times New Roman&amp;quot;, serif;"&gt;</w:t>
              <w:tab/>
              <w:t>&lt;span style="font-size: 14pt;"&gt;Presentes os pressupostos objetivos e subjetivos de admissibilidade, conheço dos</w:t>
            </w:r>
            <w:r>
              <w:rPr>
                <w:spacing w:val="-18"/>
                <w:sz w:val="20"/>
              </w:rPr>
              <w:t> </w:t>
            </w:r>
            <w:r>
              <w:rPr>
                <w:sz w:val="20"/>
              </w:rPr>
              <w:t>embargos.&lt;/span&gt;</w:t>
            </w:r>
          </w:p>
          <w:p>
            <w:pPr>
              <w:pStyle w:val="TableParagraph"/>
              <w:tabs>
                <w:tab w:pos="883" w:val="left" w:leader="none"/>
                <w:tab w:pos="4595" w:val="left" w:leader="none"/>
                <w:tab w:pos="4709" w:val="left" w:leader="none"/>
                <w:tab w:pos="6150" w:val="left" w:leader="none"/>
              </w:tabs>
              <w:spacing w:line="208" w:lineRule="auto" w:before="0"/>
              <w:ind w:right="143"/>
              <w:rPr>
                <w:sz w:val="20"/>
              </w:rPr>
            </w:pPr>
            <w:r>
              <w:rPr>
                <w:sz w:val="20"/>
              </w:rPr>
              <w:t>&lt;/span&gt;&lt;/p&gt;&lt;p style="line-height: 200%" align="justify"&gt;  &lt;strong&gt;</w:t>
              <w:tab/>
              <w:t>&lt;span style="font- family: &amp;quot;Times New Roman&amp;quot;, serif;"&gt;</w:t>
              <w:tab/>
              <w:t>&lt;span style="font-size: 14pt;"&gt;II – Da alegada omissão e do prequestionamento&lt;/span&gt;</w:t>
              <w:tab/>
              <w:tab/>
              <w:t>&lt;/span&gt; &lt;/strong&gt;&lt;/p&gt;&lt;p </w:t>
            </w:r>
            <w:r>
              <w:rPr>
                <w:spacing w:val="-2"/>
                <w:sz w:val="20"/>
              </w:rPr>
              <w:t>style="line- </w:t>
            </w:r>
            <w:r>
              <w:rPr>
                <w:sz w:val="20"/>
              </w:rPr>
              <w:t>height: 200%" align="justify"&gt; &lt;span style="font-family: &amp;quot;Times New Roman&amp;quot;, serif;"&gt;</w:t>
              <w:tab/>
              <w:t>&lt;span style="font-size: 14pt;"&gt;Não assiste razão ao embargante.&lt;/span&gt;</w:t>
            </w:r>
          </w:p>
          <w:p>
            <w:pPr>
              <w:pStyle w:val="TableParagraph"/>
              <w:tabs>
                <w:tab w:pos="2673" w:val="left" w:leader="none"/>
                <w:tab w:pos="3851" w:val="left" w:leader="none"/>
                <w:tab w:pos="5483" w:val="left" w:leader="none"/>
              </w:tabs>
              <w:spacing w:line="208" w:lineRule="auto" w:before="0"/>
              <w:ind w:right="25"/>
              <w:rPr>
                <w:sz w:val="20"/>
              </w:rPr>
            </w:pPr>
            <w:r>
              <w:rPr>
                <w:sz w:val="20"/>
              </w:rPr>
              <w:t>&lt;/span&gt;&lt;/p&gt;&lt;p style="line-height: 200%" align="justify"&gt;&lt;span style="font-family: &amp;quot;Times New Roman&amp;quot;, serif;"&gt; &lt;span style="font-size: 14pt;"&gt;O acórdão embargado enfrentou de forma&lt;/span&gt;&lt;/span&gt; &lt;strong&gt; &lt;span style="font-family: &amp;quot;Times New Roman&amp;quot;, serif;"&gt;</w:t>
              <w:tab/>
              <w:t>&lt;span style="font-size: 14pt;"&gt;clara e suficiente&lt;/span&gt; &lt;/span&gt;&lt;/strong&gt;&lt;span style="font-family: &amp;quot;Times New Roman&amp;quot;, serif;"&gt; &lt;span style="font-size: 14pt;"&gt;a matéria relativa à ausência de pactuação expressa da taxa de capitalização diária, ressaltando que a mera indicação das taxas anual e mensal&lt;/span&gt;&lt;/span&gt; &lt;strong&gt;  &lt;span style="font-family: &amp;quot;Times New Roman&amp;quot;, serif;"&gt;</w:t>
              <w:tab/>
              <w:t>&lt;span style="font-size: 14pt;"&gt;não supre o dever de informação&lt;/span&gt; &lt;/span&gt;&lt;/strong&gt;&lt;span style="font-family: &amp;quot;Times New Roman&amp;quot;, serif;"&gt; &lt;span style="font-size: 14pt;"&gt;imposto pelo Código de Defesa do Consumidor.&lt;/span&gt;&lt;/span&gt;&lt;/p&gt;&lt;p style="line-height: 200%" align="justify"&gt; &lt;span style="font-family: &amp;quot;Times New Roman&amp;quot;, serif;"&gt;</w:t>
              <w:tab/>
              <w:t>&lt;span style="font-size: 14pt;"&gt;Não há, portanto, omissão a ser sanada. A irresignação traduz mero inconformismo com a decisão colegiada.&lt;/span&gt; &lt;/span&gt;&lt;/p&gt;&lt;p style="line-height: 200%" align="justify"&gt;&lt;span style="font-family: &amp;quot;Times New Roman&amp;quot;, serif;"&gt; &lt;span style="font-size: 14pt;"&gt;De outro lado, quanto ao&lt;/span&gt;&lt;/span&gt; &lt;strong&gt; &lt;span style="font-family: &amp;quot;Times New Roman&amp;quot;, serif;"&gt;</w:t>
              <w:tab/>
              <w:t>&lt;span style="font-size: 14pt;"&gt;prequestionamento&lt;/span&gt;  &lt;/span&gt;&lt;/strong&gt;&lt;span style="font-family: &amp;quot;Times New Roman&amp;quot;, serif;"&gt; &lt;span style="font-size: 14pt;"&gt;, cumpre registrar que o art. 1.025 do CPC consagra o chamado&lt;/span&gt;&lt;/span&gt; &lt;strong&gt; &lt;span</w:t>
            </w:r>
            <w:r>
              <w:rPr>
                <w:spacing w:val="6"/>
                <w:sz w:val="20"/>
              </w:rPr>
              <w:t> </w:t>
            </w:r>
            <w:r>
              <w:rPr>
                <w:spacing w:val="-2"/>
                <w:sz w:val="20"/>
              </w:rPr>
              <w:t>style="font-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1418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4484" w:val="left" w:leader="none"/>
              </w:tabs>
              <w:spacing w:line="208" w:lineRule="auto" w:before="26"/>
              <w:ind w:right="18"/>
              <w:rPr>
                <w:sz w:val="20"/>
              </w:rPr>
            </w:pPr>
            <w:r>
              <w:rPr>
                <w:sz w:val="20"/>
              </w:rPr>
              <w:t>family: &amp;quot;Times New Roman&amp;quot;, serif;"&gt;</w:t>
              <w:tab/>
              <w:t>&lt;span style="font-size: 14pt;"&gt;prequestionamento ficto&lt;/span&gt; &lt;/span&gt;&lt;/strong&gt;&lt;span style="font-family: &amp;quot;Times New Roman&amp;quot;, serif;"&gt; &lt;span style="font-size: 14pt;"&gt;, segundo o qual, ainda que os embargos de declaração sejam rejeitados, consideram-se incluídos no acórdão os dispositivos legais invocados pela parte. Nesse sentido:&lt;/span&gt;&lt;/span&gt;&lt;/p&gt;&lt;blockquote style="line-height: 200%; text-align: justify; margin-left: 9cm; background: transparent; page-break-before: auto"&gt;“&lt;span style="font- family: &amp;quot;Times New Roman&amp;quot;, serif;"&gt; &lt;span style="font-size: 14pt;"&gt;O art. </w:t>
            </w:r>
            <w:r>
              <w:rPr>
                <w:spacing w:val="-4"/>
                <w:sz w:val="20"/>
              </w:rPr>
              <w:t>1.025 </w:t>
            </w:r>
            <w:r>
              <w:rPr>
                <w:sz w:val="20"/>
              </w:rPr>
              <w:t>do CPC prevê a figura do prequestionamento ficto ou implícito, tornando desnecessária a oposição de embargos de declaração com essa finalidade.” (TJ-CE, Embargos de Declaração Cível nº 0251682-67.2020.8.06.0001, Rel. Des. Djalma Teixeira Benevides, 4ª Câmara de Direito Privado, j. 15/10/2024, pub.</w:t>
            </w:r>
          </w:p>
          <w:p>
            <w:pPr>
              <w:pStyle w:val="TableParagraph"/>
              <w:spacing w:line="190" w:lineRule="exact" w:before="0"/>
              <w:rPr>
                <w:sz w:val="20"/>
              </w:rPr>
            </w:pPr>
            <w:r>
              <w:rPr>
                <w:sz w:val="20"/>
              </w:rPr>
              <w:t>16/10/2024)&lt;/span&gt;&lt;/span&gt;&lt;/blockquote&gt;&lt;p style="line-height: 200%" align="justify"&gt;</w:t>
            </w:r>
          </w:p>
          <w:p>
            <w:pPr>
              <w:pStyle w:val="TableParagraph"/>
              <w:tabs>
                <w:tab w:pos="2217" w:val="left" w:leader="none"/>
                <w:tab w:pos="6090" w:val="left" w:leader="none"/>
              </w:tabs>
              <w:spacing w:line="208" w:lineRule="auto" w:before="10"/>
              <w:ind w:right="46"/>
              <w:rPr>
                <w:sz w:val="20"/>
              </w:rPr>
            </w:pPr>
            <w:r>
              <w:rPr>
                <w:sz w:val="20"/>
              </w:rPr>
              <w:t>&lt;span style="font-family: &amp;quot;Times New Roman&amp;quot;, serif;"&gt;</w:t>
              <w:tab/>
              <w:t>&lt;span style="font-size: 14pt;"&gt;Assim, não se vislumbra qualquer necessidade de integrar o julgado para fins de eventual recurso às instâncias superiores.&lt;/span&gt; &lt;/span&gt;&lt;/p&gt;&lt;p style="line-height: 200%" align="justify"&gt;  &lt;strong&gt;  &lt;span style="font-family: &amp;quot;Times New Roman&amp;quot;, serif;"&gt;</w:t>
              <w:tab/>
              <w:t>&lt;span style="font-size: 14pt;"&gt;Da capitalização de juros&lt;/span&gt;</w:t>
            </w:r>
          </w:p>
          <w:p>
            <w:pPr>
              <w:pStyle w:val="TableParagraph"/>
              <w:tabs>
                <w:tab w:pos="2673" w:val="left" w:leader="none"/>
              </w:tabs>
              <w:spacing w:line="208" w:lineRule="auto" w:before="0"/>
              <w:ind w:right="97"/>
              <w:rPr>
                <w:sz w:val="20"/>
              </w:rPr>
            </w:pPr>
            <w:r>
              <w:rPr>
                <w:sz w:val="20"/>
              </w:rPr>
              <w:t>&lt;/span&gt;&lt;/strong&gt;&lt;/p&gt;&lt;p style="line-height: 200%" align="justify"&gt;&lt;span style="font-family: &amp;quot;Times New Roman&amp;quot;, serif;"&gt; &lt;span style="font-size: 14pt;"&gt;O Superior Tribunal de Justiça, no&lt;/span&gt;&lt;/span&gt; &lt;strong&gt; &lt;span style="font-family: &amp;quot;Times New Roman&amp;quot;, serif;"&gt;</w:t>
              <w:tab/>
              <w:t>&lt;span style="font-size: 14pt;"&gt;Tema Repetitivo 953 (REsp 973.827/RS)&lt;/span&gt; &lt;/span&gt;&lt;/strong&gt;&lt;span style="font-family: &amp;quot;Times New Roman&amp;quot;, serif;"&gt; &lt;span style="font-size: 14pt;"&gt;, firmou entendimento de que a capitalização inferior à anual somente é admitida se houver&lt;/span&gt;&lt;/span&gt; &lt;strong&gt;</w:t>
            </w:r>
          </w:p>
          <w:p>
            <w:pPr>
              <w:pStyle w:val="TableParagraph"/>
              <w:tabs>
                <w:tab w:pos="5483" w:val="left" w:leader="none"/>
                <w:tab w:pos="6090" w:val="left" w:leader="none"/>
              </w:tabs>
              <w:spacing w:line="208" w:lineRule="auto" w:before="0"/>
              <w:ind w:right="29"/>
              <w:rPr>
                <w:sz w:val="20"/>
              </w:rPr>
            </w:pPr>
            <w:r>
              <w:rPr>
                <w:sz w:val="20"/>
              </w:rPr>
              <w:t>&lt;span style="font-family: &amp;quot;Times New Roman&amp;quot;, serif;"&gt;</w:t>
              <w:tab/>
              <w:t>&lt;span style="font-size: 14pt;"&gt;pactuação expressa e clara&lt;/span&gt; &lt;/span&gt;&lt;/strong&gt;&lt;span style="font-family: &amp;quot;Times New Roman&amp;quot;, serif;"&gt; &lt;span style="font-size: 14pt;"&gt;, sendo suficiente, nos contratos bancários, a previsão de taxa anual superior ao duodécuplo da mensal.&lt;/span&gt;&lt;/span&gt;&lt;/p&gt;&lt;p style="line-height: 200%" align="justify"&gt;&lt;span style="font- family: &amp;quot;Times New Roman&amp;quot;, serif;"&gt; &lt;span style="font-size: 14pt;"&gt;Todavia, </w:t>
            </w:r>
            <w:r>
              <w:rPr>
                <w:spacing w:val="-9"/>
                <w:sz w:val="20"/>
              </w:rPr>
              <w:t>no </w:t>
            </w:r>
            <w:r>
              <w:rPr>
                <w:sz w:val="20"/>
              </w:rPr>
              <w:t>caso concreto, não se discute a validade da capitalização mensal ou anual, que efetivamente constam do contrato. O ponto central é a&lt;/span&gt;&lt;/span&gt; &lt;strong&gt; &lt;span style="font-family: &amp;quot;Times New Roman&amp;quot;, serif;"&gt;</w:t>
              <w:tab/>
              <w:t>&lt;span style="font-size: 14pt;"&gt;capitalização diária sem indicação da taxa correspondente&lt;/span&gt;</w:t>
            </w:r>
          </w:p>
          <w:p>
            <w:pPr>
              <w:pStyle w:val="TableParagraph"/>
              <w:tabs>
                <w:tab w:pos="2673" w:val="left" w:leader="none"/>
                <w:tab w:pos="2784" w:val="left" w:leader="none"/>
                <w:tab w:pos="3141" w:val="left" w:leader="none"/>
                <w:tab w:pos="4743" w:val="left" w:leader="none"/>
                <w:tab w:pos="5483" w:val="left" w:leader="none"/>
                <w:tab w:pos="7510" w:val="left" w:leader="none"/>
              </w:tabs>
              <w:spacing w:line="208" w:lineRule="auto" w:before="0"/>
              <w:ind w:right="43"/>
              <w:rPr>
                <w:sz w:val="20"/>
              </w:rPr>
            </w:pPr>
            <w:r>
              <w:rPr>
                <w:sz w:val="20"/>
              </w:rPr>
              <w:t>&lt;/span&gt;&lt;/strong&gt;&lt;span style="font-family: &amp;quot;Times New Roman&amp;quot;, serif;"&gt; &lt;span style="font-size: 14pt;"&gt;, o que afronta o dever de informação previsto nos arts. 6º, III, 46 e 52 do CDC.&lt;/span&gt;&lt;/span&gt;&lt;/p&gt;&lt;p style="line-height: 200%" align="justify"&gt; &lt;span style="font-family: &amp;quot;Times New Roman&amp;quot;, serif;"&gt;</w:t>
              <w:tab/>
              <w:t>&lt;span style="font-size: 14pt;"&gt;O acórdão embargado expressamente consignou tal fundamento, destacando precedentes do STJ que reconhecem a abusividade da cláusula e a consequente descaracterização da mora. Logo, não há falar em omissão.&lt;/span&gt; &lt;/span&gt;&lt;/p&gt;&lt;p style="line-height: 200%" align="justify"&gt;  &lt;strong&gt;</w:t>
              <w:tab/>
              <w:t>&lt;span style="font-family: &amp;quot;Times New Roman&amp;quot;, serif;"&gt;</w:t>
              <w:tab/>
              <w:tab/>
              <w:t>&lt;span style="font-size: 14pt;"&gt;Da conversão em perdas e danos e da Tabela FIPE&lt;/span&gt;</w:t>
              <w:tab/>
              <w:t>&lt;/span&gt; &lt;/strong&gt;&lt;/p&gt;&lt;p style="line-height: 200%" align="justify"&gt;  &lt;span style="font-family: &amp;quot;Times New Roman&amp;quot;, serif;"&gt;</w:t>
              <w:tab/>
              <w:t>&lt;span style="font-size: 14pt;"&gt;Quanto à indenização, o embargante sustenta que deve prevalecer o valor da venda em leilão, e não a Tabela FIPE.&lt;/span&gt; &lt;/span&gt;&lt;/p&gt;&lt;p style="line- height: 200%" align="justify"&gt;&lt;span style="font-family: &amp;quot;Times New Roman&amp;quot;, serif;"&gt; &lt;span style="font-size: 14pt;"&gt;Contudo, a jurisprudência do STJ e deste Tribunal é firme no sentido de que,&lt;/span&gt;&lt;/span&gt; &lt;strong&gt; &lt;span style="font-family: &amp;quot;Times New Roman&amp;quot;, serif;"&gt;</w:t>
              <w:tab/>
              <w:t>&lt;span style="font-size: 14pt;"&gt;em razão da prática usual das instituições financeiras de alienarem os bens apreendidos por valores inferiores ao de mercado&lt;/span&gt; &lt;/span&gt;&lt;/strong&gt;&lt;span style="font-family: &amp;quot;Times New Roman&amp;quot;, serif;"&gt; &lt;span style="font-size: 14pt;"&gt;, o parâmetro mais justo é a Tabela FIPE, que melhor reflete o valor médio de mercado à época da apreensão.&lt;/span&gt;&lt;/span&gt;&lt;/p&gt;&lt;p style="line-height: 200%" align="justify"&gt; &lt;span style="font-family: &amp;quot;Times New Roman&amp;quot;, serif;"&gt;</w:t>
              <w:tab/>
              <w:t>&lt;span style="font-size: 14pt;"&gt;Nesse sentido:&lt;/span&gt; &lt;/span&gt;&lt;/p&gt;&lt;blockquote style="line-height: 200%; text- align: justify; margin-left: 9cm; background: transparent; page-break-before: auto"&gt;“&lt;span style="font-family: &amp;quot;Times New Roman&amp;quot;, serif;"&gt; &lt;span style="font-size: 14pt;"&gt;O Superior Tribunal de Justiça tem entendimento firmado no sentido de que o valor a ser arbitrado a título de perdas e danos pela alienação do veículo é o da Tabela FIPE praticado à época da apreensão do bem, não sendo possível determinar a devolução no valor de venda, uma vez que a financeira aliena o veículo em montante inferior ao praticado pelo mercado.” (TJ-MG, AI nº 0242950-03.2023.8.13.0000, Rel. Des. Adriano de Mesquita Carneiro, 21ª Câmara Cível Especializada, j. 10/05/2023, pub.</w:t>
            </w:r>
          </w:p>
          <w:p>
            <w:pPr>
              <w:pStyle w:val="TableParagraph"/>
              <w:spacing w:line="188" w:lineRule="exact" w:before="0"/>
              <w:rPr>
                <w:sz w:val="20"/>
              </w:rPr>
            </w:pPr>
            <w:r>
              <w:rPr>
                <w:sz w:val="20"/>
              </w:rPr>
              <w:t>12/05/2023)&lt;/span&gt;&lt;/span&gt;&lt;/blockquote&gt;&lt;p style="line-height: 200%" align="justify"&gt;</w:t>
            </w:r>
          </w:p>
          <w:p>
            <w:pPr>
              <w:pStyle w:val="TableParagraph"/>
              <w:tabs>
                <w:tab w:pos="6090" w:val="left" w:leader="none"/>
              </w:tabs>
              <w:spacing w:line="208" w:lineRule="auto" w:before="7"/>
              <w:ind w:right="46"/>
              <w:rPr>
                <w:sz w:val="20"/>
              </w:rPr>
            </w:pPr>
            <w:r>
              <w:rPr>
                <w:sz w:val="20"/>
              </w:rPr>
              <w:t>&lt;span style="font-family: &amp;quot;Times New Roman&amp;quot;, serif;"&gt;</w:t>
              <w:tab/>
              <w:t>&lt;span style="font-size: 14pt;"&gt;Assim, correta a fixação do parâmetro pelo acórdão embargado.&lt;/span&gt;</w:t>
            </w:r>
          </w:p>
        </w:tc>
      </w:tr>
    </w:tbl>
    <w:p>
      <w:pPr>
        <w:spacing w:after="0" w:line="208" w:lineRule="auto"/>
        <w:rPr>
          <w:sz w:val="20"/>
        </w:rPr>
        <w:sectPr>
          <w:pgSz w:w="11900" w:h="16840"/>
          <w:pgMar w:header="0" w:footer="537" w:top="780" w:bottom="720" w:left="480" w:right="280"/>
        </w:sectPr>
      </w:pP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25"/>
        <w:gridCol w:w="8175"/>
      </w:tblGrid>
      <w:tr>
        <w:trPr>
          <w:trHeight w:val="260" w:hRule="atLeast"/>
        </w:trPr>
        <w:tc>
          <w:tcPr>
            <w:tcW w:w="2725" w:type="dxa"/>
            <w:shd w:val="clear" w:color="auto" w:fill="E5E5E5"/>
          </w:tcPr>
          <w:p>
            <w:pPr>
              <w:pStyle w:val="TableParagraph"/>
              <w:rPr>
                <w:b/>
                <w:sz w:val="20"/>
              </w:rPr>
            </w:pPr>
            <w:r>
              <w:rPr>
                <w:b/>
                <w:sz w:val="20"/>
              </w:rPr>
              <w:t>Processo</w:t>
            </w:r>
          </w:p>
        </w:tc>
        <w:tc>
          <w:tcPr>
            <w:tcW w:w="8175" w:type="dxa"/>
          </w:tcPr>
          <w:p>
            <w:pPr>
              <w:pStyle w:val="TableParagraph"/>
              <w:rPr>
                <w:sz w:val="20"/>
              </w:rPr>
            </w:pPr>
            <w:r>
              <w:rPr>
                <w:sz w:val="20"/>
              </w:rPr>
              <w:t>0263791-11.2023.8.06.0001</w:t>
            </w:r>
          </w:p>
        </w:tc>
      </w:tr>
      <w:tr>
        <w:trPr>
          <w:trHeight w:val="7260" w:hRule="atLeast"/>
        </w:trPr>
        <w:tc>
          <w:tcPr>
            <w:tcW w:w="2725" w:type="dxa"/>
            <w:shd w:val="clear" w:color="auto" w:fill="E5E5E5"/>
          </w:tcPr>
          <w:p>
            <w:pPr>
              <w:pStyle w:val="TableParagraph"/>
              <w:spacing w:before="0"/>
              <w:ind w:left="0"/>
              <w:rPr>
                <w:rFonts w:ascii="Times New Roman"/>
                <w:sz w:val="20"/>
              </w:rPr>
            </w:pPr>
          </w:p>
        </w:tc>
        <w:tc>
          <w:tcPr>
            <w:tcW w:w="8175" w:type="dxa"/>
          </w:tcPr>
          <w:p>
            <w:pPr>
              <w:pStyle w:val="TableParagraph"/>
              <w:tabs>
                <w:tab w:pos="3097" w:val="left" w:leader="none"/>
                <w:tab w:pos="4595" w:val="left" w:leader="none"/>
                <w:tab w:pos="6150" w:val="left" w:leader="none"/>
                <w:tab w:pos="7510" w:val="left" w:leader="none"/>
              </w:tabs>
              <w:spacing w:line="208" w:lineRule="auto" w:before="26"/>
              <w:ind w:right="91"/>
              <w:rPr>
                <w:sz w:val="20"/>
              </w:rPr>
            </w:pPr>
            <w:r>
              <w:rPr>
                <w:sz w:val="20"/>
              </w:rPr>
              <w:t>&lt;/span&gt;&lt;/p&gt;&lt;p style="line-height: 200%" align="justify"&gt;  &lt;strong&gt;</w:t>
              <w:tab/>
              <w:t>&lt;span style="font- family: &amp;quot;Times New Roman&amp;quot;, serif;"&gt;</w:t>
              <w:tab/>
              <w:t>&lt;span style="font-size: 14pt;"&gt;Dos honorários advocatícios&lt;/span&gt;</w:t>
              <w:tab/>
              <w:t>&lt;/span&gt; &lt;/strong&gt;&lt;/p&gt;&lt;p style="line-height: 200%" align="justify"&gt;  &lt;span style="font-family: &amp;quot;Times New Roman&amp;quot;, serif;"&gt;</w:t>
              <w:tab/>
            </w:r>
            <w:r>
              <w:rPr>
                <w:spacing w:val="-4"/>
                <w:sz w:val="20"/>
              </w:rPr>
              <w:t>&lt;span </w:t>
            </w:r>
            <w:r>
              <w:rPr>
                <w:sz w:val="20"/>
              </w:rPr>
              <w:t>style="font-size: 14pt;"&gt;Também não prospera a insurgência quanto à condenação em honorários.&lt;/span&gt; &lt;/span&gt;&lt;/p&gt;&lt;p style="line-height: 200%" align="justify"&gt;&lt;span style="font-family: &amp;quot;Times New Roman&amp;quot;, serif;"&gt; &lt;span style="font-size: 14pt;"&gt;Conforme registrado no acórdão, a extinção do feito decorreu da&lt;/span&gt;&lt;/span&gt;</w:t>
            </w:r>
          </w:p>
          <w:p>
            <w:pPr>
              <w:pStyle w:val="TableParagraph"/>
              <w:tabs>
                <w:tab w:pos="6990" w:val="left" w:leader="none"/>
              </w:tabs>
              <w:spacing w:line="208" w:lineRule="auto" w:before="0"/>
              <w:ind w:right="611"/>
              <w:rPr>
                <w:sz w:val="20"/>
              </w:rPr>
            </w:pPr>
            <w:r>
              <w:rPr>
                <w:sz w:val="20"/>
              </w:rPr>
              <w:t>&lt;strong&gt;  &lt;span style="font-family: &amp;quot;Times New Roman&amp;quot;, serif;"&gt;</w:t>
              <w:tab/>
            </w:r>
            <w:r>
              <w:rPr>
                <w:spacing w:val="-4"/>
                <w:sz w:val="20"/>
              </w:rPr>
              <w:t>&lt;span </w:t>
            </w:r>
            <w:r>
              <w:rPr>
                <w:sz w:val="20"/>
              </w:rPr>
              <w:t>style="font-size: 14pt;"&gt;abusividade contratual reconhecida&lt;/span&gt;</w:t>
            </w:r>
          </w:p>
          <w:p>
            <w:pPr>
              <w:pStyle w:val="TableParagraph"/>
              <w:spacing w:line="208" w:lineRule="auto" w:before="0"/>
              <w:ind w:right="55"/>
              <w:jc w:val="both"/>
              <w:rPr>
                <w:sz w:val="20"/>
              </w:rPr>
            </w:pPr>
            <w:r>
              <w:rPr>
                <w:sz w:val="20"/>
              </w:rPr>
              <w:t>&lt;/span&gt;&lt;/strong&gt;&lt;span style="font-family: &amp;quot;Times New Roman&amp;quot;, serif;"&gt; &lt;span style="font-size: 14pt;"&gt;, circunstância imputável à instituição financeira, que deu causa ao ajuizamento da ação.&lt;/span&gt;&lt;/span&gt;&lt;/p&gt;&lt;p style="line-height: 200%" align="justify"&gt;</w:t>
            </w:r>
          </w:p>
          <w:p>
            <w:pPr>
              <w:pStyle w:val="TableParagraph"/>
              <w:tabs>
                <w:tab w:pos="6090" w:val="left" w:leader="none"/>
              </w:tabs>
              <w:spacing w:line="208" w:lineRule="auto" w:before="0"/>
              <w:ind w:right="46"/>
              <w:rPr>
                <w:sz w:val="20"/>
              </w:rPr>
            </w:pPr>
            <w:r>
              <w:rPr>
                <w:sz w:val="20"/>
              </w:rPr>
              <w:t>&lt;span style="font-family: &amp;quot;Times New Roman&amp;quot;, serif;"&gt;</w:t>
              <w:tab/>
              <w:t>&lt;span style="font-size: 14pt;"&gt;Logo, incide o princípio da causalidade, sendo devidos os honorários fixados.&lt;/span&gt; &lt;/span&gt;&lt;/p&gt;&lt;p style="line-height: 200%" align="justify"&gt; &lt;strong&gt;</w:t>
            </w:r>
          </w:p>
          <w:p>
            <w:pPr>
              <w:pStyle w:val="TableParagraph"/>
              <w:tabs>
                <w:tab w:pos="883" w:val="left" w:leader="none"/>
                <w:tab w:pos="3362" w:val="left" w:leader="none"/>
                <w:tab w:pos="6201" w:val="left" w:leader="none"/>
                <w:tab w:pos="7299" w:val="left" w:leader="none"/>
                <w:tab w:pos="7510" w:val="left" w:leader="none"/>
              </w:tabs>
              <w:spacing w:line="208" w:lineRule="auto" w:before="0"/>
              <w:ind w:right="91"/>
              <w:rPr>
                <w:sz w:val="20"/>
              </w:rPr>
            </w:pPr>
            <w:r>
              <w:rPr>
                <w:sz w:val="20"/>
              </w:rPr>
              <w:t>&lt;span style="font-family: &amp;quot;Times New Roman&amp;quot;, serif;"&gt;</w:t>
              <w:tab/>
              <w:t>&lt;span style="font- size: 14pt;"&gt;DISPOSITIVO&lt;/span&gt;</w:t>
              <w:tab/>
              <w:t>&lt;/span&gt; &lt;/strong&gt;&lt;/p&gt;&lt;p style="line-height: 200%" align="justify"&gt;  &lt;span style="font-family: &amp;quot;Times New Roman&amp;quot;, serif;"&gt;</w:t>
              <w:tab/>
              <w:tab/>
            </w:r>
            <w:r>
              <w:rPr>
                <w:spacing w:val="-4"/>
                <w:sz w:val="20"/>
              </w:rPr>
              <w:t>&lt;span </w:t>
            </w:r>
            <w:r>
              <w:rPr>
                <w:sz w:val="20"/>
              </w:rPr>
              <w:t>style="font-size: 14pt;"&gt;Diante do exposto, conheço dos embargos e nego provimento&lt;/span&gt; &lt;/span&gt; &lt;span style="font-family: &amp;quot;Times New Roman&amp;quot;, serif;"&gt;</w:t>
              <w:tab/>
              <w:t>&lt;span style="font-size: 14pt;"&gt;, por inexistirem vícios de omissão, obscuridade, contradição ou erro material no acórdão embargado.&lt;/span&gt; &lt;/span&gt;&lt;/p&gt;&lt;p style="line- height: 200%" align="justify"&gt; &lt;span style="font-family: &amp;quot;Times New Roman&amp;quot;, serif;"&gt;</w:t>
              <w:tab/>
              <w:t>&lt;span style="font-size: 14pt;"&gt;É como voto.&lt;/span&gt; &lt;/span&gt;&lt;/p&gt;&lt;p style="padding-left: 60px;"&gt;  &lt;strong style="font-size: small; text-align: center;"&gt;</w:t>
              <w:tab/>
              <w:t>&lt;span style="font-size: medium;"&gt;&amp;#160; &amp;#160; &amp;#160; &amp;#160; &amp;#160; &amp;#160; &amp;#160; &amp;#160; &amp;#160; &amp;#160; &amp;#160; &amp;#160; &amp;#160; &amp;#160; &amp;#160; &amp;#160; &amp;#160; &amp;#160; &amp;#160; &amp;#160; &amp;#160;JOSÉ KRENTEL FERREIRA FILHO&amp;#160;&lt;/span&gt; &lt;/strong&gt;&lt;/p&gt;&lt;p</w:t>
            </w:r>
          </w:p>
          <w:p>
            <w:pPr>
              <w:pStyle w:val="TableParagraph"/>
              <w:tabs>
                <w:tab w:pos="7299" w:val="left" w:leader="none"/>
              </w:tabs>
              <w:spacing w:line="208" w:lineRule="auto" w:before="0"/>
              <w:ind w:right="232"/>
              <w:rPr>
                <w:sz w:val="20"/>
              </w:rPr>
            </w:pPr>
            <w:r>
              <w:rPr>
                <w:sz w:val="20"/>
              </w:rPr>
              <w:t>style="padding-left: 60px;"&gt;  &lt;strong style="font-size: small; text-align: center;"&gt;</w:t>
              <w:tab/>
              <w:t>&lt;span style="font-size: medium;"&gt;&amp;#160; &amp;#160; &amp;#160; &amp;#160; &amp;#160; &amp;#160; &amp;#160; </w:t>
            </w:r>
            <w:r>
              <w:rPr>
                <w:spacing w:val="-3"/>
                <w:sz w:val="20"/>
              </w:rPr>
              <w:t>&amp;#160; </w:t>
            </w:r>
            <w:r>
              <w:rPr>
                <w:sz w:val="20"/>
              </w:rPr>
              <w:t>&amp;#160; &amp;#160; &amp;#160; &amp;#160; &amp;#160; &amp;#160; &amp;#160; &amp;#160; &amp;#160; &amp;#160; &amp;#160; &amp;#160; &amp;#160; &amp;#160; &amp;#160; &amp;#160; &amp;#160; &amp;#160; &amp;#160; &amp;#160; &amp;#160; &amp;#160;</w:t>
            </w:r>
          </w:p>
          <w:p>
            <w:pPr>
              <w:pStyle w:val="TableParagraph"/>
              <w:tabs>
                <w:tab w:pos="2919" w:val="left" w:leader="none"/>
                <w:tab w:pos="3664" w:val="left" w:leader="none"/>
              </w:tabs>
              <w:spacing w:line="190" w:lineRule="exact" w:before="0"/>
              <w:rPr>
                <w:sz w:val="20"/>
              </w:rPr>
            </w:pPr>
            <w:r>
              <w:rPr>
                <w:sz w:val="20"/>
              </w:rPr>
              <w:t>&amp;#160; &amp;#160; Relator&amp;#160;</w:t>
              <w:tab/>
              <w:t>&lt;br /&gt;</w:t>
              <w:tab/>
              <w:t>&lt;/span&gt; &lt;/strong&gt;&lt;/p&gt;&lt;br /&gt;&lt;br</w:t>
            </w:r>
          </w:p>
          <w:p>
            <w:pPr>
              <w:pStyle w:val="TableParagraph"/>
              <w:tabs>
                <w:tab w:pos="1216" w:val="left" w:leader="none"/>
              </w:tabs>
              <w:spacing w:line="208" w:lineRule="auto" w:before="7"/>
              <w:ind w:right="459"/>
              <w:rPr>
                <w:sz w:val="20"/>
              </w:rPr>
            </w:pPr>
            <w:r>
              <w:rPr>
                <w:sz w:val="20"/>
              </w:rPr>
              <w:t>/&gt;&lt;p&gt;&amp;#160;&lt;/p&gt;&lt;p&gt;&amp;#160;&lt;/p&gt;&lt;p style="text-align: center;"&gt; &lt;span style="font-size: medium;"&gt;</w:t>
              <w:tab/>
              <w:t>&lt;strong&gt;&amp;#160;&lt;/strong&gt; &lt;/span&gt;&lt;/p&gt;</w:t>
            </w:r>
          </w:p>
        </w:tc>
      </w:tr>
    </w:tbl>
    <w:sectPr>
      <w:pgSz w:w="11900" w:h="16840"/>
      <w:pgMar w:header="0" w:footer="537" w:top="780" w:bottom="720" w:left="48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type id="_x0000_t202" o:spt="202" coordsize="21600,21600" path="m,l,21600r21600,l21600,xe">
          <v:stroke joinstyle="miter"/>
          <v:path gradientshapeok="t" o:connecttype="rect"/>
        </v:shapetype>
        <v:shape style="position:absolute;margin-left:298.160004pt;margin-top:800.136719pt;width:8.7pt;height:15.45pt;mso-position-horizontal-relative:page;mso-position-vertical-relative:page;z-index:-37226496" type="#_x0000_t202" filled="false" stroked="false">
          <v:textbox inset="0,0,0,0">
            <w:txbxContent>
              <w:p>
                <w:pPr>
                  <w:spacing w:before="12"/>
                  <w:ind w:left="20" w:right="0" w:firstLine="0"/>
                  <w:jc w:val="left"/>
                  <w:rPr>
                    <w:sz w:val="24"/>
                  </w:rPr>
                </w:pPr>
                <w:r>
                  <w:rPr>
                    <w:sz w:val="24"/>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line style="position:absolute;mso-position-horizontal-relative:page;mso-position-vertical-relative:page;z-index:-37225984" from="30pt,796.5pt" to="575pt,796.5pt" stroked="true" strokeweight="1pt" strokecolor="#bfbfbf">
          <v:stroke dashstyle="solid"/>
          <w10:wrap type="none"/>
        </v:line>
      </w:pict>
    </w:r>
    <w:r>
      <w:rPr/>
      <w:pict>
        <v:shape style="position:absolute;margin-left:289.489990pt;margin-top:800.136719pt;width:26.05pt;height:15.45pt;mso-position-horizontal-relative:page;mso-position-vertical-relative:page;z-index:-37225472" type="#_x0000_t202" filled="false" stroked="false">
          <v:textbox inset="0,0,0,0">
            <w:txbxContent>
              <w:p>
                <w:pPr>
                  <w:spacing w:before="12"/>
                  <w:ind w:left="60" w:right="0" w:firstLine="0"/>
                  <w:jc w:val="left"/>
                  <w:rPr>
                    <w:sz w:val="24"/>
                  </w:rPr>
                </w:pPr>
                <w:r>
                  <w:rPr/>
                  <w:fldChar w:fldCharType="begin"/>
                </w:r>
                <w:r>
                  <w:rPr>
                    <w:sz w:val="24"/>
                  </w:rPr>
                  <w:instrText> PAGE </w:instrText>
                </w:r>
                <w:r>
                  <w:rPr/>
                  <w:fldChar w:fldCharType="separate"/>
                </w:r>
                <w:r>
                  <w:rPr/>
                  <w:t>100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upperRoman"/>
      <w:lvlText w:val="%1."/>
      <w:lvlJc w:val="left"/>
      <w:pPr>
        <w:ind w:left="40" w:hanging="167"/>
        <w:jc w:val="left"/>
      </w:pPr>
      <w:rPr>
        <w:rFonts w:hint="default" w:ascii="Arial" w:hAnsi="Arial" w:eastAsia="Arial" w:cs="Arial"/>
        <w:w w:val="100"/>
        <w:sz w:val="20"/>
        <w:szCs w:val="20"/>
      </w:rPr>
    </w:lvl>
    <w:lvl w:ilvl="1">
      <w:start w:val="0"/>
      <w:numFmt w:val="bullet"/>
      <w:lvlText w:val="•"/>
      <w:lvlJc w:val="left"/>
      <w:pPr>
        <w:ind w:left="851" w:hanging="167"/>
      </w:pPr>
      <w:rPr>
        <w:rFonts w:hint="default"/>
      </w:rPr>
    </w:lvl>
    <w:lvl w:ilvl="2">
      <w:start w:val="0"/>
      <w:numFmt w:val="bullet"/>
      <w:lvlText w:val="•"/>
      <w:lvlJc w:val="left"/>
      <w:pPr>
        <w:ind w:left="1663" w:hanging="167"/>
      </w:pPr>
      <w:rPr>
        <w:rFonts w:hint="default"/>
      </w:rPr>
    </w:lvl>
    <w:lvl w:ilvl="3">
      <w:start w:val="0"/>
      <w:numFmt w:val="bullet"/>
      <w:lvlText w:val="•"/>
      <w:lvlJc w:val="left"/>
      <w:pPr>
        <w:ind w:left="2474" w:hanging="167"/>
      </w:pPr>
      <w:rPr>
        <w:rFonts w:hint="default"/>
      </w:rPr>
    </w:lvl>
    <w:lvl w:ilvl="4">
      <w:start w:val="0"/>
      <w:numFmt w:val="bullet"/>
      <w:lvlText w:val="•"/>
      <w:lvlJc w:val="left"/>
      <w:pPr>
        <w:ind w:left="3286" w:hanging="167"/>
      </w:pPr>
      <w:rPr>
        <w:rFonts w:hint="default"/>
      </w:rPr>
    </w:lvl>
    <w:lvl w:ilvl="5">
      <w:start w:val="0"/>
      <w:numFmt w:val="bullet"/>
      <w:lvlText w:val="•"/>
      <w:lvlJc w:val="left"/>
      <w:pPr>
        <w:ind w:left="4097" w:hanging="167"/>
      </w:pPr>
      <w:rPr>
        <w:rFonts w:hint="default"/>
      </w:rPr>
    </w:lvl>
    <w:lvl w:ilvl="6">
      <w:start w:val="0"/>
      <w:numFmt w:val="bullet"/>
      <w:lvlText w:val="•"/>
      <w:lvlJc w:val="left"/>
      <w:pPr>
        <w:ind w:left="4909" w:hanging="167"/>
      </w:pPr>
      <w:rPr>
        <w:rFonts w:hint="default"/>
      </w:rPr>
    </w:lvl>
    <w:lvl w:ilvl="7">
      <w:start w:val="0"/>
      <w:numFmt w:val="bullet"/>
      <w:lvlText w:val="•"/>
      <w:lvlJc w:val="left"/>
      <w:pPr>
        <w:ind w:left="5720" w:hanging="167"/>
      </w:pPr>
      <w:rPr>
        <w:rFonts w:hint="default"/>
      </w:rPr>
    </w:lvl>
    <w:lvl w:ilvl="8">
      <w:start w:val="0"/>
      <w:numFmt w:val="bullet"/>
      <w:lvlText w:val="•"/>
      <w:lvlJc w:val="left"/>
      <w:pPr>
        <w:ind w:left="6532" w:hanging="167"/>
      </w:pPr>
      <w:rPr>
        <w:rFonts w:hint="default"/>
      </w:rPr>
    </w:lvl>
  </w:abstractNum>
  <w:abstractNum w:abstractNumId="0">
    <w:multiLevelType w:val="hybridMultilevel"/>
    <w:lvl w:ilvl="0">
      <w:start w:val="4"/>
      <w:numFmt w:val="upperRoman"/>
      <w:lvlText w:val="%1."/>
      <w:lvlJc w:val="left"/>
      <w:pPr>
        <w:ind w:left="340" w:hanging="301"/>
        <w:jc w:val="left"/>
      </w:pPr>
      <w:rPr>
        <w:rFonts w:hint="default" w:ascii="Arial" w:hAnsi="Arial" w:eastAsia="Arial" w:cs="Arial"/>
        <w:w w:val="100"/>
        <w:sz w:val="20"/>
        <w:szCs w:val="20"/>
      </w:rPr>
    </w:lvl>
    <w:lvl w:ilvl="1">
      <w:start w:val="1"/>
      <w:numFmt w:val="decimal"/>
      <w:lvlText w:val="%2."/>
      <w:lvlJc w:val="left"/>
      <w:pPr>
        <w:ind w:left="40" w:hanging="223"/>
        <w:jc w:val="left"/>
      </w:pPr>
      <w:rPr>
        <w:rFonts w:hint="default" w:ascii="Arial" w:hAnsi="Arial" w:eastAsia="Arial" w:cs="Arial"/>
        <w:w w:val="100"/>
        <w:sz w:val="20"/>
        <w:szCs w:val="20"/>
      </w:rPr>
    </w:lvl>
    <w:lvl w:ilvl="2">
      <w:start w:val="0"/>
      <w:numFmt w:val="bullet"/>
      <w:lvlText w:val="•"/>
      <w:lvlJc w:val="left"/>
      <w:pPr>
        <w:ind w:left="1208" w:hanging="223"/>
      </w:pPr>
      <w:rPr>
        <w:rFonts w:hint="default"/>
      </w:rPr>
    </w:lvl>
    <w:lvl w:ilvl="3">
      <w:start w:val="0"/>
      <w:numFmt w:val="bullet"/>
      <w:lvlText w:val="•"/>
      <w:lvlJc w:val="left"/>
      <w:pPr>
        <w:ind w:left="2076" w:hanging="223"/>
      </w:pPr>
      <w:rPr>
        <w:rFonts w:hint="default"/>
      </w:rPr>
    </w:lvl>
    <w:lvl w:ilvl="4">
      <w:start w:val="0"/>
      <w:numFmt w:val="bullet"/>
      <w:lvlText w:val="•"/>
      <w:lvlJc w:val="left"/>
      <w:pPr>
        <w:ind w:left="2945" w:hanging="223"/>
      </w:pPr>
      <w:rPr>
        <w:rFonts w:hint="default"/>
      </w:rPr>
    </w:lvl>
    <w:lvl w:ilvl="5">
      <w:start w:val="0"/>
      <w:numFmt w:val="bullet"/>
      <w:lvlText w:val="•"/>
      <w:lvlJc w:val="left"/>
      <w:pPr>
        <w:ind w:left="3813" w:hanging="223"/>
      </w:pPr>
      <w:rPr>
        <w:rFonts w:hint="default"/>
      </w:rPr>
    </w:lvl>
    <w:lvl w:ilvl="6">
      <w:start w:val="0"/>
      <w:numFmt w:val="bullet"/>
      <w:lvlText w:val="•"/>
      <w:lvlJc w:val="left"/>
      <w:pPr>
        <w:ind w:left="4681" w:hanging="223"/>
      </w:pPr>
      <w:rPr>
        <w:rFonts w:hint="default"/>
      </w:rPr>
    </w:lvl>
    <w:lvl w:ilvl="7">
      <w:start w:val="0"/>
      <w:numFmt w:val="bullet"/>
      <w:lvlText w:val="•"/>
      <w:lvlJc w:val="left"/>
      <w:pPr>
        <w:ind w:left="5550" w:hanging="223"/>
      </w:pPr>
      <w:rPr>
        <w:rFonts w:hint="default"/>
      </w:rPr>
    </w:lvl>
    <w:lvl w:ilvl="8">
      <w:start w:val="0"/>
      <w:numFmt w:val="bullet"/>
      <w:lvlText w:val="•"/>
      <w:lvlJc w:val="left"/>
      <w:pPr>
        <w:ind w:left="6418" w:hanging="223"/>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9"/>
    </w:pPr>
    <w:rPr>
      <w:rFonts w:ascii="Arial" w:hAnsi="Arial" w:eastAsia="Arial" w:cs="Arial"/>
      <w:sz w:val="28"/>
      <w:szCs w:val="28"/>
    </w:rPr>
  </w:style>
  <w:style w:styleId="Title" w:type="paragraph">
    <w:name w:val="Title"/>
    <w:basedOn w:val="Normal"/>
    <w:uiPriority w:val="1"/>
    <w:qFormat/>
    <w:pPr>
      <w:spacing w:before="3"/>
      <w:ind w:left="3110" w:right="1899"/>
      <w:jc w:val="center"/>
    </w:pPr>
    <w:rPr>
      <w:rFonts w:ascii="Arial" w:hAnsi="Arial" w:eastAsia="Arial" w:cs="Arial"/>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spacing w:before="2"/>
      <w:ind w:left="4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hyperlink" Target="http://www.jusbrasil.com.br/jurisprudencia/stj/sumulas/sumula-n-7-do-" TargetMode="Externa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Processo Judicial Eletrônico</dc:title>
  <dcterms:created xsi:type="dcterms:W3CDTF">2026-03-26T17:55:33Z</dcterms:created>
  <dcterms:modified xsi:type="dcterms:W3CDTF">2026-03-26T17:55:33Z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2025-11-06T00:00:00Z</vt:filetime>
  </property>
  <property fmtid="{D5CDD505-2E9C-101B-9397-08002B2CF9AE}" pid="3" name="LastSaved">
    <vt:filetime>2026-03-26T00:00:00Z</vt:filetime>
  </property>
</Properties>
</file>