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8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frustração.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contraminutar,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Piol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Sá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60" w:x="1228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6492/CE)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19033/CE)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26780/CE)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0621779-17.2023.8.06.0000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portanto,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sentir,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constantes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pleiteado.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conveniente.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imediata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mister.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9635/CE)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39736/CE)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0621902-15.2023.8.06.0000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Ipiranga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5" w:x="1336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preenchidos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hei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DENEGAR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antecipação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conceder,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consequência,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conveniente.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29373/PE)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0621997-45.2023.8.06.0000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Alvorada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Iêda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ATRIBUIÇÃO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ulterior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conveniente.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comunicação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D’ávila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34587/CE)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10336/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133264-15.2016.8.06.0001/50000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133264-15.2016.8.06.0001/50000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25" w:x="1134" w:y="11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0481991-39.2010.8.06.0001/50001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0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83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Básica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Triângulo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12363/SP).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Pellegrini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118685/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5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0621287-93.2021.8.06.0000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7195/CE).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26091/CE).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0196780-04.2019.8.06.0001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Izidio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Martiniano.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35223/CE).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41457/CE).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9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0107432-72.2019.8.06.0001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Wellyn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26553/CE).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Pongitori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30999B/CE).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60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0620963-35.2023.8.06.0000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Fuck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Fuck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Fuck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5509/CE).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Arnon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8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0620963-35.2023.8.06.0000/50000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Fuck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Fuck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Fuck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5509/CE).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46660/CE).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4" w:x="160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0621913-44.2023.8.06.0000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Rocilda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0200326-96.2021.8.06.0001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38997/CE).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43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0105855-59.2019.8.06.0001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Portofino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0468558-31.2011.8.06.0001/50002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0192502-28.2017.8.06.0001/50000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Euroamérica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Margen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Participação,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Troijo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31311/CE).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0051201-03.2021.8.06.0115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Fhelipe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37147/CE).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12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12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4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4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5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7000007629395pt;margin-top:735.099975585938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774.299987792969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1453</Words>
  <Characters>8987</Characters>
  <Application>Aspose</Application>
  <DocSecurity>0</DocSecurity>
  <Lines>143</Lines>
  <Paragraphs>143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2026-03-17T13:49:37-03:00</dcterms:created>
  <dcterms:modified xmlns:xsi="http://www.w3.org/2001/XMLSchema-instance" xmlns:dcterms="http://purl.org/dc/terms/" xsi:type="dcterms:W3CDTF">2026-03-17T13:49:37-03:00</dcterms:modified>
</coreProperties>
</file>