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636185-77.2022.8.06.0000/50000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200330/SP).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infringentes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atribuídos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028984-76.2005.8.06.0001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52052/SP).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626148-25.2021.8.06.0000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Tancredo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Renove-se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Recebimento,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Bairro/Distrito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Fleicheiras,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62.690-000,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última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certidão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188533-68.2018.8.06.0001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sinalizaram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intimem-se-as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informarem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resultaram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composição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amigável.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0546046-28.2012.8.06.0001/50000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Cebrita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Britagem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8632/CE).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0051239-11.2021.8.06.0084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18829/AL).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0206164-49.2023.8.06.0001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0625544-93.2023.8.06.0000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0637173-35.2021.8.06.0000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0061084-51.2017.8.06.0167/50000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TGC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Esplendor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Hardy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30710/CE).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0186294-62.2016.8.06.0001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34898/CE).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0051666-26.2020.8.06.0154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0123731-95.2017.8.06.0001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0228636-78.2022.8.06.0001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Prodelis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Informatica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0632264-13.2022.8.06.0000/50000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Srs.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0036926-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1.2018.8.06.0029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200529-32.2022.8.06.0160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574.299987792969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1.599975585938pt;margin-top:4pt;z-index:-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1488</Words>
  <Characters>8888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2026-03-17T13:49:25-03:00</dcterms:created>
  <dcterms:modified xmlns:xsi="http://www.w3.org/2001/XMLSchema-instance" xmlns:dcterms="http://purl.org/dc/terms/" xsi:type="dcterms:W3CDTF">2026-03-17T13:49:25-03:00</dcterms:modified>
</coreProperties>
</file>