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2" w:x="1134" w:y="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5" w:x="1134" w:y="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0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0223138-98.2022.8.06.0001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0053683-56.2021.8.06.0071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Salatiel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40469/CE).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4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0043876-43.2012.8.06.0001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Kíssia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Vartan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7351/CE).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8758/CE).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0160572-89.2017.8.06.0001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3ª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013694-35.2019.8.06.0064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Kezilei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reavaliação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Dispensada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Anotem-se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tarjas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prioridade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existentes,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inserção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prioridades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cronológica.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5.0999984741211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94.300003051757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605.099975585938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644.299987792969pt;z-index:-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574</Words>
  <Characters>3537</Characters>
  <Application>Aspose</Application>
  <DocSecurity>0</DocSecurity>
  <Lines>67</Lines>
  <Paragraphs>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2026-03-17T13:46:42-03:00</dcterms:created>
  <dcterms:modified xmlns:xsi="http://www.w3.org/2001/XMLSchema-instance" xmlns:dcterms="http://purl.org/dc/terms/" xsi:type="dcterms:W3CDTF">2026-03-17T13:46:42-03:00</dcterms:modified>
</coreProperties>
</file>