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00" w:x="1136" w:y="11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3ª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Câmara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Direito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89" w:x="5546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6"/>
          <w:sz w:val="16"/>
        </w:rPr>
        <w:t>PAUTA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60" w:x="1136" w:y="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Número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76" w:x="1136" w:y="22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JULGADOS,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PRIMEIRA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DESIMPEDIDA,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SEGUINTES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2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60" w:x="1269" w:y="2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0261302-06.2020.8.06.0001/50000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Benedito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52" w:x="1136" w:y="27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HDI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Jocimar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Estalk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21" w:x="1136" w:y="29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247302/SP).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33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8" w:x="1269" w:y="33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0172769-08.2019.8.06.0001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MRV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77" w:x="1136" w:y="35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Godoy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77167/MG).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Ranyelle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Teixeira.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77" w:x="1136" w:y="351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40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9" w:x="1269" w:y="40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0253687-62.2020.8.06.0001/50000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136" w:y="42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VP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Adminsitração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</w:rPr>
        <w:t>Valéria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Previtera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136" w:y="42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11379/CE).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Tamires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Salgado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29486/CE).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136" w:y="42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Washington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30819/CE).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30562/CE).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136" w:y="42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2" w:x="1269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0103246-40.2018.8.06.0001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3" w:x="1136" w:y="53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Welvio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Urbano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14814/CE).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Savius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3" w:x="1136" w:y="53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26074/CE).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Vanessa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Fontenele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27362/CE).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Mariê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3" w:x="1136" w:y="53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Olívia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Oliviera.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Renata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21126/CE).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3" w:x="1136" w:y="53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6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80" w:x="1269" w:y="6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0432542-15.2010.8.06.0001/50000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88" w:x="1136" w:y="64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DPVAT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Rostand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22718/PE).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Erival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88" w:x="1136" w:y="645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Eurijane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16326/CE).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7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36" w:x="1269" w:y="7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0201050-48.2024.8.06.0049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Beberibe/2ª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Beberibe.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9"/>
          <w:sz w:val="16"/>
        </w:rPr>
        <w:t>F..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Tadeu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1" w:x="1136" w:y="71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Colaço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16968/CE).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1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1" w:x="1136" w:y="719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20" w:x="1136" w:y="77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Total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julgar: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84" w:x="1136" w:y="81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setembro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2025.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2" w:x="1136" w:y="8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julgados,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qualquer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motivo,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mencionada,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adiado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2" w:x="1136" w:y="88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subsequente,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independentemente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355</Words>
  <Characters>2279</Characters>
  <Application>Aspose</Application>
  <DocSecurity>0</DocSecurity>
  <Lines>36</Lines>
  <Paragraphs>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2598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2026-03-24T17:45:43-03:00</dcterms:created>
  <dcterms:modified xmlns:xsi="http://www.w3.org/2001/XMLSchema-instance" xmlns:dcterms="http://purl.org/dc/terms/" xsi:type="dcterms:W3CDTF">2026-03-24T17:45:43-03:00</dcterms:modified>
</coreProperties>
</file>