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9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559" w:dyaOrig="2227">
          <v:rect xmlns:o="urn:schemas-microsoft-com:office:office" xmlns:v="urn:schemas-microsoft-com:vml" id="rectole0000000000" style="width:77.950000pt;height:111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2" w:hanging="2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6"/>
          <w:shd w:fill="auto" w:val="clear"/>
        </w:rPr>
        <w:t xml:space="preserve">ESTADO DO CEARÁ</w:t>
      </w:r>
    </w:p>
    <w:p>
      <w:pPr>
        <w:spacing w:before="0" w:after="0" w:line="240"/>
        <w:ind w:right="0" w:left="2" w:hanging="2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6"/>
          <w:shd w:fill="auto" w:val="clear"/>
        </w:rPr>
        <w:t xml:space="preserve">PODER JUDICIÁRIO</w:t>
      </w:r>
    </w:p>
    <w:p>
      <w:pPr>
        <w:spacing w:before="0" w:after="0" w:line="240"/>
        <w:ind w:right="0" w:left="2" w:hanging="2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6"/>
          <w:shd w:fill="auto" w:val="clear"/>
        </w:rPr>
        <w:t xml:space="preserve">TRIBUNAL DE JUSTIÇA</w:t>
      </w:r>
    </w:p>
    <w:p>
      <w:pPr>
        <w:spacing w:before="0" w:after="0" w:line="240"/>
        <w:ind w:right="0" w:left="2" w:hanging="2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3E3E67"/>
          <w:spacing w:val="0"/>
          <w:position w:val="0"/>
          <w:sz w:val="52"/>
          <w:shd w:fill="auto" w:val="clear"/>
        </w:rPr>
      </w:pPr>
      <w:r>
        <w:rPr>
          <w:rFonts w:ascii="Trebuchet MS" w:hAnsi="Trebuchet MS" w:cs="Trebuchet MS" w:eastAsia="Trebuchet MS"/>
          <w:color w:val="3E3E67"/>
          <w:spacing w:val="0"/>
          <w:position w:val="0"/>
          <w:sz w:val="52"/>
          <w:shd w:fill="auto" w:val="clear"/>
        </w:rPr>
        <w:t xml:space="preserve">Plano de Logística Sustentável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i/>
          <w:color w:val="424456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i/>
          <w:color w:val="424456"/>
          <w:spacing w:val="0"/>
          <w:position w:val="0"/>
          <w:sz w:val="28"/>
          <w:shd w:fill="auto" w:val="clear"/>
        </w:rPr>
        <w:t xml:space="preserve">RELATÓRIO DE DESEMPENHO - 2018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i/>
          <w:color w:val="42445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i/>
          <w:color w:val="42445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i/>
          <w:color w:val="42445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426" w:dyaOrig="3361">
          <v:rect xmlns:o="urn:schemas-microsoft-com:office:office" xmlns:v="urn:schemas-microsoft-com:vml" id="rectole0000000001" style="width:271.300000pt;height:168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5240" w:firstLine="0"/>
        <w:jc w:val="left"/>
        <w:rPr>
          <w:rFonts w:ascii="Georgia" w:hAnsi="Georgia" w:cs="Georgia" w:eastAsia="Georgia"/>
          <w:color w:val="424456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3E3E67"/>
          <w:spacing w:val="0"/>
          <w:position w:val="0"/>
          <w:sz w:val="56"/>
          <w:shd w:fill="auto" w:val="clear"/>
        </w:rPr>
      </w:pPr>
      <w:r>
        <w:rPr>
          <w:rFonts w:ascii="Trebuchet MS" w:hAnsi="Trebuchet MS" w:cs="Trebuchet MS" w:eastAsia="Trebuchet MS"/>
          <w:color w:val="3E3E67"/>
          <w:spacing w:val="0"/>
          <w:position w:val="0"/>
          <w:sz w:val="56"/>
          <w:shd w:fill="auto" w:val="clear"/>
        </w:rPr>
        <w:t xml:space="preserve">Plano de Logística Sustentável</w:t>
      </w:r>
    </w:p>
    <w:p>
      <w:pPr>
        <w:spacing w:before="0" w:after="0" w:line="32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i/>
          <w:color w:val="424456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i/>
          <w:color w:val="424456"/>
          <w:spacing w:val="0"/>
          <w:position w:val="0"/>
          <w:sz w:val="24"/>
          <w:shd w:fill="auto" w:val="clear"/>
        </w:rPr>
        <w:t xml:space="preserve">RELATÓRIO DE DESEMPENHO</w:t>
      </w:r>
    </w:p>
    <w:p>
      <w:pPr>
        <w:spacing w:before="0" w:after="0" w:line="34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 Plano de Logística Sustentável do Tribunal de Justiça do Estado do Ceará, PLS-TJCE,   tem por missão promover a conscientização e ações efetivas de logística sustentáveis no Poder Judiciário do Ceará.  Completados três anos da sua implantação, é de se assegurar que o Tribunal vem adotando medidas necessárias ao seu cumprimento, conhecendo e tratando as questões socioambientais com maior clareza e eficiência, haja vista que vem aprimorando técnicas  e tratando, com maior responsabilidade,  os temas resultantes das questões ambientais. Assim posto, não obstante aos muitos resultados positivos apresentados no PLS-TJCE, com o objetivo  de melhor adequá-lo ao Glossário do Anexo I da Resolução nº 201/2015, o Núcleo Socioambiental, em ação conjunta com a Comissão Gestora do  PLS-TJCE,  decidiu avaliar e revisar  o Plano. Concluídos os trabalhos, o referido plano foi alterado pela Portaria nº 2360/2018, passando de 45 indicadores para 78, ampliando-se, assim, o alinhamento do PLS-TJCE a Resolução supramencionada.  Outro ponto acrescido com a revisão foi a definição de novas ações para o alcance das metas constantes do Plano, tendo sido revisadas estas últimas. </w:t>
      </w:r>
      <w:r>
        <w:rPr>
          <w:rFonts w:ascii="Georgia" w:hAnsi="Georgia" w:cs="Georgia" w:eastAsia="Georgia"/>
          <w:color w:val="9BBB59"/>
          <w:spacing w:val="0"/>
          <w:position w:val="0"/>
          <w:sz w:val="20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Vale ressaltar, também, que tivemos um acréscimo do número da força de trabalho, passando de 6.235 em 2017 para  6.332 em 2018, situação  que gerou impacto nos resultados.   É  de se destacar que o Núcleo Socioambinetal  tem por atribuição o planejamento,  implementação e monitoramento de metas e ações pertinentes ao PLS-TJCE.</w:t>
      </w:r>
    </w:p>
    <w:p>
      <w:pPr>
        <w:spacing w:before="0" w:after="0" w:line="25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2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 plano possui 7 objetivos que serão discutidos nas seções que seguem.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08" w:left="0" w:firstLine="0"/>
        <w:jc w:val="both"/>
        <w:rPr>
          <w:rFonts w:ascii="Trebuchet MS" w:hAnsi="Trebuchet MS" w:cs="Trebuchet MS" w:eastAsia="Trebuchet MS"/>
          <w:color w:val="4BACC6"/>
          <w:spacing w:val="0"/>
          <w:position w:val="0"/>
          <w:sz w:val="32"/>
          <w:shd w:fill="auto" w:val="clear"/>
        </w:rPr>
      </w:pPr>
      <w:r>
        <w:rPr>
          <w:rFonts w:ascii="Trebuchet MS" w:hAnsi="Trebuchet MS" w:cs="Trebuchet MS" w:eastAsia="Trebuchet MS"/>
          <w:color w:val="4BACC6"/>
          <w:spacing w:val="0"/>
          <w:position w:val="0"/>
          <w:sz w:val="32"/>
          <w:shd w:fill="auto" w:val="clear"/>
        </w:rPr>
        <w:t xml:space="preserve">Incrementar a sustentabilidade nos processos de aquisições de bens e serviços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As aquisições efetuadas de copos descartáveis estão em conformidade com as normas da ABNT, considerando materiais não tóxicos e recicláveis para a produção do material.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 papel A4 é adquirido respeitando critérios ambientais e de sustentabilidade sendo assegurada pela Certificação ambiental FSC ou CEFLOR.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9BBB59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Além disso, a Secretaria de Administração e Infraestrutura irá realizar as seguintes ações: 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Gasto com água: Otimizar o uso de água, energia elétrica, telefonia fixa/móvel, material de consumo e impressão de documentos;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realizar gestão adequada dos resíduos gerados pela instituição.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08" w:left="0" w:firstLine="0"/>
        <w:jc w:val="both"/>
        <w:rPr>
          <w:rFonts w:ascii="Trebuchet MS" w:hAnsi="Trebuchet MS" w:cs="Trebuchet MS" w:eastAsia="Trebuchet MS"/>
          <w:color w:val="4BACC6"/>
          <w:spacing w:val="0"/>
          <w:position w:val="0"/>
          <w:sz w:val="32"/>
          <w:shd w:fill="auto" w:val="clear"/>
        </w:rPr>
      </w:pPr>
      <w:r>
        <w:rPr>
          <w:rFonts w:ascii="Trebuchet MS" w:hAnsi="Trebuchet MS" w:cs="Trebuchet MS" w:eastAsia="Trebuchet MS"/>
          <w:color w:val="4BACC6"/>
          <w:spacing w:val="0"/>
          <w:position w:val="0"/>
          <w:sz w:val="32"/>
          <w:shd w:fill="auto" w:val="clear"/>
        </w:rPr>
        <w:t xml:space="preserve">Incrementar a sustentabilidade nas reformas e construções de unidades físicas.</w:t>
      </w:r>
    </w:p>
    <w:p>
      <w:pPr>
        <w:spacing w:before="0" w:after="0" w:line="240"/>
        <w:ind w:right="116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116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Despesas realizadas com reforma e mudanças de layout durante o período-base.</w:t>
      </w:r>
    </w:p>
    <w:p>
      <w:pPr>
        <w:spacing w:before="0" w:after="0" w:line="240"/>
        <w:ind w:right="116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85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Para 2019 foi prevista uma ação de elaboração de documento de  regulamentação da política de construção sustentável do TJCE. </w:t>
      </w:r>
    </w:p>
    <w:p>
      <w:pPr>
        <w:spacing w:before="0" w:after="0" w:line="240"/>
        <w:ind w:right="-85" w:left="0" w:firstLine="0"/>
        <w:jc w:val="both"/>
        <w:rPr>
          <w:rFonts w:ascii="Trebuchet MS" w:hAnsi="Trebuchet MS" w:cs="Trebuchet MS" w:eastAsia="Trebuchet MS"/>
          <w:color w:val="9BBB59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1160" w:left="0" w:firstLine="0"/>
        <w:jc w:val="center"/>
        <w:rPr>
          <w:rFonts w:ascii="Trebuchet MS" w:hAnsi="Trebuchet MS" w:cs="Trebuchet MS" w:eastAsia="Trebuchet MS"/>
          <w:color w:val="9BBB59"/>
          <w:spacing w:val="0"/>
          <w:position w:val="0"/>
          <w:sz w:val="32"/>
          <w:shd w:fill="auto" w:val="clear"/>
        </w:rPr>
      </w:pPr>
      <w:r>
        <w:object w:dxaOrig="9091" w:dyaOrig="4960">
          <v:rect xmlns:o="urn:schemas-microsoft-com:office:office" xmlns:v="urn:schemas-microsoft-com:vml" id="rectole0000000002" style="width:454.550000pt;height:248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1160" w:left="0" w:firstLine="0"/>
        <w:jc w:val="both"/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  <w:t xml:space="preserve">Otimizar o uso de água, energia elétrica, telefonia fixa/móvel, material de consumo e impressão de documentos.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  <w:t xml:space="preserve">Consumo de Papel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Uma das ações adotadas foi a manutenção de meta, na Gratificação por alcance de Metas, relacionada à redução do consumo de papel. Atualmente 53 unidades podem acompanhar e buscar a redução do consumo de papel.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 reaproveitamento do papel e a destinação para o aproveitamento em reciclagem são ações que já vêm sendo incorporadas aos hábitos e rotinas dos servidores, sejam pelo reaproveitamento em frente e verso do papel, seja pela economia na impressão, tudo em prol do uso consciente em medida socioambiental. 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 resultado que se constata pelos números apresentados (Gráfico 1), configura em economia e consciência socioambiental.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21" w:dyaOrig="5203">
          <v:rect xmlns:o="urn:schemas-microsoft-com:office:office" xmlns:v="urn:schemas-microsoft-com:vml" id="rectole0000000003" style="width:416.050000pt;height:260.1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A meta de redução de consumo não foi atingida, como pode ser observado no Gráfico 2. Todavia, verificou-se uma redução de 2017 para 2018 de 2,6%.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  <w:t xml:space="preserve">Consumo de Copo Descartável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 indicador acompanhado no PLS busca a redução do consumo de copo para água, nesse sentido, em que pese esforços para alcançar a meta, verificou-se um aumento no consumo do respectivo tipo de copo.  O Gráfico 3 mostra que o consumo não atingiu a meta estipulada  no PLS-TJCE, verificando-se um pequeno aumento de 2017 para 2018. Quanto aos copos para café, o consumo também aumentou, como pode ser observado no Gráfico 4.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Em que pese o aumento vislumbrado, é de se destacar ações realizadas em prol da conscientização para o uso responsável de copos descartáveis de água e café.  Atualmente parte dos servidores utilizam canecas e/ou garrafas de uso contínuo, evitando-se maiores desperdícios. Todavia, em que pese esforços neste sentido, há necessidade de se atingir um maior número de servidores com campanhas educativas para o uso consciente e vigilância a possível desperdício.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Objetivando a redução do consumo deste item , constam como ações previstas para 2019: 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Realização de campanha para o uso consciente dos copos descartáveis;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Utilização de copos de vidro e xícaras em reuniões;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Realização de estudo para utilização de garrafas e canecas individuais.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21" w:dyaOrig="5648">
          <v:rect xmlns:o="urn:schemas-microsoft-com:office:office" xmlns:v="urn:schemas-microsoft-com:vml" id="rectole0000000004" style="width:416.050000pt;height:282.4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41" w:dyaOrig="5203">
          <v:rect xmlns:o="urn:schemas-microsoft-com:office:office" xmlns:v="urn:schemas-microsoft-com:vml" id="rectole0000000005" style="width:417.050000pt;height:260.1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  <w:t xml:space="preserve">Consumo de Garrafão de Água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Os garrafões de água são consumidos em todas as unidades do Judiciário, dessa  forma, houve um aumento no consumo desses garrafões, de 33,753 mil  para 34.596 mil. Havendo, no entanto, o aumento 2,4% no consumo.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2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Está previsto para 2019 a realização de estudo de viabilidade para a substituição da água envasada pela filtrada.</w:t>
      </w:r>
    </w:p>
    <w:p>
      <w:pPr>
        <w:spacing w:before="0" w:after="0" w:line="252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41" w:dyaOrig="5203">
          <v:rect xmlns:o="urn:schemas-microsoft-com:office:office" xmlns:v="urn:schemas-microsoft-com:vml" id="rectole0000000006" style="width:417.050000pt;height:260.1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  <w:t xml:space="preserve">Consumo de Água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 consumo de água aumentou em 5% de 2017 para 2018, no entanto, vislumbrando-se ainda menor que aquele medido quando do início da apuração de dados pelo PLS  em 2015 que  foi 127.632 m³.  </w:t>
      </w:r>
    </w:p>
    <w:p>
      <w:pPr>
        <w:spacing w:before="0" w:after="0" w:line="264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Objetivando reduzir ainda mais o consumo de água em 2018, foi iniciada a troca de torneiras convencionais para torneiras de pressão, pretendendo-se, em 2019, avançar na substituição das respectivas torneira, bem como realizar campanhas de conscientização para redução do uso da água.</w:t>
      </w:r>
    </w:p>
    <w:p>
      <w:pPr>
        <w:spacing w:before="0" w:after="0" w:line="264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Também, com o mesmo objetivo de  reduzir o consumo de água, tratou-se da possibilidade de realizar parceria com a Superintendência de Obras Hidráulicas - Sohidra para a perfuração de poço profundo. </w:t>
      </w:r>
    </w:p>
    <w:p>
      <w:pPr>
        <w:spacing w:before="0" w:after="0" w:line="264"/>
        <w:ind w:right="0" w:left="0" w:firstLine="0"/>
        <w:jc w:val="both"/>
        <w:rPr>
          <w:rFonts w:ascii="Georgia" w:hAnsi="Georgia" w:cs="Georgia" w:eastAsia="Georgia"/>
          <w:color w:val="9BBB5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41" w:dyaOrig="5203">
          <v:rect xmlns:o="urn:schemas-microsoft-com:office:office" xmlns:v="urn:schemas-microsoft-com:vml" id="rectole0000000007" style="width:417.050000pt;height:260.1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  <w:t xml:space="preserve">Consumo de Energia</w:t>
      </w:r>
    </w:p>
    <w:p>
      <w:pPr>
        <w:spacing w:before="0" w:after="0" w:line="264"/>
        <w:ind w:right="2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2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No quesito relacionado ao consumo de energia, houve redução da quantidade de Kwh consumidos (Gráfico 7).  A redução aferida deu-se devido mudança de funcionamento da central de água gelada que teve sua operação reduzida em duas horas por dia. Ademais, também demos início à substituição de aparelho de ar condicionado, tipo janeleiro, por aparelhos split nas diversas comarcas do interior, bem assim começamos a substituir lâmpadas fluorescentes por lâmpadas de led. Vale ressaltar ainda, que a energia no TJCE é contratada por demanda, atualmente 33 unidades possuem contrato de demanda e todas estão com a quantidade contratada  adequada,  o que evita o pagamento de multas por parte do Tribunal.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41" w:dyaOrig="5203">
          <v:rect xmlns:o="urn:schemas-microsoft-com:office:office" xmlns:v="urn:schemas-microsoft-com:vml" id="rectole0000000008" style="width:417.050000pt;height:260.1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BACC6"/>
          <w:spacing w:val="0"/>
          <w:position w:val="0"/>
          <w:sz w:val="28"/>
          <w:shd w:fill="auto" w:val="clear"/>
        </w:rPr>
      </w:pPr>
      <w:r>
        <w:rPr>
          <w:rFonts w:ascii="Trebuchet MS" w:hAnsi="Trebuchet MS" w:cs="Trebuchet MS" w:eastAsia="Trebuchet MS"/>
          <w:color w:val="4BACC6"/>
          <w:spacing w:val="0"/>
          <w:position w:val="0"/>
          <w:sz w:val="28"/>
          <w:shd w:fill="auto" w:val="clear"/>
        </w:rPr>
        <w:t xml:space="preserve">Consumo de Telefonia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9BBB59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A redução de 34 linhas de telefonia fixa foi em decorrência da reforma administrativa do TJCE que extinguiu determinadas unidades judiciárias.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Objetivando a redução de consumo de linhas de telefonia fixa e móvel serão realizadas campanhas de uso racional de telefonia. </w:t>
      </w:r>
    </w:p>
    <w:p>
      <w:pPr>
        <w:spacing w:before="0" w:after="0" w:line="240"/>
        <w:ind w:right="0" w:left="0" w:firstLine="0"/>
        <w:jc w:val="center"/>
        <w:rPr>
          <w:rFonts w:ascii="Trebuchet MS" w:hAnsi="Trebuchet MS" w:cs="Trebuchet MS" w:eastAsia="Trebuchet MS"/>
          <w:color w:val="9BBB59"/>
          <w:spacing w:val="0"/>
          <w:position w:val="0"/>
          <w:sz w:val="28"/>
          <w:shd w:fill="auto" w:val="clear"/>
        </w:rPr>
      </w:pPr>
      <w:r>
        <w:object w:dxaOrig="8341" w:dyaOrig="5203">
          <v:rect xmlns:o="urn:schemas-microsoft-com:office:office" xmlns:v="urn:schemas-microsoft-com:vml" id="rectole0000000009" style="width:417.050000pt;height:260.1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  <w:r>
        <w:rPr>
          <w:rFonts w:ascii="Trebuchet MS" w:hAnsi="Trebuchet MS" w:cs="Trebuchet MS" w:eastAsia="Trebuchet MS"/>
          <w:color w:val="9BBB59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  <w:t xml:space="preserve">Quantidade de impressões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-38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Em 2018 foram impressos um total de 33.692.485 documentos, houve uma redução  em relação a 2017. Cada equipamento instalado permitiu a impressão de, em média, 28.797 documentos.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 contrato de nº 07/2015/AD4, cujo objeto refere-se ao “Serviço de impressão corporativa -outsourcin de impressão”- com o fornecimento de equipamentos novos multifuncionais, dotados de Solução Embarcada com Workflow, e impressoras novas, todos de primeiro uso, suprimentos (exceto papel), manutenção corretiva e preventiva, fornecimento de sistemas de gestão e monitoramento, e sistema de atendimento de suporte aos usuários, incluindo o treinamento na operacionalização dos equipamentos e em uma ferramenta de bilhetagem chamada GPRINT, que capta todas as informações de impressões e impressoras deste Poder, sendo que tais informações podem ainda ser separadas por centro de custo e/ou unidade. Em 2018 foram gastos R$ 3.691.125,41  com esse Serviço.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-38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Ressalta-se ainda que mensalmente são disponibilizados relatórios de impressão. Com base nesses relatórios, a alta administração recebe informações sobre a situação dos equipamentos distribuídos nas unidades, com vista a uma melhor operacionalização/otimização no uso dos equipamentos e a uma melhor gestão do contrato.</w:t>
      </w:r>
    </w:p>
    <w:p>
      <w:pPr>
        <w:spacing w:before="0" w:after="0" w:line="360"/>
        <w:ind w:right="-38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-38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A Secretaria de Tecnologia da Informação concluiu a implantação do Sistema de Automação da Justiça (SAJ) em diversas comarcas do interior. No ano de 2018 foi realizada a implantação do Processo Eletrônico com o SAJ nas comarcas de Sobral, Caucaia e Juazeiro do Norte, proporcionando uma otimização processual, um melhoramento da extração de informações e a diminuição no uso do papel tendo em vista a substituição dos processos físicos por eletrônicos.  Com a expansão do mesmo projeto para 2019, espera-se que a quantidade de  impressões possam diminuir ainda mais.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41" w:dyaOrig="5203">
          <v:rect xmlns:o="urn:schemas-microsoft-com:office:office" xmlns:v="urn:schemas-microsoft-com:vml" id="rectole0000000010" style="width:417.050000pt;height:260.1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  <w:t xml:space="preserve">Promover o transporte sustentável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No âmbito deste objetivo, serão efetuadas em 2019 as seguintes ações:  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Avaliação da ampliação do uso de etanol na frota do TJCE;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Realização de estudo para avaliar o perfil de consumo dos maiores demandantes de combustíveis.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Ademais, o Tribunal de Justiça (sede) disponibiliza rotas de transporte aos servidores, evitando que todos venham em veículos próprios ao trabalho.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28"/>
          <w:shd w:fill="auto" w:val="clear"/>
        </w:rPr>
        <w:t xml:space="preserve">Consumo de Combustível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Em 2018, houve redução  no consumo de combustível</w:t>
      </w:r>
      <w:r>
        <w:rPr>
          <w:rFonts w:ascii="Georgia" w:hAnsi="Georgia" w:cs="Georgia" w:eastAsia="Georgia"/>
          <w:color w:val="9BBB59"/>
          <w:spacing w:val="0"/>
          <w:position w:val="0"/>
          <w:sz w:val="20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implicando aumento de eficiência  neste quesito, visto maior controle e aplicação da Portaria nº 1183/2018,  cujo teor dispõe sobre as cotas de abastecimento de veículos do TJCE. Também, para o resultado  positivo, verificou-se uma redução da frota, passando de 230 veículos para 168, haja vista a realização de  um leilão de veículos no período base.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835" w:dyaOrig="4899">
          <v:rect xmlns:o="urn:schemas-microsoft-com:office:office" xmlns:v="urn:schemas-microsoft-com:vml" id="rectole0000000011" style="width:391.750000pt;height:244.95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85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  <w:t xml:space="preserve">Incrementar a qualidade de vida no ambiente de trabalho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Foram realizados diversos cursos e adotadas medidas em prol da qualidade de vida dos servidores por intermédio da Coordenadoria de Educação Corporativa e também pela Coordenadoria de Saúde Ocupacional. Na prática, promoveu-se cursos ligados à temática socioambiental e disponibilizou-se seções de massoterapia para os servidores (Projeto Visão nas Mãos), que traz deficientes visuais para oferecer massagem aos servidores.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Além disso, a ginástica laboral é disponibilizada aos servidores do TJCE e do Fórum Clóvis Beviláqua, contemplando cerca de 4.120 colaboradores.</w:t>
      </w:r>
    </w:p>
    <w:p>
      <w:pPr>
        <w:tabs>
          <w:tab w:val="left" w:pos="6140" w:leader="none"/>
        </w:tabs>
        <w:spacing w:before="0" w:after="0" w:line="360"/>
        <w:ind w:right="0" w:left="37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41" w:dyaOrig="5203">
          <v:rect xmlns:o="urn:schemas-microsoft-com:office:office" xmlns:v="urn:schemas-microsoft-com:vml" id="rectole0000000012" style="width:417.050000pt;height:260.1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Em 2017 não houve apuração do indicador em relação a participação da força de trabalho em ações de qualidade de vida.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Os eventos de saúde realizados foram: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-Oficinas de Projeto de Vida;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0" w:leader="none"/>
        </w:tabs>
        <w:spacing w:before="0" w:after="0" w:line="240"/>
        <w:ind w:right="0" w:left="0" w:hanging="12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Palestras - Convivência e bem-estar no trabalho e engajamento e bem-estar no trabalho;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0" w:leader="none"/>
        </w:tabs>
        <w:spacing w:before="0" w:after="0" w:line="240"/>
        <w:ind w:right="0" w:left="0" w:hanging="12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Palestra - Aposentadoria: um novo começo;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0" w:leader="none"/>
        </w:tabs>
        <w:spacing w:before="0" w:after="0" w:line="240"/>
        <w:ind w:right="0" w:left="0" w:hanging="12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Palestra - Dependência de Smatphone;</w:t>
      </w:r>
    </w:p>
    <w:p>
      <w:pPr>
        <w:tabs>
          <w:tab w:val="left" w:pos="120" w:leader="none"/>
        </w:tabs>
        <w:spacing w:before="0" w:after="0" w:line="240"/>
        <w:ind w:right="0" w:left="0" w:hanging="12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20" w:leader="none"/>
        </w:tabs>
        <w:spacing w:before="0" w:after="0" w:line="240"/>
        <w:ind w:right="0" w:left="0" w:hanging="12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-    Palestra - Vida Saudável.</w:t>
      </w:r>
    </w:p>
    <w:p>
      <w:pPr>
        <w:spacing w:before="0" w:after="0" w:line="37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  <w:t xml:space="preserve">Fortalecer a cultura da Educação Socioambiental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Foram realizados eventos de inclusão social e capacitações relacionadas à Educação Socioambiental.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41" w:dyaOrig="5203">
          <v:rect xmlns:o="urn:schemas-microsoft-com:office:office" xmlns:v="urn:schemas-microsoft-com:vml" id="rectole0000000013" style="width:417.050000pt;height:260.15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CARDS PUBLICADOS NO FACEBOOK, INSTAGRAM E TWITTER, REFERENTES AOS SEGUINTES ASSUNTOS: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1.    Credenciamento de vaga para estacionamento de pessoas com deficiência (PcD) no TJCE;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2.    Dia Internacional da Síndrome de Down;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3.    Dia Mundial de Conscientização do autismo;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4.   Dia Nacional de Luta das PcD;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5.    Artigo 4º da LBI;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6.   Dia Nacional da Síndrome de Down;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7.  Dia Mundial de Conscientização do Autismo;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8.  Dia Nacional de Libras;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9.  Dia Nacional da Pessoa Cega;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10. Artigo 40 da Lei Brasileira de Inclusão;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11. Acessibilidade – um Direito de todos.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85" w:left="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</w:pPr>
      <w:r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  <w:t xml:space="preserve">Realizar a gestão adequada dos resíduos gerados pela Instituição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O TJCE cada vez mais vem se preocupando com as questões da gestão dos resíduos, visto que além de manter contratação de uma empresa para acompanhar o recolhimento dos resíduos gerados pela sede do Tribunal e unidades da Comarca de Fortaleza, também mantem contrato com cooperativas de reciclagem para doação de materias recicláveis. Nesse quesito, houve um aumento significativo da destinação adequada dos resíduos: papel, plástico e lâmpadas, conforme observa-se nos gráficos abaixo.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  <w:t xml:space="preserve">No ano de 2018  foram distribuídas, no âmbito da sede do Tribunal e algumas unidades judiciárias, caixas de coleta seletiva de papel A4, pretendendo-se, para o ano de  2019,  ampliar a iniciativa à todas Unidades Judiciárias do TJCE.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41" w:dyaOrig="6681">
          <v:rect xmlns:o="urn:schemas-microsoft-com:office:office" xmlns:v="urn:schemas-microsoft-com:vml" id="rectole0000000014" style="width:417.050000pt;height:334.05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420" w:leader="none"/>
        </w:tabs>
        <w:spacing w:before="0" w:after="0" w:line="240"/>
        <w:ind w:right="0" w:left="35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21" w:dyaOrig="6681">
          <v:rect xmlns:o="urn:schemas-microsoft-com:office:office" xmlns:v="urn:schemas-microsoft-com:vml" id="rectole0000000015" style="width:416.050000pt;height:334.05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613" w:dyaOrig="4778">
          <v:rect xmlns:o="urn:schemas-microsoft-com:office:office" xmlns:v="urn:schemas-microsoft-com:vml" id="rectole0000000016" style="width:380.650000pt;height:238.90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Anexo 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140" w:firstLine="0"/>
        <w:jc w:val="left"/>
        <w:rPr>
          <w:rFonts w:ascii="Trebuchet MS" w:hAnsi="Trebuchet MS" w:cs="Trebuchet MS" w:eastAsia="Trebuchet MS"/>
          <w:color w:val="438086"/>
          <w:spacing w:val="0"/>
          <w:position w:val="0"/>
          <w:sz w:val="32"/>
          <w:shd w:fill="auto" w:val="clear"/>
        </w:rPr>
      </w:pPr>
      <w:r>
        <w:rPr>
          <w:rFonts w:ascii="Trebuchet MS" w:hAnsi="Trebuchet MS" w:cs="Trebuchet MS" w:eastAsia="Trebuchet MS"/>
          <w:b/>
          <w:color w:val="9BBB59"/>
          <w:spacing w:val="0"/>
          <w:position w:val="0"/>
          <w:sz w:val="24"/>
          <w:shd w:fill="auto" w:val="clear"/>
        </w:rPr>
        <w:t xml:space="preserve">I.</w:t>
      </w: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4"/>
          <w:shd w:fill="auto" w:val="clear"/>
        </w:rPr>
        <w:tab/>
      </w:r>
      <w:r>
        <w:rPr>
          <w:rFonts w:ascii="Trebuchet MS" w:hAnsi="Trebuchet MS" w:cs="Trebuchet MS" w:eastAsia="Trebuchet MS"/>
          <w:color w:val="9BBB59"/>
          <w:spacing w:val="0"/>
          <w:position w:val="0"/>
          <w:sz w:val="32"/>
          <w:shd w:fill="auto" w:val="clear"/>
        </w:rPr>
        <w:t xml:space="preserve">CONSOLIDAÇÃO DOS RESULTADOS ALCANÇADOS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83"/>
        <w:gridCol w:w="2186"/>
        <w:gridCol w:w="2129"/>
        <w:gridCol w:w="2124"/>
      </w:tblGrid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f79646" w:sz="1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I – MATERIAIS DE CONSUMO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Papel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Nome do Indicador/índice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Descrição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Resultado 2017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Resultado 2018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– Consumo de papel não reciclado próprio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consumida de resmas de papel não reciclado adquiridas pelo órgão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57.030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55.574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– Gasto com papel não reciclado próprio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com aquisição de resmas de papel não reciclado adquiridos pelo órgão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R$ 557.961,00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R$ 619.013,76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Copos Descartáveis e água engarrafada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3 - Consumo de copos descartáveis para água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consumida de copos descartáveis usualmente utilizados para consumo de água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23.554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26.233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4 - Consumo de copos descartáveis para café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consumida de copos descartáveis usualmente utilizados para consumo de café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6.025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7.081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– Consumo de copos descartáveis total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total consumida de copos descartáveis usualmente utilizados para consumo de água e café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29.579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33.314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– Gasto com copos descartáveis para água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com aquisição de copos descartáveis usualmente destinados para consumo de água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R$ 65.497,50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R$ 46.068,75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 – Gasto com copos descartáveis para água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com aquisição de copos descartáveis usualmente destinados para consumo de café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R$ 11.992,50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R$ 7.390,00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 – Gasto com copos descartáveis total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com aquisição de copos descartáveis usualmente destinados para consumo de água e café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R$ 77.490,00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R$ 53.458,75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 – Consumo de embalagens retornáveis para água mineral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consumida de embalagens plásticas retornáveis para água mineral envasada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33.753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34.596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– Gasto com água mineral em embalagens retornáveis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com aquisição de água mineral envasada, com ou sem gás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R$ 170.177,55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R$ 183.892,08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II - IMPRESSÃO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 – Quantidades de impressões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total impressões realizas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34.929.158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33.692.485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 – Quantidade de equipamentos de impressão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equipamentos de impressões instalados, próprios ou locados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1.196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1.170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 – Performance dos equipamentos instalados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 impressões em relação ao total de equipamentos instalados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29.204,98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28.797,00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 – Gasto com contratos de impressão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com o pagamento de serviços de terceirização (outsourcing) de impressão e reprografia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R$ 3.675.593,41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R$3.691.125,41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III - TELEFONIA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 – Gasto com telefonia fixa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com telefonia fixa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R$ 1.646.974,83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R$ 1.144.330,22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 – Total de linhas de telefonia fixa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linhas de telefonia fixa que atendem ao órgão, seus anexos e unidades vinculadas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1.836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1.802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 – Total de linhas de telefonia móvel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linhas de telefonia móvel que atendem ao órgão, seus anexos e unidades vinculadas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91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 – Gasto relativo com telefonia fixa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realizada com serviços de telefonia fixa (inclusive tecnologia VOIP), em relação ao total de linhas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R$ 897,05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R$ 635,03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19 - Gasto com telefonia móvel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com serviços de telefonia móvel (voz, dados e assinatura)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R$ 186.518,80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R$ 123.286,05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 – Gasto relativo com telefonia móvel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com serviços de telefonia móvel (voz, dados e assinatura), em relação ao total de linhas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R$ 2.049,66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R$ 1.541,08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IV – ENERGIA ELÉTRICA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21 – Consumo de energia elétrica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Consumo total de energia elétrica fornecida pela concessionária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18.068.930,00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17.406.722,00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 – Consumo relativo de energia elétrica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Consumo total de energia elétrica fornecida pela concessionária, em relação à área total do órgão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78,35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75,39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 – Gasto com energia elétrica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Valor da fatura de energia elétrica, em valores brutos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R$ 8.056.223,05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R$8.201.920,14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– Gasto relativo com energia elétrica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Valor da fatura de energia elétrica, em valores brutos, em relação à área do órgão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R$ 34,93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R$ 35,52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V – ÁGUA E ESGOTO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 – Consumo de água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Consumo total de água fornecida pela concessionária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110.997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113.083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26 – Consumo relativo de água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Consumo total de água fornecida pela concessionária, em relação à área total do órgão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0,48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0,49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 – Gasto com água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Valor da fatura de água e esgoto, em valores bruto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R$ 1.009.964,14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R$ 1.299.037,85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28 – Gasto relativo com água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Valor da fatura de água e esgoto, em valores brutos, em relação à área total do órgão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R$ 4,38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R$ 5,63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VI – GESTÃO DE RESÍDUOS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29 – Destinação de papel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papel, papelão e derivados à reciclagem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15.231,00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35.796,01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– Destinação de plástico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plástico destinado à reciclagem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2.549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3.642,72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31 – Destinação de metais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metais destinados à reciclagem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4.394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3.819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32 – Destinação de vidros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vidros destinados à reciclagem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65,5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 – Total de materiais destinados a reciclagem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materiais  destinados à reciclagem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22.239,50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43.258,00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 – Destinação de resíduos de saúde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total de serviço de saúde encaminhadas para descontaminação e tratamento.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29,17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35 – Destinação de resíduos de informática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resíduos de informática destinados à reciclagem, reaproveitamento ou outra destinação correta.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 – Destinação de suprimentos de impressão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suprimentos de impressão destinados a empresa de logística reversa.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37 – Destinação de pilhas e baterias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pilhas e baterias enviadas para descontaminação e destinação correta.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38 – Destinação de lâmpadas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lâmpadas enviadas para descontaminação e destinação correta.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1.833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3.290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 – Destinação de resíduos de obras e reformas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resíduos de obras enviados para o aterro de resíduos da construção civil.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VII – UNIDADE CONSTRUÍDA/REFORMA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– Quantidade de unidades construídas ou reformadas de acordo com a política de construção sustentável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em obras e reformas de acordo com a política de construção sustentável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9BBB59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41 – Gasto com reforma no período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Despesas realizadas com reforma e mudança de layout durante o período base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R$ 2.904801,17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R$ 828.560,01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42 – Gasto com reforma no período de referência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Despesas realizadas com reforma e mudança de layout durante o período referência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9BBB59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9BBB59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R$ 2.904801,17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 – Variação dos gastos com reforma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Variação dos gastos com reforma e mudanças de layout em relação ao ano anterior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-71,48%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VIII - LIMPEZA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44 – Gasto com contrato de limpeza no período base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Despesas realizadas com contratos e/ou termos aditivos dos serviços de limpeza durante o período base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R$ 8.133.670,90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R$ 8.561335,10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 – Área contratada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Área especificada nos instrumentos de contrato de manutenção e limpeza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80.564,50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80.564,50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46 – Gasto relativo  com contrato de limpeza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total com contratos de limpeza em relação a área contratada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R$ 100,96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R$ 106,27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 – Gasto relativo com com contratos de limpeza no período de referência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realizadas  com os e/ou termos aditivos dos serviços de  limpeza durante o período de referência (período anterior ao período base)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R$ 8.133.670,90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R$ 8.133.670,90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 – Variação dos gastos com contrato de limpeza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Variação dos gastos com contrato de limpeza em relação ao ano anterior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0,00%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5,26%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49 – Gasto com material de limpeza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 total com aquisição de materiais de limpeza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R$ 216.809,78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R$ 189.425,43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IX - PRODUTOS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– Aquisição de produtos com baixo impacto ambiental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Mede o percentual de produtos adquiridos que apresentam especificações de baixo impacto ambiental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100%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X - VEÍCULOS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 – Quilometragem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Quilometragem  percorrida pelos veículos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2.015.185,89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2.245.752,67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52 – Quantidade de veículos a gasolina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Total de veículos movidos exclusivamente a gasolina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59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53 – Quantidade de veículos flex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Total de veículos flex movidos a gasolina ou etanol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132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97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54 – Quantidade de veículos a díesel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Total de veículos movidos exclusivamente a díesel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55 – Quantidade de veículos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veículos existentes no órgão ao final do período base incluindo veículos de serviço de transporte de magistrados e veículos pesados, sejam próprios ou locados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168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56 – Quantidade de veículos de serviços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veículos ao final do ano, total de veículos de serviços, próprios ou locados, utilizados para atividades laborais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178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57 – Usuário por veículos de serviços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relativo de usuários de serviços, próprios ou locados, utilizados para atividades laborais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42,00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53,67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58 – Quantidade de veículos de transporte de Magistrados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Total de veículos de serviços, utilizados exclusivamente para transporte de Magistrados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52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58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59 – Usuário por veículos de Magistrados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relativo de usuários por veículos, próprios ou locados, utilizados exclusivamente no transporte de Magistrados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 – Gasto com manutenção de veículos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Despesas realizada com pagamento de serviços de manutenção dos veículos do órgão, seus anexos e unidades vinculadas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R$ 417.420,34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R$ 271.514,54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 – Gasto relativo com manutenção de veículos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Despesas total com  manutenção de veículos em relação à quantidade total de veículos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R$ 1.814,87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R$ 1.263,78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62 – Gasto por contratos de motoristas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Despesas total com  contratos de motoristas nos órgãos, seus anexos e unidades vinculadas no período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R$ 3.407.500,72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R$ 3.786.111,91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63 – Gasto relativos com contrato de motoristas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Despesas total com  contratos de motoristas em relação a quantidade total de veículos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14.815,22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22.012,28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XI - COMBUSTÍVEL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64 – Consumo de gasolina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consumida de litros de gasolina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191.984,21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205.988, 00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 – Consumo de etanol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consumida de litros de etanol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66 – Consumo de diesel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consumida de litros de diesel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34.680,27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42.789,04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67 – Consumo relativo de gasolina e etanol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litros de etanol e gasolina consumidos por cada veículo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835,00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1.226,12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68 – Consumo relativo de diesel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litros de diesel consumidos por cada veículo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2.268,00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3.565,75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XII – QUALIDADE DE VIDA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69 – Participação da força de trabalho em ações de qualidade de vida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Total de participação em eventos de qualidade de vida no trabalho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392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70 – Quantidade de ações de qualidade de vida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ações de qualidade de vida no trabalho organizadas e realizadas pelo próprio órgão ou em parceria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 – Participação relativa em ações de qualidade de vida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Percentual da força de trabalho participante de ações e qualidade de vida no trabalho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72 – Participação da força de trabalho em ações em ações solidárias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Total de participação em eventos das ações solidárias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73 – Quantidade de ações solidárias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ações solidárias organizadas e realizadas pelo próprio órgão ou em parceria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74- Participação relativa em ações solidários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Percentual da força de trabalho participante de ações solidárias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– Ações de inclusão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ações de inclusão realizadas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center"/>
        </w:trPr>
        <w:tc>
          <w:tcPr>
            <w:tcW w:w="862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00206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spacing w:val="0"/>
                <w:position w:val="0"/>
                <w:sz w:val="20"/>
                <w:shd w:fill="auto" w:val="clear"/>
              </w:rPr>
              <w:t xml:space="preserve">XIII – CAPACITAÇÃO SOCIOAMBIENTAL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76 – Ações de capacitação e sensibilização na temática socioambiental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Quantidade de capacitação e sensibilização socioambiental organizadas e realizadas pelo próprio órgão ou em parcerias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77 – Participação da força de trabalho em ações de sensibilização e capacitação na temática socioambiental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Total de participação em eventos de ações solidárias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bd4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193</w:t>
            </w:r>
          </w:p>
        </w:tc>
      </w:tr>
      <w:tr>
        <w:trPr>
          <w:trHeight w:val="1" w:hRule="atLeast"/>
          <w:jc w:val="center"/>
        </w:trPr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f79646" w:sz="1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 – Participação relativa em capacitação e sensibilização na temática socioambiental</w:t>
            </w:r>
          </w:p>
        </w:tc>
        <w:tc>
          <w:tcPr>
            <w:tcW w:w="2186" w:type="dxa"/>
            <w:tcBorders>
              <w:top w:val="single" w:color="000000" w:sz="0"/>
              <w:left w:val="single" w:color="000000" w:sz="0"/>
              <w:bottom w:val="single" w:color="f79646" w:sz="1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Percentual na força de trabalho participante de eventos de capacitação e sensibilização socioambiental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f79646" w:sz="1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124" w:type="dxa"/>
            <w:tcBorders>
              <w:top w:val="single" w:color="000000" w:sz="0"/>
              <w:left w:val="single" w:color="000000" w:sz="0"/>
              <w:bottom w:val="single" w:color="f79646" w:sz="10"/>
              <w:right w:val="single" w:color="000000" w:sz="0"/>
            </w:tcBorders>
            <w:shd w:color="000000" w:fill="fde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media/image11.wmf" Id="docRId23" Type="http://schemas.openxmlformats.org/officeDocument/2006/relationships/image"/><Relationship Target="numbering.xml" Id="docRId34" Type="http://schemas.openxmlformats.org/officeDocument/2006/relationships/numbering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embeddings/oleObject11.bin" Id="docRId22" Type="http://schemas.openxmlformats.org/officeDocument/2006/relationships/oleObject"/><Relationship Target="styles.xml" Id="docRId35" Type="http://schemas.openxmlformats.org/officeDocument/2006/relationships/styles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media/image14.wmf" Id="docRId29" Type="http://schemas.openxmlformats.org/officeDocument/2006/relationships/image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embeddings/oleObject14.bin" Id="docRId28" Type="http://schemas.openxmlformats.org/officeDocument/2006/relationships/oleObject"/><Relationship Target="media/image1.wmf" Id="docRId3" Type="http://schemas.openxmlformats.org/officeDocument/2006/relationships/image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media/image13.wmf" Id="docRId27" Type="http://schemas.openxmlformats.org/officeDocument/2006/relationships/image"/><Relationship Target="embeddings/oleObject15.bin" Id="docRId30" Type="http://schemas.openxmlformats.org/officeDocument/2006/relationships/oleObject"/><Relationship Target="media/image5.wmf" Id="docRId11" Type="http://schemas.openxmlformats.org/officeDocument/2006/relationships/image"/><Relationship Target="media/image9.wmf" Id="docRId19" Type="http://schemas.openxmlformats.org/officeDocument/2006/relationships/image"/><Relationship Target="embeddings/oleObject13.bin" Id="docRId26" Type="http://schemas.openxmlformats.org/officeDocument/2006/relationships/oleObject"/><Relationship Target="media/image15.wmf" Id="docRId31" Type="http://schemas.openxmlformats.org/officeDocument/2006/relationships/image"/><Relationship Target="media/image2.wmf" Id="docRId5" Type="http://schemas.openxmlformats.org/officeDocument/2006/relationships/image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embeddings/oleObject16.bin" Id="docRId32" Type="http://schemas.openxmlformats.org/officeDocument/2006/relationships/oleObject"/><Relationship Target="embeddings/oleObject2.bin" Id="docRId4" Type="http://schemas.openxmlformats.org/officeDocument/2006/relationships/oleObject"/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media/image16.wmf" Id="docRId33" Type="http://schemas.openxmlformats.org/officeDocument/2006/relationships/image"/></Relationships>
</file>